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90" w:rsidRPr="001F5290" w:rsidRDefault="001F5290" w:rsidP="003900CE">
      <w:pPr>
        <w:pStyle w:val="a8"/>
        <w:ind w:firstLine="0"/>
        <w:jc w:val="center"/>
        <w:rPr>
          <w:rFonts w:ascii="Times New Roman" w:hAnsi="Times New Roman"/>
          <w:b/>
        </w:rPr>
      </w:pPr>
      <w:r w:rsidRPr="001F5290">
        <w:rPr>
          <w:rFonts w:ascii="Times New Roman" w:hAnsi="Times New Roman"/>
          <w:b/>
        </w:rPr>
        <w:t>ДОВІДКА</w:t>
      </w:r>
    </w:p>
    <w:p w:rsidR="001F5290" w:rsidRPr="001F5290" w:rsidRDefault="001F5290" w:rsidP="003900CE">
      <w:pPr>
        <w:pStyle w:val="a8"/>
        <w:ind w:firstLine="0"/>
        <w:jc w:val="center"/>
        <w:rPr>
          <w:rFonts w:ascii="Times New Roman" w:hAnsi="Times New Roman"/>
          <w:b/>
        </w:rPr>
      </w:pPr>
      <w:r w:rsidRPr="001F5290">
        <w:rPr>
          <w:rFonts w:ascii="Times New Roman" w:hAnsi="Times New Roman"/>
          <w:b/>
        </w:rPr>
        <w:t xml:space="preserve">про виконання бюджету </w:t>
      </w:r>
      <w:proofErr w:type="spellStart"/>
      <w:r w:rsidRPr="001F5290">
        <w:rPr>
          <w:rFonts w:ascii="Times New Roman" w:hAnsi="Times New Roman"/>
          <w:b/>
        </w:rPr>
        <w:t>м.Запоріжжя</w:t>
      </w:r>
      <w:proofErr w:type="spellEnd"/>
      <w:r w:rsidRPr="001F5290">
        <w:rPr>
          <w:rFonts w:ascii="Times New Roman" w:hAnsi="Times New Roman"/>
          <w:b/>
        </w:rPr>
        <w:t xml:space="preserve"> за </w:t>
      </w:r>
      <w:r w:rsidR="00E20CCD">
        <w:rPr>
          <w:rFonts w:ascii="Times New Roman" w:hAnsi="Times New Roman"/>
          <w:b/>
        </w:rPr>
        <w:t xml:space="preserve">9місяців </w:t>
      </w:r>
      <w:r w:rsidRPr="001F5290">
        <w:rPr>
          <w:rFonts w:ascii="Times New Roman" w:hAnsi="Times New Roman"/>
          <w:b/>
        </w:rPr>
        <w:t>2013 року</w:t>
      </w:r>
    </w:p>
    <w:p w:rsidR="00294EC7" w:rsidRPr="007A6C6A" w:rsidRDefault="00294EC7" w:rsidP="001F5290">
      <w:pPr>
        <w:pStyle w:val="a8"/>
        <w:jc w:val="center"/>
        <w:rPr>
          <w:rFonts w:ascii="Times New Roman" w:hAnsi="Times New Roman"/>
          <w:sz w:val="16"/>
          <w:szCs w:val="16"/>
        </w:rPr>
      </w:pPr>
    </w:p>
    <w:p w:rsidR="00CD612D" w:rsidRPr="00CD612D" w:rsidRDefault="003900CE" w:rsidP="00CD612D">
      <w:pPr>
        <w:pStyle w:val="a8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Виконання бюджету міста тісно пов’язано з показниками соціально-економічного розвитку. Так, з</w:t>
      </w:r>
      <w:r w:rsidR="00CD612D" w:rsidRPr="00CD612D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звітний період </w:t>
      </w:r>
      <w:r w:rsidR="00CD612D" w:rsidRPr="00CD612D">
        <w:rPr>
          <w:rFonts w:ascii="Times New Roman" w:hAnsi="Times New Roman"/>
        </w:rPr>
        <w:t>в порівнянні з відповідним періодом минулого року в цілому по Запорізькій області обсяги промислової продукції зменшились на 3,7 відсотка. За обсягами реалізованої промислової продукції близько двох третин належить місту – 34 784,4 </w:t>
      </w:r>
      <w:proofErr w:type="spellStart"/>
      <w:r w:rsidR="00CD612D" w:rsidRPr="00CD612D">
        <w:rPr>
          <w:rFonts w:ascii="Times New Roman" w:hAnsi="Times New Roman"/>
        </w:rPr>
        <w:t>млн.грн</w:t>
      </w:r>
      <w:proofErr w:type="spellEnd"/>
      <w:r w:rsidR="00CD612D" w:rsidRPr="00CD612D">
        <w:rPr>
          <w:rFonts w:ascii="Times New Roman" w:hAnsi="Times New Roman"/>
        </w:rPr>
        <w:t xml:space="preserve">. (90,4 відсотка до аналогічного періоду минулого року), з яких 41,3 відсотка припадає на металургію, 24,3 відсотка – на машинобудування, 14,2 відсотка – на виробництво та розподілення електроенергії, газу та води. </w:t>
      </w:r>
    </w:p>
    <w:p w:rsidR="00CD612D" w:rsidRPr="00CD612D" w:rsidRDefault="00CD612D" w:rsidP="00CD612D">
      <w:pPr>
        <w:ind w:firstLine="709"/>
        <w:jc w:val="both"/>
        <w:rPr>
          <w:sz w:val="28"/>
          <w:szCs w:val="28"/>
        </w:rPr>
      </w:pPr>
      <w:r w:rsidRPr="00CD612D">
        <w:rPr>
          <w:sz w:val="28"/>
          <w:szCs w:val="28"/>
        </w:rPr>
        <w:t>Порівняно з минулорічними показниками відбулось зростання обсягів виробництва у машинобудуванні на 4,4 відсотка та у галузі постачання електроенергії, газу, пари та води - на 1,7 відсотка</w:t>
      </w:r>
      <w:r w:rsidR="00F85128">
        <w:rPr>
          <w:sz w:val="28"/>
          <w:szCs w:val="28"/>
        </w:rPr>
        <w:t>.</w:t>
      </w:r>
      <w:r w:rsidRPr="00CD612D">
        <w:rPr>
          <w:sz w:val="28"/>
          <w:szCs w:val="28"/>
        </w:rPr>
        <w:t xml:space="preserve"> </w:t>
      </w:r>
      <w:r w:rsidR="00F85128">
        <w:rPr>
          <w:sz w:val="28"/>
          <w:szCs w:val="28"/>
        </w:rPr>
        <w:t xml:space="preserve">Натомість зменшився цей показник </w:t>
      </w:r>
      <w:r w:rsidRPr="00CD612D">
        <w:rPr>
          <w:sz w:val="28"/>
          <w:szCs w:val="28"/>
        </w:rPr>
        <w:t xml:space="preserve">у металургійному виробництві на 4,6 відсотка та у виробництві харчових продуктів - на 17,8 відсотка. </w:t>
      </w:r>
    </w:p>
    <w:p w:rsidR="00CD612D" w:rsidRPr="007A6C6A" w:rsidRDefault="00CD612D" w:rsidP="00CD612D">
      <w:pPr>
        <w:ind w:firstLine="709"/>
        <w:jc w:val="both"/>
        <w:rPr>
          <w:sz w:val="28"/>
          <w:szCs w:val="28"/>
          <w:u w:val="single"/>
        </w:rPr>
      </w:pPr>
      <w:r w:rsidRPr="007A6C6A">
        <w:rPr>
          <w:sz w:val="28"/>
          <w:szCs w:val="28"/>
          <w:u w:val="single"/>
        </w:rPr>
        <w:t>Доходи</w:t>
      </w:r>
      <w:r>
        <w:rPr>
          <w:sz w:val="28"/>
          <w:szCs w:val="28"/>
          <w:u w:val="single"/>
        </w:rPr>
        <w:t xml:space="preserve"> бюджету міста</w:t>
      </w:r>
    </w:p>
    <w:p w:rsidR="00CD612D" w:rsidRDefault="00CD612D" w:rsidP="00CD612D">
      <w:pPr>
        <w:ind w:firstLine="709"/>
        <w:jc w:val="both"/>
        <w:rPr>
          <w:sz w:val="28"/>
          <w:szCs w:val="28"/>
        </w:rPr>
      </w:pPr>
      <w:r w:rsidRPr="00CD612D">
        <w:rPr>
          <w:sz w:val="28"/>
          <w:szCs w:val="28"/>
        </w:rPr>
        <w:t>Доходна частина бюджету міста станом на 01.10.2013 становить 1 929,2 </w:t>
      </w:r>
      <w:proofErr w:type="spellStart"/>
      <w:r w:rsidRPr="00CD612D">
        <w:rPr>
          <w:sz w:val="28"/>
          <w:szCs w:val="28"/>
        </w:rPr>
        <w:t>млн.грн</w:t>
      </w:r>
      <w:proofErr w:type="spellEnd"/>
      <w:r w:rsidRPr="00CD612D">
        <w:rPr>
          <w:sz w:val="28"/>
          <w:szCs w:val="28"/>
        </w:rPr>
        <w:t>. Надходження загального фонду бюджету складають 1 721,2 </w:t>
      </w:r>
      <w:proofErr w:type="spellStart"/>
      <w:r w:rsidRPr="00CD612D">
        <w:rPr>
          <w:sz w:val="28"/>
          <w:szCs w:val="28"/>
        </w:rPr>
        <w:t>млн.грн</w:t>
      </w:r>
      <w:proofErr w:type="spellEnd"/>
      <w:r w:rsidRPr="00CD612D">
        <w:rPr>
          <w:sz w:val="28"/>
          <w:szCs w:val="28"/>
        </w:rPr>
        <w:t>., з них податки, збори та інші обов’язкові платежі – 1 238,7 </w:t>
      </w:r>
      <w:proofErr w:type="spellStart"/>
      <w:r w:rsidRPr="00CD612D">
        <w:rPr>
          <w:sz w:val="28"/>
          <w:szCs w:val="28"/>
        </w:rPr>
        <w:t>млн.грн</w:t>
      </w:r>
      <w:proofErr w:type="spellEnd"/>
      <w:r w:rsidRPr="00CD612D">
        <w:rPr>
          <w:sz w:val="28"/>
          <w:szCs w:val="28"/>
        </w:rPr>
        <w:t>.</w:t>
      </w:r>
      <w:r w:rsidR="00F85128">
        <w:rPr>
          <w:sz w:val="28"/>
          <w:szCs w:val="28"/>
        </w:rPr>
        <w:t>,</w:t>
      </w:r>
      <w:r w:rsidRPr="00CD612D">
        <w:rPr>
          <w:sz w:val="28"/>
          <w:szCs w:val="28"/>
        </w:rPr>
        <w:t xml:space="preserve"> офіційні трансферти з державного </w:t>
      </w:r>
      <w:r>
        <w:rPr>
          <w:sz w:val="28"/>
          <w:szCs w:val="28"/>
        </w:rPr>
        <w:t xml:space="preserve">та обласного </w:t>
      </w:r>
      <w:r w:rsidRPr="00CD612D">
        <w:rPr>
          <w:sz w:val="28"/>
          <w:szCs w:val="28"/>
        </w:rPr>
        <w:t>бюджет</w:t>
      </w:r>
      <w:r>
        <w:rPr>
          <w:sz w:val="28"/>
          <w:szCs w:val="28"/>
        </w:rPr>
        <w:t>ів</w:t>
      </w:r>
      <w:r w:rsidRPr="00CD612D">
        <w:rPr>
          <w:sz w:val="28"/>
          <w:szCs w:val="28"/>
        </w:rPr>
        <w:t xml:space="preserve"> – 482,5 </w:t>
      </w:r>
      <w:proofErr w:type="spellStart"/>
      <w:r w:rsidRPr="00CD612D">
        <w:rPr>
          <w:sz w:val="28"/>
          <w:szCs w:val="28"/>
        </w:rPr>
        <w:t>млн.грн</w:t>
      </w:r>
      <w:proofErr w:type="spellEnd"/>
      <w:r w:rsidRPr="00CD612D">
        <w:rPr>
          <w:sz w:val="28"/>
          <w:szCs w:val="28"/>
        </w:rPr>
        <w:t xml:space="preserve">. </w:t>
      </w:r>
    </w:p>
    <w:p w:rsidR="00CD612D" w:rsidRDefault="00CD612D" w:rsidP="00CD612D">
      <w:pPr>
        <w:jc w:val="both"/>
        <w:rPr>
          <w:sz w:val="28"/>
          <w:szCs w:val="28"/>
        </w:rPr>
      </w:pPr>
      <w:r w:rsidRPr="00CD612D">
        <w:rPr>
          <w:noProof/>
          <w:sz w:val="28"/>
          <w:szCs w:val="28"/>
          <w:lang w:val="ru-RU"/>
        </w:rPr>
        <w:drawing>
          <wp:inline distT="0" distB="0" distL="0" distR="0">
            <wp:extent cx="6120765" cy="3938793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612D" w:rsidRDefault="00CD612D" w:rsidP="00CD612D">
      <w:pPr>
        <w:ind w:firstLine="709"/>
        <w:jc w:val="both"/>
        <w:rPr>
          <w:sz w:val="28"/>
          <w:szCs w:val="28"/>
        </w:rPr>
      </w:pPr>
      <w:r w:rsidRPr="00CD612D">
        <w:rPr>
          <w:sz w:val="28"/>
          <w:szCs w:val="28"/>
        </w:rPr>
        <w:t xml:space="preserve">Без врахування трансфертів план по доходах загального фонду виконаний на 100,2 відсотка. У порівнянні з січнем-вереснем 2012 року </w:t>
      </w:r>
      <w:r>
        <w:rPr>
          <w:sz w:val="28"/>
          <w:szCs w:val="28"/>
        </w:rPr>
        <w:t>відбулось зростання</w:t>
      </w:r>
      <w:r w:rsidRPr="00CD612D">
        <w:rPr>
          <w:sz w:val="28"/>
          <w:szCs w:val="28"/>
        </w:rPr>
        <w:t xml:space="preserve"> на 21,4 </w:t>
      </w:r>
      <w:proofErr w:type="spellStart"/>
      <w:r w:rsidRPr="00CD612D">
        <w:rPr>
          <w:sz w:val="28"/>
          <w:szCs w:val="28"/>
        </w:rPr>
        <w:t>млн.грн</w:t>
      </w:r>
      <w:proofErr w:type="spellEnd"/>
      <w:r w:rsidRPr="00CD612D">
        <w:rPr>
          <w:sz w:val="28"/>
          <w:szCs w:val="28"/>
        </w:rPr>
        <w:t>. або на 1,8 відсотка.</w:t>
      </w:r>
    </w:p>
    <w:p w:rsidR="00FC4264" w:rsidRDefault="00CD612D" w:rsidP="00CD612D">
      <w:pPr>
        <w:pStyle w:val="22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612D">
        <w:rPr>
          <w:rFonts w:ascii="Times New Roman" w:hAnsi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962650" cy="3581400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612D" w:rsidRPr="00CD612D" w:rsidRDefault="00CD612D" w:rsidP="00A6582C">
      <w:pPr>
        <w:pStyle w:val="22"/>
        <w:tabs>
          <w:tab w:val="left" w:pos="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 джерелом наповнення загального фонду бюджету є </w:t>
      </w:r>
      <w:r w:rsidRPr="00CD612D">
        <w:rPr>
          <w:rFonts w:ascii="Times New Roman" w:hAnsi="Times New Roman"/>
          <w:sz w:val="28"/>
          <w:szCs w:val="28"/>
        </w:rPr>
        <w:t>подат</w:t>
      </w:r>
      <w:r>
        <w:rPr>
          <w:rFonts w:ascii="Times New Roman" w:hAnsi="Times New Roman"/>
          <w:sz w:val="28"/>
          <w:szCs w:val="28"/>
        </w:rPr>
        <w:t>о</w:t>
      </w:r>
      <w:r w:rsidRPr="00CD612D">
        <w:rPr>
          <w:rFonts w:ascii="Times New Roman" w:hAnsi="Times New Roman"/>
          <w:sz w:val="28"/>
          <w:szCs w:val="28"/>
        </w:rPr>
        <w:t xml:space="preserve">к на доходи фізичних осіб, </w:t>
      </w:r>
      <w:r>
        <w:rPr>
          <w:rFonts w:ascii="Times New Roman" w:hAnsi="Times New Roman"/>
          <w:sz w:val="28"/>
          <w:szCs w:val="28"/>
        </w:rPr>
        <w:t xml:space="preserve">його надходження за звітний період склали </w:t>
      </w:r>
      <w:r w:rsidRPr="00CD612D">
        <w:rPr>
          <w:rFonts w:ascii="Times New Roman" w:hAnsi="Times New Roman"/>
          <w:sz w:val="28"/>
          <w:szCs w:val="28"/>
        </w:rPr>
        <w:t>909,3 </w:t>
      </w:r>
      <w:proofErr w:type="spellStart"/>
      <w:r w:rsidRPr="00CD612D">
        <w:rPr>
          <w:rFonts w:ascii="Times New Roman" w:hAnsi="Times New Roman"/>
          <w:sz w:val="28"/>
          <w:szCs w:val="28"/>
        </w:rPr>
        <w:t>млн.грн</w:t>
      </w:r>
      <w:proofErr w:type="spellEnd"/>
      <w:r w:rsidRPr="00CD61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що н</w:t>
      </w:r>
      <w:r w:rsidRPr="00CD612D">
        <w:rPr>
          <w:rFonts w:ascii="Times New Roman" w:hAnsi="Times New Roman"/>
          <w:sz w:val="28"/>
          <w:szCs w:val="28"/>
        </w:rPr>
        <w:t>а 12,4 </w:t>
      </w:r>
      <w:proofErr w:type="spellStart"/>
      <w:r w:rsidRPr="00CD612D">
        <w:rPr>
          <w:rFonts w:ascii="Times New Roman" w:hAnsi="Times New Roman"/>
          <w:sz w:val="28"/>
          <w:szCs w:val="28"/>
        </w:rPr>
        <w:t>млн.грн</w:t>
      </w:r>
      <w:proofErr w:type="spellEnd"/>
      <w:r w:rsidRPr="00CD612D">
        <w:rPr>
          <w:rFonts w:ascii="Times New Roman" w:hAnsi="Times New Roman"/>
          <w:sz w:val="28"/>
          <w:szCs w:val="28"/>
        </w:rPr>
        <w:t>. або на 1,4 відсотка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F85128">
        <w:rPr>
          <w:rFonts w:ascii="Times New Roman" w:hAnsi="Times New Roman"/>
          <w:sz w:val="28"/>
          <w:szCs w:val="28"/>
        </w:rPr>
        <w:t xml:space="preserve">більше </w:t>
      </w:r>
      <w:r>
        <w:rPr>
          <w:rFonts w:ascii="Times New Roman" w:hAnsi="Times New Roman"/>
          <w:sz w:val="28"/>
          <w:szCs w:val="28"/>
        </w:rPr>
        <w:t>минулорічн</w:t>
      </w:r>
      <w:r w:rsidR="00F8512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показник</w:t>
      </w:r>
      <w:r w:rsidR="00F85128">
        <w:rPr>
          <w:rFonts w:ascii="Times New Roman" w:hAnsi="Times New Roman"/>
          <w:sz w:val="28"/>
          <w:szCs w:val="28"/>
        </w:rPr>
        <w:t>ів</w:t>
      </w:r>
      <w:r w:rsidRPr="00CD612D">
        <w:rPr>
          <w:rFonts w:ascii="Times New Roman" w:hAnsi="Times New Roman"/>
          <w:sz w:val="28"/>
          <w:szCs w:val="28"/>
        </w:rPr>
        <w:t xml:space="preserve">. </w:t>
      </w:r>
      <w:r w:rsidR="00A6582C">
        <w:rPr>
          <w:rFonts w:ascii="Times New Roman" w:hAnsi="Times New Roman"/>
          <w:sz w:val="28"/>
          <w:szCs w:val="28"/>
        </w:rPr>
        <w:t xml:space="preserve">З метою збільшення надходжень до бюджету цього податку виконавчими органами міської ради спільно з податковими </w:t>
      </w:r>
      <w:r w:rsidR="00F85128">
        <w:rPr>
          <w:rFonts w:ascii="Times New Roman" w:hAnsi="Times New Roman"/>
          <w:sz w:val="28"/>
          <w:szCs w:val="28"/>
        </w:rPr>
        <w:t xml:space="preserve">органами </w:t>
      </w:r>
      <w:r w:rsidR="00A6582C">
        <w:rPr>
          <w:rFonts w:ascii="Times New Roman" w:hAnsi="Times New Roman"/>
          <w:sz w:val="28"/>
          <w:szCs w:val="28"/>
        </w:rPr>
        <w:t xml:space="preserve">міста продовжується робота з підприємствами міста, спрямована на підвищення фонду оплати праці. Завдяки проведеним заходам бюджет міста додатково отримав </w:t>
      </w:r>
      <w:r w:rsidR="00F85128">
        <w:rPr>
          <w:rFonts w:ascii="Times New Roman" w:hAnsi="Times New Roman"/>
          <w:sz w:val="28"/>
          <w:szCs w:val="28"/>
        </w:rPr>
        <w:t xml:space="preserve">4,5 </w:t>
      </w:r>
      <w:proofErr w:type="spellStart"/>
      <w:r w:rsidR="00A6582C">
        <w:rPr>
          <w:rFonts w:ascii="Times New Roman" w:hAnsi="Times New Roman"/>
          <w:sz w:val="28"/>
          <w:szCs w:val="28"/>
        </w:rPr>
        <w:t>млн.грн</w:t>
      </w:r>
      <w:proofErr w:type="spellEnd"/>
      <w:r w:rsidR="00A6582C">
        <w:rPr>
          <w:rFonts w:ascii="Times New Roman" w:hAnsi="Times New Roman"/>
          <w:sz w:val="28"/>
          <w:szCs w:val="28"/>
        </w:rPr>
        <w:t>.</w:t>
      </w:r>
    </w:p>
    <w:p w:rsidR="00CD612D" w:rsidRPr="00CD612D" w:rsidRDefault="00CD612D" w:rsidP="00CD612D">
      <w:pPr>
        <w:ind w:firstLine="709"/>
        <w:jc w:val="both"/>
        <w:rPr>
          <w:sz w:val="28"/>
          <w:szCs w:val="28"/>
        </w:rPr>
      </w:pPr>
      <w:r w:rsidRPr="00CD612D">
        <w:rPr>
          <w:sz w:val="28"/>
          <w:szCs w:val="28"/>
        </w:rPr>
        <w:t>Плата за землю є друг</w:t>
      </w:r>
      <w:r w:rsidR="00A6582C">
        <w:rPr>
          <w:sz w:val="28"/>
          <w:szCs w:val="28"/>
        </w:rPr>
        <w:t xml:space="preserve">ою складовою </w:t>
      </w:r>
      <w:r w:rsidRPr="00CD612D">
        <w:rPr>
          <w:sz w:val="28"/>
          <w:szCs w:val="28"/>
        </w:rPr>
        <w:t>загального фонду бюджету міста</w:t>
      </w:r>
      <w:r w:rsidR="00A6582C">
        <w:rPr>
          <w:sz w:val="28"/>
          <w:szCs w:val="28"/>
        </w:rPr>
        <w:t>, її н</w:t>
      </w:r>
      <w:r w:rsidRPr="00CD612D">
        <w:rPr>
          <w:sz w:val="28"/>
          <w:szCs w:val="28"/>
        </w:rPr>
        <w:t>адходження склали 267,9 </w:t>
      </w:r>
      <w:proofErr w:type="spellStart"/>
      <w:r w:rsidRPr="00CD612D">
        <w:rPr>
          <w:sz w:val="28"/>
          <w:szCs w:val="28"/>
        </w:rPr>
        <w:t>млн.грн</w:t>
      </w:r>
      <w:proofErr w:type="spellEnd"/>
      <w:r w:rsidRPr="00CD612D">
        <w:rPr>
          <w:sz w:val="28"/>
          <w:szCs w:val="28"/>
        </w:rPr>
        <w:t xml:space="preserve">., </w:t>
      </w:r>
      <w:r w:rsidR="00A6582C">
        <w:rPr>
          <w:sz w:val="28"/>
          <w:szCs w:val="28"/>
        </w:rPr>
        <w:t xml:space="preserve">план </w:t>
      </w:r>
      <w:r w:rsidRPr="00CD612D">
        <w:rPr>
          <w:sz w:val="28"/>
          <w:szCs w:val="28"/>
        </w:rPr>
        <w:t>виконан</w:t>
      </w:r>
      <w:r w:rsidR="00A6582C">
        <w:rPr>
          <w:sz w:val="28"/>
          <w:szCs w:val="28"/>
        </w:rPr>
        <w:t xml:space="preserve">ий на </w:t>
      </w:r>
      <w:r w:rsidRPr="00CD612D">
        <w:rPr>
          <w:sz w:val="28"/>
          <w:szCs w:val="28"/>
        </w:rPr>
        <w:t xml:space="preserve">105,2 відсотка. </w:t>
      </w:r>
      <w:r w:rsidR="00E20A17">
        <w:rPr>
          <w:sz w:val="28"/>
          <w:szCs w:val="28"/>
        </w:rPr>
        <w:t xml:space="preserve">Порівняно з відповідним періодом минулого року </w:t>
      </w:r>
      <w:r w:rsidRPr="00CD612D">
        <w:rPr>
          <w:sz w:val="28"/>
          <w:szCs w:val="28"/>
        </w:rPr>
        <w:t>зростання становить 15,9 </w:t>
      </w:r>
      <w:proofErr w:type="spellStart"/>
      <w:r w:rsidRPr="00CD612D">
        <w:rPr>
          <w:sz w:val="28"/>
          <w:szCs w:val="28"/>
        </w:rPr>
        <w:t>млн.грн</w:t>
      </w:r>
      <w:proofErr w:type="spellEnd"/>
      <w:r w:rsidRPr="00CD612D">
        <w:rPr>
          <w:sz w:val="28"/>
          <w:szCs w:val="28"/>
        </w:rPr>
        <w:t>. або 6,3 відсотка. Зазначеному збільшенню та перевиконанню планового показнику сприяли надходження плати</w:t>
      </w:r>
      <w:r w:rsidR="00E20A17">
        <w:rPr>
          <w:sz w:val="28"/>
          <w:szCs w:val="28"/>
        </w:rPr>
        <w:t xml:space="preserve"> за землю</w:t>
      </w:r>
      <w:r w:rsidRPr="00CD612D">
        <w:rPr>
          <w:sz w:val="28"/>
          <w:szCs w:val="28"/>
        </w:rPr>
        <w:t xml:space="preserve"> від деяких підприємств міста</w:t>
      </w:r>
      <w:r w:rsidR="00E20A17">
        <w:rPr>
          <w:sz w:val="28"/>
          <w:szCs w:val="28"/>
        </w:rPr>
        <w:t xml:space="preserve"> за результатами </w:t>
      </w:r>
      <w:r w:rsidRPr="00CD612D">
        <w:rPr>
          <w:sz w:val="28"/>
          <w:szCs w:val="28"/>
        </w:rPr>
        <w:t>перерахунк</w:t>
      </w:r>
      <w:r w:rsidR="00E20A17">
        <w:rPr>
          <w:sz w:val="28"/>
          <w:szCs w:val="28"/>
        </w:rPr>
        <w:t>ів</w:t>
      </w:r>
      <w:r w:rsidRPr="00CD612D">
        <w:rPr>
          <w:sz w:val="28"/>
          <w:szCs w:val="28"/>
        </w:rPr>
        <w:t xml:space="preserve"> минул</w:t>
      </w:r>
      <w:r w:rsidR="00E20A17">
        <w:rPr>
          <w:sz w:val="28"/>
          <w:szCs w:val="28"/>
        </w:rPr>
        <w:t xml:space="preserve">орічних платежів </w:t>
      </w:r>
      <w:r w:rsidRPr="00CD612D">
        <w:rPr>
          <w:sz w:val="28"/>
          <w:szCs w:val="28"/>
        </w:rPr>
        <w:t>з врахуванням пені і штрафних санкцій та проведення роботи з землекористувачами щодо необхідності здійсненн</w:t>
      </w:r>
      <w:r w:rsidR="00E20A17">
        <w:rPr>
          <w:sz w:val="28"/>
          <w:szCs w:val="28"/>
        </w:rPr>
        <w:t>я перерахунків вартості землі і</w:t>
      </w:r>
      <w:r w:rsidRPr="00CD612D">
        <w:rPr>
          <w:sz w:val="28"/>
          <w:szCs w:val="28"/>
        </w:rPr>
        <w:t xml:space="preserve"> збільшення ставок.</w:t>
      </w:r>
    </w:p>
    <w:p w:rsidR="00CD612D" w:rsidRPr="00CD612D" w:rsidRDefault="005633ED" w:rsidP="00CD612D">
      <w:pPr>
        <w:pStyle w:val="a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звітний період</w:t>
      </w:r>
      <w:r w:rsidR="00CD612D" w:rsidRPr="00CD612D">
        <w:rPr>
          <w:rFonts w:ascii="Times New Roman" w:hAnsi="Times New Roman"/>
        </w:rPr>
        <w:t xml:space="preserve"> до бюджету надійшло податку на прибуток підприємств комунальної власності в сумі 28,4 </w:t>
      </w:r>
      <w:proofErr w:type="spellStart"/>
      <w:r w:rsidR="00CD612D" w:rsidRPr="00CD612D">
        <w:rPr>
          <w:rFonts w:ascii="Times New Roman" w:hAnsi="Times New Roman"/>
        </w:rPr>
        <w:t>млн.грн</w:t>
      </w:r>
      <w:proofErr w:type="spellEnd"/>
      <w:r w:rsidR="00CD612D" w:rsidRPr="00CD612D">
        <w:rPr>
          <w:rFonts w:ascii="Times New Roman" w:hAnsi="Times New Roman"/>
        </w:rPr>
        <w:t>.</w:t>
      </w:r>
      <w:r w:rsidR="00F85128">
        <w:rPr>
          <w:rFonts w:ascii="Times New Roman" w:hAnsi="Times New Roman"/>
        </w:rPr>
        <w:t>, що</w:t>
      </w:r>
      <w:r w:rsidR="00CD612D" w:rsidRPr="00CD612D">
        <w:rPr>
          <w:rFonts w:ascii="Times New Roman" w:hAnsi="Times New Roman"/>
        </w:rPr>
        <w:t xml:space="preserve"> на 1,1 </w:t>
      </w:r>
      <w:proofErr w:type="spellStart"/>
      <w:r w:rsidR="00CD612D" w:rsidRPr="00CD612D">
        <w:rPr>
          <w:rFonts w:ascii="Times New Roman" w:hAnsi="Times New Roman"/>
        </w:rPr>
        <w:t>млн.грн</w:t>
      </w:r>
      <w:proofErr w:type="spellEnd"/>
      <w:r w:rsidR="00CD612D" w:rsidRPr="00CD612D">
        <w:rPr>
          <w:rFonts w:ascii="Times New Roman" w:hAnsi="Times New Roman"/>
        </w:rPr>
        <w:t xml:space="preserve">. більше ніж у аналогічному періоді минулого року. </w:t>
      </w:r>
    </w:p>
    <w:p w:rsidR="005633ED" w:rsidRDefault="00CD612D" w:rsidP="00CD612D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12D">
        <w:rPr>
          <w:rFonts w:ascii="Times New Roman" w:hAnsi="Times New Roman"/>
          <w:sz w:val="28"/>
          <w:szCs w:val="28"/>
        </w:rPr>
        <w:t>Надходження спеціального фонду бюджету міста склали 208,0 </w:t>
      </w:r>
      <w:proofErr w:type="spellStart"/>
      <w:r w:rsidRPr="00CD612D">
        <w:rPr>
          <w:rFonts w:ascii="Times New Roman" w:hAnsi="Times New Roman"/>
          <w:sz w:val="28"/>
          <w:szCs w:val="28"/>
        </w:rPr>
        <w:t>млн.грн</w:t>
      </w:r>
      <w:proofErr w:type="spellEnd"/>
      <w:r w:rsidRPr="00CD612D">
        <w:rPr>
          <w:rFonts w:ascii="Times New Roman" w:hAnsi="Times New Roman"/>
          <w:sz w:val="28"/>
          <w:szCs w:val="28"/>
        </w:rPr>
        <w:t>., в тому числі податки і збори – 190,7 </w:t>
      </w:r>
      <w:proofErr w:type="spellStart"/>
      <w:r w:rsidRPr="00CD612D">
        <w:rPr>
          <w:rFonts w:ascii="Times New Roman" w:hAnsi="Times New Roman"/>
          <w:sz w:val="28"/>
          <w:szCs w:val="28"/>
        </w:rPr>
        <w:t>млн.грн</w:t>
      </w:r>
      <w:proofErr w:type="spellEnd"/>
      <w:r w:rsidRPr="00CD612D">
        <w:rPr>
          <w:rFonts w:ascii="Times New Roman" w:hAnsi="Times New Roman"/>
          <w:sz w:val="28"/>
          <w:szCs w:val="28"/>
        </w:rPr>
        <w:t>.</w:t>
      </w:r>
      <w:r w:rsidR="00F85128">
        <w:rPr>
          <w:rFonts w:ascii="Times New Roman" w:hAnsi="Times New Roman"/>
          <w:sz w:val="28"/>
          <w:szCs w:val="28"/>
        </w:rPr>
        <w:t>,</w:t>
      </w:r>
      <w:r w:rsidRPr="00CD612D">
        <w:rPr>
          <w:rFonts w:ascii="Times New Roman" w:hAnsi="Times New Roman"/>
          <w:sz w:val="28"/>
          <w:szCs w:val="28"/>
        </w:rPr>
        <w:t xml:space="preserve"> субвенції з державного бюджету – 17,3 </w:t>
      </w:r>
      <w:proofErr w:type="spellStart"/>
      <w:r w:rsidRPr="00CD612D">
        <w:rPr>
          <w:rFonts w:ascii="Times New Roman" w:hAnsi="Times New Roman"/>
          <w:sz w:val="28"/>
          <w:szCs w:val="28"/>
        </w:rPr>
        <w:t>млн.грн</w:t>
      </w:r>
      <w:proofErr w:type="spellEnd"/>
      <w:r w:rsidRPr="00CD612D">
        <w:rPr>
          <w:rFonts w:ascii="Times New Roman" w:hAnsi="Times New Roman"/>
          <w:sz w:val="28"/>
          <w:szCs w:val="28"/>
        </w:rPr>
        <w:t xml:space="preserve">. Без урахування офіційних трансфертів план виконаний на 112,4 відсотка. </w:t>
      </w:r>
    </w:p>
    <w:p w:rsidR="00537261" w:rsidRDefault="00CD612D" w:rsidP="00CD612D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12D">
        <w:rPr>
          <w:rFonts w:ascii="Times New Roman" w:hAnsi="Times New Roman"/>
          <w:sz w:val="28"/>
          <w:szCs w:val="28"/>
        </w:rPr>
        <w:t xml:space="preserve">Найбільшу питому вагу в доходах </w:t>
      </w:r>
      <w:r w:rsidR="005633ED">
        <w:rPr>
          <w:rFonts w:ascii="Times New Roman" w:hAnsi="Times New Roman"/>
          <w:sz w:val="28"/>
          <w:szCs w:val="28"/>
        </w:rPr>
        <w:t xml:space="preserve">спеціального фонду </w:t>
      </w:r>
      <w:r w:rsidRPr="00CD612D">
        <w:rPr>
          <w:rFonts w:ascii="Times New Roman" w:hAnsi="Times New Roman"/>
          <w:sz w:val="28"/>
          <w:szCs w:val="28"/>
        </w:rPr>
        <w:t>займа</w:t>
      </w:r>
      <w:r w:rsidR="005633ED">
        <w:rPr>
          <w:rFonts w:ascii="Times New Roman" w:hAnsi="Times New Roman"/>
          <w:sz w:val="28"/>
          <w:szCs w:val="28"/>
        </w:rPr>
        <w:t>є</w:t>
      </w:r>
      <w:r w:rsidRPr="00CD612D">
        <w:rPr>
          <w:rFonts w:ascii="Times New Roman" w:hAnsi="Times New Roman"/>
          <w:sz w:val="28"/>
          <w:szCs w:val="28"/>
        </w:rPr>
        <w:t xml:space="preserve"> єдиний податок</w:t>
      </w:r>
      <w:r w:rsidR="005633ED">
        <w:rPr>
          <w:rFonts w:ascii="Times New Roman" w:hAnsi="Times New Roman"/>
          <w:sz w:val="28"/>
          <w:szCs w:val="28"/>
        </w:rPr>
        <w:t xml:space="preserve">, його надходження склали </w:t>
      </w:r>
      <w:r w:rsidRPr="00CD612D">
        <w:rPr>
          <w:rFonts w:ascii="Times New Roman" w:hAnsi="Times New Roman"/>
          <w:sz w:val="28"/>
          <w:szCs w:val="28"/>
        </w:rPr>
        <w:t>93,9 </w:t>
      </w:r>
      <w:proofErr w:type="spellStart"/>
      <w:r w:rsidRPr="00CD612D">
        <w:rPr>
          <w:rFonts w:ascii="Times New Roman" w:hAnsi="Times New Roman"/>
          <w:sz w:val="28"/>
          <w:szCs w:val="28"/>
        </w:rPr>
        <w:t>млн.грн</w:t>
      </w:r>
      <w:proofErr w:type="spellEnd"/>
      <w:r w:rsidRPr="00CD612D">
        <w:rPr>
          <w:rFonts w:ascii="Times New Roman" w:hAnsi="Times New Roman"/>
          <w:sz w:val="28"/>
          <w:szCs w:val="28"/>
        </w:rPr>
        <w:t>.</w:t>
      </w:r>
      <w:r w:rsidR="005633ED">
        <w:rPr>
          <w:rFonts w:ascii="Times New Roman" w:hAnsi="Times New Roman"/>
          <w:sz w:val="28"/>
          <w:szCs w:val="28"/>
        </w:rPr>
        <w:t>, що на 31,0 </w:t>
      </w:r>
      <w:proofErr w:type="spellStart"/>
      <w:r w:rsidR="005633ED">
        <w:rPr>
          <w:rFonts w:ascii="Times New Roman" w:hAnsi="Times New Roman"/>
          <w:sz w:val="28"/>
          <w:szCs w:val="28"/>
        </w:rPr>
        <w:t>млн.грн</w:t>
      </w:r>
      <w:proofErr w:type="spellEnd"/>
      <w:r w:rsidR="005633ED">
        <w:rPr>
          <w:rFonts w:ascii="Times New Roman" w:hAnsi="Times New Roman"/>
          <w:sz w:val="28"/>
          <w:szCs w:val="28"/>
        </w:rPr>
        <w:t xml:space="preserve">. перевищує показник за відповідний період минулого року. </w:t>
      </w:r>
      <w:r w:rsidR="005633ED" w:rsidRPr="00CD612D">
        <w:rPr>
          <w:rFonts w:ascii="Times New Roman" w:hAnsi="Times New Roman"/>
          <w:sz w:val="28"/>
          <w:szCs w:val="28"/>
        </w:rPr>
        <w:t>Значний темп росту єдиного податку пов’язаний із зростанням кількості платників</w:t>
      </w:r>
      <w:r w:rsidR="005633ED">
        <w:rPr>
          <w:rFonts w:ascii="Times New Roman" w:hAnsi="Times New Roman"/>
          <w:sz w:val="28"/>
          <w:szCs w:val="28"/>
        </w:rPr>
        <w:t xml:space="preserve"> на 529 суб’єктів оподаткування</w:t>
      </w:r>
      <w:r w:rsidR="005633ED" w:rsidRPr="00CD612D">
        <w:rPr>
          <w:rFonts w:ascii="Times New Roman" w:hAnsi="Times New Roman"/>
          <w:sz w:val="28"/>
          <w:szCs w:val="28"/>
        </w:rPr>
        <w:t xml:space="preserve">. </w:t>
      </w:r>
    </w:p>
    <w:p w:rsidR="003900CE" w:rsidRDefault="00537261" w:rsidP="00CD612D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складі спеціального фонду бюджет міста також отримав власних надходжень </w:t>
      </w:r>
      <w:r w:rsidR="00F85128">
        <w:rPr>
          <w:rFonts w:ascii="Times New Roman" w:hAnsi="Times New Roman"/>
          <w:sz w:val="28"/>
          <w:szCs w:val="28"/>
        </w:rPr>
        <w:t xml:space="preserve">бюджетних установ </w:t>
      </w:r>
      <w:r>
        <w:rPr>
          <w:rFonts w:ascii="Times New Roman" w:hAnsi="Times New Roman"/>
          <w:sz w:val="28"/>
          <w:szCs w:val="28"/>
        </w:rPr>
        <w:t>на загальну суму 76,7 </w:t>
      </w:r>
      <w:proofErr w:type="spellStart"/>
      <w:r>
        <w:rPr>
          <w:rFonts w:ascii="Times New Roman" w:hAnsi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/>
          <w:sz w:val="28"/>
          <w:szCs w:val="28"/>
        </w:rPr>
        <w:t>., екологічного податку – 11,7 </w:t>
      </w:r>
      <w:proofErr w:type="spellStart"/>
      <w:r>
        <w:rPr>
          <w:rFonts w:ascii="Times New Roman" w:hAnsi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CD612D">
        <w:rPr>
          <w:rFonts w:ascii="Times New Roman" w:hAnsi="Times New Roman"/>
          <w:sz w:val="28"/>
          <w:szCs w:val="28"/>
        </w:rPr>
        <w:t>надходжен</w:t>
      </w:r>
      <w:r w:rsidR="003900CE">
        <w:rPr>
          <w:rFonts w:ascii="Times New Roman" w:hAnsi="Times New Roman"/>
          <w:sz w:val="28"/>
          <w:szCs w:val="28"/>
        </w:rPr>
        <w:t>ь</w:t>
      </w:r>
      <w:r w:rsidRPr="00CD612D">
        <w:rPr>
          <w:rFonts w:ascii="Times New Roman" w:hAnsi="Times New Roman"/>
          <w:sz w:val="28"/>
          <w:szCs w:val="28"/>
        </w:rPr>
        <w:t xml:space="preserve"> від відчуження майна, що перебуває у комунальній власності</w:t>
      </w:r>
      <w:r w:rsidR="00F85128">
        <w:rPr>
          <w:rFonts w:ascii="Times New Roman" w:hAnsi="Times New Roman"/>
          <w:sz w:val="28"/>
          <w:szCs w:val="28"/>
        </w:rPr>
        <w:t>,</w:t>
      </w:r>
      <w:r w:rsidRPr="00CD612D">
        <w:rPr>
          <w:rFonts w:ascii="Times New Roman" w:hAnsi="Times New Roman"/>
          <w:sz w:val="28"/>
          <w:szCs w:val="28"/>
        </w:rPr>
        <w:t xml:space="preserve"> – 4,0 </w:t>
      </w:r>
      <w:proofErr w:type="spellStart"/>
      <w:r w:rsidRPr="00CD612D">
        <w:rPr>
          <w:rFonts w:ascii="Times New Roman" w:hAnsi="Times New Roman"/>
          <w:sz w:val="28"/>
          <w:szCs w:val="28"/>
        </w:rPr>
        <w:t>млн.грн</w:t>
      </w:r>
      <w:proofErr w:type="spellEnd"/>
      <w:r w:rsidRPr="00CD612D">
        <w:rPr>
          <w:rFonts w:ascii="Times New Roman" w:hAnsi="Times New Roman"/>
          <w:sz w:val="28"/>
          <w:szCs w:val="28"/>
        </w:rPr>
        <w:t>.</w:t>
      </w:r>
      <w:r w:rsidR="003900CE">
        <w:rPr>
          <w:rFonts w:ascii="Times New Roman" w:hAnsi="Times New Roman"/>
          <w:sz w:val="28"/>
          <w:szCs w:val="28"/>
        </w:rPr>
        <w:t>, збору за першу реєстрацію транспортних засобів – 2,3 </w:t>
      </w:r>
      <w:proofErr w:type="spellStart"/>
      <w:r w:rsidR="003900CE">
        <w:rPr>
          <w:rFonts w:ascii="Times New Roman" w:hAnsi="Times New Roman"/>
          <w:sz w:val="28"/>
          <w:szCs w:val="28"/>
        </w:rPr>
        <w:t>млн.грн</w:t>
      </w:r>
      <w:proofErr w:type="spellEnd"/>
      <w:r w:rsidR="003900CE">
        <w:rPr>
          <w:rFonts w:ascii="Times New Roman" w:hAnsi="Times New Roman"/>
          <w:sz w:val="28"/>
          <w:szCs w:val="28"/>
        </w:rPr>
        <w:t>. тощо.</w:t>
      </w:r>
    </w:p>
    <w:p w:rsidR="001F5290" w:rsidRPr="00CC5510" w:rsidRDefault="001F5290" w:rsidP="00E20CCD">
      <w:pPr>
        <w:ind w:firstLine="709"/>
        <w:jc w:val="both"/>
        <w:rPr>
          <w:i/>
          <w:sz w:val="16"/>
          <w:szCs w:val="16"/>
          <w:u w:val="single"/>
        </w:rPr>
      </w:pPr>
    </w:p>
    <w:p w:rsidR="007A6C6A" w:rsidRPr="007A6C6A" w:rsidRDefault="007A6C6A" w:rsidP="00E20CCD">
      <w:pPr>
        <w:ind w:firstLine="709"/>
        <w:jc w:val="both"/>
        <w:rPr>
          <w:sz w:val="28"/>
          <w:szCs w:val="28"/>
          <w:u w:val="single"/>
        </w:rPr>
      </w:pPr>
      <w:r w:rsidRPr="007A6C6A">
        <w:rPr>
          <w:sz w:val="28"/>
          <w:szCs w:val="28"/>
          <w:u w:val="single"/>
        </w:rPr>
        <w:t>Видатки</w:t>
      </w:r>
    </w:p>
    <w:p w:rsidR="00D85058" w:rsidRDefault="00F37918" w:rsidP="00E20CCD">
      <w:pPr>
        <w:ind w:firstLine="709"/>
        <w:jc w:val="both"/>
        <w:rPr>
          <w:sz w:val="28"/>
          <w:szCs w:val="28"/>
        </w:rPr>
      </w:pPr>
      <w:r w:rsidRPr="001F5290">
        <w:rPr>
          <w:sz w:val="28"/>
          <w:szCs w:val="28"/>
        </w:rPr>
        <w:t xml:space="preserve">За </w:t>
      </w:r>
      <w:r w:rsidR="00DF03FC">
        <w:rPr>
          <w:sz w:val="28"/>
          <w:szCs w:val="28"/>
        </w:rPr>
        <w:t>звітний період</w:t>
      </w:r>
      <w:r w:rsidRPr="001F5290">
        <w:rPr>
          <w:sz w:val="28"/>
          <w:szCs w:val="28"/>
        </w:rPr>
        <w:t xml:space="preserve"> з бюджету міста проведено видатк</w:t>
      </w:r>
      <w:r w:rsidR="006C5EB9" w:rsidRPr="001F5290">
        <w:rPr>
          <w:sz w:val="28"/>
          <w:szCs w:val="28"/>
        </w:rPr>
        <w:t>ів</w:t>
      </w:r>
      <w:r w:rsidRPr="001F5290">
        <w:rPr>
          <w:sz w:val="28"/>
          <w:szCs w:val="28"/>
        </w:rPr>
        <w:t xml:space="preserve"> на загальну</w:t>
      </w:r>
      <w:r>
        <w:rPr>
          <w:sz w:val="28"/>
          <w:szCs w:val="28"/>
        </w:rPr>
        <w:t xml:space="preserve"> суму </w:t>
      </w:r>
      <w:r w:rsidR="00E20CCD">
        <w:rPr>
          <w:sz w:val="28"/>
          <w:szCs w:val="28"/>
        </w:rPr>
        <w:t>2 016,4</w:t>
      </w:r>
      <w:r w:rsidR="0078340B">
        <w:rPr>
          <w:sz w:val="28"/>
          <w:szCs w:val="28"/>
        </w:rPr>
        <w:t xml:space="preserve"> </w:t>
      </w:r>
      <w:proofErr w:type="spellStart"/>
      <w:r w:rsidR="0078340B">
        <w:rPr>
          <w:sz w:val="28"/>
          <w:szCs w:val="28"/>
        </w:rPr>
        <w:t>млн.грн</w:t>
      </w:r>
      <w:proofErr w:type="spellEnd"/>
      <w:r w:rsidR="0078340B">
        <w:rPr>
          <w:sz w:val="28"/>
          <w:szCs w:val="28"/>
        </w:rPr>
        <w:t xml:space="preserve">., із яких </w:t>
      </w:r>
      <w:r w:rsidR="00796E66">
        <w:rPr>
          <w:sz w:val="28"/>
          <w:szCs w:val="28"/>
        </w:rPr>
        <w:t>за</w:t>
      </w:r>
      <w:r w:rsidR="0078340B">
        <w:rPr>
          <w:sz w:val="28"/>
          <w:szCs w:val="28"/>
        </w:rPr>
        <w:t xml:space="preserve"> загальн</w:t>
      </w:r>
      <w:r w:rsidR="00796E66">
        <w:rPr>
          <w:sz w:val="28"/>
          <w:szCs w:val="28"/>
        </w:rPr>
        <w:t>им</w:t>
      </w:r>
      <w:r w:rsidR="0078340B">
        <w:rPr>
          <w:sz w:val="28"/>
          <w:szCs w:val="28"/>
        </w:rPr>
        <w:t xml:space="preserve"> фонд</w:t>
      </w:r>
      <w:r w:rsidR="00796E66">
        <w:rPr>
          <w:sz w:val="28"/>
          <w:szCs w:val="28"/>
        </w:rPr>
        <w:t>ом</w:t>
      </w:r>
      <w:r w:rsidR="0078340B">
        <w:rPr>
          <w:sz w:val="28"/>
          <w:szCs w:val="28"/>
        </w:rPr>
        <w:t xml:space="preserve"> бюджету </w:t>
      </w:r>
      <w:r w:rsidR="00E20CCD">
        <w:rPr>
          <w:sz w:val="28"/>
          <w:szCs w:val="28"/>
        </w:rPr>
        <w:t>–</w:t>
      </w:r>
      <w:r w:rsidR="0078340B">
        <w:rPr>
          <w:sz w:val="28"/>
          <w:szCs w:val="28"/>
        </w:rPr>
        <w:t xml:space="preserve"> 1</w:t>
      </w:r>
      <w:r w:rsidR="00E20CCD">
        <w:rPr>
          <w:sz w:val="28"/>
          <w:szCs w:val="28"/>
        </w:rPr>
        <w:t>849,6</w:t>
      </w:r>
      <w:r w:rsidR="0078340B">
        <w:rPr>
          <w:sz w:val="28"/>
          <w:szCs w:val="28"/>
        </w:rPr>
        <w:t xml:space="preserve"> </w:t>
      </w:r>
      <w:proofErr w:type="spellStart"/>
      <w:r w:rsidR="0078340B">
        <w:rPr>
          <w:sz w:val="28"/>
          <w:szCs w:val="28"/>
        </w:rPr>
        <w:t>млн.грн</w:t>
      </w:r>
      <w:proofErr w:type="spellEnd"/>
      <w:r w:rsidR="0078340B">
        <w:rPr>
          <w:sz w:val="28"/>
          <w:szCs w:val="28"/>
        </w:rPr>
        <w:t xml:space="preserve">. або </w:t>
      </w:r>
      <w:r w:rsidR="00E20CCD">
        <w:rPr>
          <w:sz w:val="28"/>
          <w:szCs w:val="28"/>
        </w:rPr>
        <w:t>92,4</w:t>
      </w:r>
      <w:r w:rsidR="00905DB7">
        <w:rPr>
          <w:sz w:val="28"/>
          <w:szCs w:val="28"/>
        </w:rPr>
        <w:t xml:space="preserve"> відсотка планових показників на відповідний період,</w:t>
      </w:r>
      <w:r w:rsidR="0078340B">
        <w:rPr>
          <w:sz w:val="28"/>
          <w:szCs w:val="28"/>
        </w:rPr>
        <w:t xml:space="preserve"> </w:t>
      </w:r>
      <w:r w:rsidR="00796E66">
        <w:rPr>
          <w:sz w:val="28"/>
          <w:szCs w:val="28"/>
        </w:rPr>
        <w:t xml:space="preserve">за </w:t>
      </w:r>
      <w:r w:rsidR="0078340B">
        <w:rPr>
          <w:sz w:val="28"/>
          <w:szCs w:val="28"/>
        </w:rPr>
        <w:t>спеціальн</w:t>
      </w:r>
      <w:r w:rsidR="00796E66">
        <w:rPr>
          <w:sz w:val="28"/>
          <w:szCs w:val="28"/>
        </w:rPr>
        <w:t>им</w:t>
      </w:r>
      <w:r w:rsidR="00905DB7">
        <w:rPr>
          <w:sz w:val="28"/>
          <w:szCs w:val="28"/>
        </w:rPr>
        <w:t xml:space="preserve"> фонд</w:t>
      </w:r>
      <w:r w:rsidR="00796E66">
        <w:rPr>
          <w:sz w:val="28"/>
          <w:szCs w:val="28"/>
        </w:rPr>
        <w:t>ом</w:t>
      </w:r>
      <w:r w:rsidR="0078340B">
        <w:rPr>
          <w:sz w:val="28"/>
          <w:szCs w:val="28"/>
        </w:rPr>
        <w:t xml:space="preserve"> </w:t>
      </w:r>
      <w:r w:rsidR="00905DB7">
        <w:rPr>
          <w:sz w:val="28"/>
          <w:szCs w:val="28"/>
        </w:rPr>
        <w:t>– 1</w:t>
      </w:r>
      <w:r w:rsidR="00E20CCD">
        <w:rPr>
          <w:sz w:val="28"/>
          <w:szCs w:val="28"/>
        </w:rPr>
        <w:t>66,8</w:t>
      </w:r>
      <w:r w:rsidR="00905DB7">
        <w:rPr>
          <w:sz w:val="28"/>
          <w:szCs w:val="28"/>
        </w:rPr>
        <w:t xml:space="preserve"> </w:t>
      </w:r>
      <w:proofErr w:type="spellStart"/>
      <w:r w:rsidR="00905DB7">
        <w:rPr>
          <w:sz w:val="28"/>
          <w:szCs w:val="28"/>
        </w:rPr>
        <w:t>млн.грн</w:t>
      </w:r>
      <w:proofErr w:type="spellEnd"/>
      <w:r w:rsidR="00905DB7">
        <w:rPr>
          <w:sz w:val="28"/>
          <w:szCs w:val="28"/>
        </w:rPr>
        <w:t>.</w:t>
      </w:r>
      <w:r w:rsidR="007A4BE1">
        <w:rPr>
          <w:sz w:val="28"/>
          <w:szCs w:val="28"/>
        </w:rPr>
        <w:t xml:space="preserve"> </w:t>
      </w:r>
      <w:r w:rsidR="00D85058">
        <w:rPr>
          <w:sz w:val="28"/>
          <w:szCs w:val="28"/>
        </w:rPr>
        <w:t xml:space="preserve">До державного бюджету перераховано </w:t>
      </w:r>
      <w:r w:rsidR="00E20CCD">
        <w:rPr>
          <w:sz w:val="28"/>
          <w:szCs w:val="28"/>
        </w:rPr>
        <w:t>141,7</w:t>
      </w:r>
      <w:r w:rsidR="00D85058">
        <w:rPr>
          <w:sz w:val="28"/>
          <w:szCs w:val="28"/>
        </w:rPr>
        <w:t xml:space="preserve"> </w:t>
      </w:r>
      <w:proofErr w:type="spellStart"/>
      <w:r w:rsidR="00D85058">
        <w:rPr>
          <w:sz w:val="28"/>
          <w:szCs w:val="28"/>
        </w:rPr>
        <w:t>млн.грн</w:t>
      </w:r>
      <w:proofErr w:type="spellEnd"/>
      <w:r w:rsidR="00D85058">
        <w:rPr>
          <w:sz w:val="28"/>
          <w:szCs w:val="28"/>
        </w:rPr>
        <w:t>.</w:t>
      </w:r>
    </w:p>
    <w:p w:rsidR="00672312" w:rsidRDefault="00160D19" w:rsidP="00350D78">
      <w:pPr>
        <w:jc w:val="center"/>
        <w:rPr>
          <w:sz w:val="28"/>
          <w:szCs w:val="28"/>
        </w:rPr>
      </w:pPr>
      <w:r w:rsidRPr="00160D19">
        <w:rPr>
          <w:noProof/>
          <w:sz w:val="28"/>
          <w:szCs w:val="28"/>
          <w:lang w:val="ru-RU"/>
        </w:rPr>
        <w:drawing>
          <wp:inline distT="0" distB="0" distL="0" distR="0">
            <wp:extent cx="5905500" cy="4181475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7BA3" w:rsidRDefault="00825EC4" w:rsidP="0016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видатків загального фонду бюджету міста </w:t>
      </w:r>
      <w:r w:rsidR="0087772C">
        <w:rPr>
          <w:sz w:val="28"/>
          <w:szCs w:val="28"/>
        </w:rPr>
        <w:t xml:space="preserve">без врахування субвенцій з державного бюджету </w:t>
      </w:r>
      <w:r>
        <w:rPr>
          <w:sz w:val="28"/>
          <w:szCs w:val="28"/>
        </w:rPr>
        <w:t xml:space="preserve">за економічною складовою порівняно з відповідним періодом минулого року не зазнала суттєвих змін. Досить значною залишається частка захищених статей видатків – 89,2 відсотка. </w:t>
      </w:r>
      <w:r w:rsidR="00310E7C" w:rsidRPr="009C3C7E">
        <w:rPr>
          <w:sz w:val="28"/>
          <w:szCs w:val="28"/>
        </w:rPr>
        <w:t>Так, на заробітну плату з нарахуваннями с</w:t>
      </w:r>
      <w:r w:rsidR="00DF03FC">
        <w:rPr>
          <w:sz w:val="28"/>
          <w:szCs w:val="28"/>
        </w:rPr>
        <w:t>прямовано</w:t>
      </w:r>
      <w:r w:rsidR="00310E7C" w:rsidRPr="009C3C7E">
        <w:rPr>
          <w:sz w:val="28"/>
          <w:szCs w:val="28"/>
        </w:rPr>
        <w:t xml:space="preserve"> </w:t>
      </w:r>
      <w:r>
        <w:rPr>
          <w:sz w:val="28"/>
          <w:szCs w:val="28"/>
        </w:rPr>
        <w:t>929,7 </w:t>
      </w:r>
      <w:proofErr w:type="spellStart"/>
      <w:r w:rsidR="00310E7C" w:rsidRPr="009C3C7E">
        <w:rPr>
          <w:sz w:val="28"/>
          <w:szCs w:val="28"/>
        </w:rPr>
        <w:t>млн.грн</w:t>
      </w:r>
      <w:proofErr w:type="spellEnd"/>
      <w:r w:rsidR="00310E7C" w:rsidRPr="009C3C7E">
        <w:rPr>
          <w:sz w:val="28"/>
          <w:szCs w:val="28"/>
        </w:rPr>
        <w:t xml:space="preserve">., </w:t>
      </w:r>
      <w:r w:rsidR="00DF03FC">
        <w:rPr>
          <w:sz w:val="28"/>
          <w:szCs w:val="28"/>
        </w:rPr>
        <w:t xml:space="preserve">розрахунки </w:t>
      </w:r>
      <w:r w:rsidR="00310E7C">
        <w:rPr>
          <w:sz w:val="28"/>
          <w:szCs w:val="28"/>
        </w:rPr>
        <w:t xml:space="preserve">за спожиті бюджетними установами комунальні послуги </w:t>
      </w:r>
      <w:r w:rsidR="00462634">
        <w:rPr>
          <w:sz w:val="28"/>
          <w:szCs w:val="28"/>
        </w:rPr>
        <w:t>і</w:t>
      </w:r>
      <w:r w:rsidR="00310E7C">
        <w:rPr>
          <w:sz w:val="28"/>
          <w:szCs w:val="28"/>
        </w:rPr>
        <w:t xml:space="preserve"> енергоносії – 1</w:t>
      </w:r>
      <w:r>
        <w:rPr>
          <w:sz w:val="28"/>
          <w:szCs w:val="28"/>
        </w:rPr>
        <w:t>11,7</w:t>
      </w:r>
      <w:r w:rsidR="00310E7C">
        <w:rPr>
          <w:sz w:val="28"/>
          <w:szCs w:val="28"/>
        </w:rPr>
        <w:t xml:space="preserve"> </w:t>
      </w:r>
      <w:proofErr w:type="spellStart"/>
      <w:r w:rsidR="00310E7C">
        <w:rPr>
          <w:sz w:val="28"/>
          <w:szCs w:val="28"/>
        </w:rPr>
        <w:t>млн.грн</w:t>
      </w:r>
      <w:proofErr w:type="spellEnd"/>
      <w:r w:rsidR="00310E7C">
        <w:rPr>
          <w:sz w:val="28"/>
          <w:szCs w:val="28"/>
        </w:rPr>
        <w:t xml:space="preserve">., медикаменти та продукти харчування – </w:t>
      </w:r>
      <w:r>
        <w:rPr>
          <w:sz w:val="28"/>
          <w:szCs w:val="28"/>
        </w:rPr>
        <w:t>46</w:t>
      </w:r>
      <w:r w:rsidR="00310E7C">
        <w:rPr>
          <w:sz w:val="28"/>
          <w:szCs w:val="28"/>
        </w:rPr>
        <w:t>,0</w:t>
      </w:r>
      <w:r w:rsidR="00DF03FC">
        <w:rPr>
          <w:sz w:val="28"/>
          <w:szCs w:val="28"/>
        </w:rPr>
        <w:t> </w:t>
      </w:r>
      <w:proofErr w:type="spellStart"/>
      <w:r w:rsidR="00310E7C">
        <w:rPr>
          <w:sz w:val="28"/>
          <w:szCs w:val="28"/>
        </w:rPr>
        <w:t>млн.грн</w:t>
      </w:r>
      <w:proofErr w:type="spellEnd"/>
      <w:r w:rsidR="00310E7C">
        <w:rPr>
          <w:sz w:val="28"/>
          <w:szCs w:val="28"/>
        </w:rPr>
        <w:t>.</w:t>
      </w:r>
      <w:r w:rsidR="0087772C">
        <w:rPr>
          <w:sz w:val="28"/>
          <w:szCs w:val="28"/>
        </w:rPr>
        <w:t>, соціальні виплати населенню – 16,1 </w:t>
      </w:r>
      <w:proofErr w:type="spellStart"/>
      <w:r w:rsidR="0087772C">
        <w:rPr>
          <w:sz w:val="28"/>
          <w:szCs w:val="28"/>
        </w:rPr>
        <w:t>млн.грн</w:t>
      </w:r>
      <w:proofErr w:type="spellEnd"/>
      <w:r w:rsidR="0087772C">
        <w:rPr>
          <w:sz w:val="28"/>
          <w:szCs w:val="28"/>
        </w:rPr>
        <w:t>.</w:t>
      </w:r>
      <w:r w:rsidR="00167BA3">
        <w:rPr>
          <w:sz w:val="28"/>
          <w:szCs w:val="28"/>
        </w:rPr>
        <w:t xml:space="preserve"> Протягом звітного періоду забезпечено своєчасн</w:t>
      </w:r>
      <w:r w:rsidR="006F6CC7">
        <w:rPr>
          <w:sz w:val="28"/>
          <w:szCs w:val="28"/>
        </w:rPr>
        <w:t>у</w:t>
      </w:r>
      <w:r w:rsidR="00167BA3">
        <w:rPr>
          <w:sz w:val="28"/>
          <w:szCs w:val="28"/>
        </w:rPr>
        <w:t xml:space="preserve"> та в повному обсязі виплату заробітної плати працівникам бюджетних установ міста.</w:t>
      </w:r>
    </w:p>
    <w:p w:rsidR="000A467D" w:rsidRDefault="008B75D0" w:rsidP="001774C0">
      <w:pPr>
        <w:jc w:val="center"/>
        <w:rPr>
          <w:sz w:val="28"/>
          <w:szCs w:val="28"/>
        </w:rPr>
      </w:pPr>
      <w:r w:rsidRPr="008B75D0"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000750" cy="3781425"/>
            <wp:effectExtent l="1905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0FA2" w:rsidRDefault="00156EC5" w:rsidP="004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загальному обсязі витрат бюджету міста найбільшу частку займають видатки на </w:t>
      </w:r>
      <w:r w:rsidR="00672312">
        <w:rPr>
          <w:sz w:val="28"/>
          <w:szCs w:val="28"/>
        </w:rPr>
        <w:t>забезпечення функціонування установ соціально-культурної сфери міста та соціальний захист і соціальне забезпечення – 8</w:t>
      </w:r>
      <w:r w:rsidR="00AA15A0">
        <w:rPr>
          <w:sz w:val="28"/>
          <w:szCs w:val="28"/>
        </w:rPr>
        <w:t>0,1</w:t>
      </w:r>
      <w:r w:rsidR="00672312">
        <w:rPr>
          <w:sz w:val="28"/>
          <w:szCs w:val="28"/>
        </w:rPr>
        <w:t> відсотка.</w:t>
      </w:r>
    </w:p>
    <w:p w:rsidR="00364321" w:rsidRDefault="00364321" w:rsidP="00453789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Так, на </w:t>
      </w:r>
      <w:r w:rsidR="008F7D52" w:rsidRPr="00364321">
        <w:rPr>
          <w:sz w:val="28"/>
          <w:szCs w:val="28"/>
        </w:rPr>
        <w:t xml:space="preserve">утримання </w:t>
      </w:r>
      <w:r>
        <w:rPr>
          <w:sz w:val="28"/>
          <w:szCs w:val="28"/>
        </w:rPr>
        <w:t>і</w:t>
      </w:r>
      <w:r w:rsidR="008F7D52" w:rsidRPr="00364321">
        <w:rPr>
          <w:sz w:val="28"/>
          <w:szCs w:val="28"/>
        </w:rPr>
        <w:t xml:space="preserve"> розвиток установ соціально-культурної сфери </w:t>
      </w:r>
      <w:r>
        <w:rPr>
          <w:sz w:val="28"/>
          <w:szCs w:val="28"/>
        </w:rPr>
        <w:t xml:space="preserve">використано </w:t>
      </w:r>
      <w:r w:rsidR="005179A9">
        <w:rPr>
          <w:sz w:val="28"/>
          <w:szCs w:val="28"/>
        </w:rPr>
        <w:t>1126,6</w:t>
      </w:r>
      <w:r w:rsidR="008F7D52" w:rsidRPr="00364321">
        <w:rPr>
          <w:sz w:val="28"/>
          <w:szCs w:val="28"/>
        </w:rPr>
        <w:t xml:space="preserve"> </w:t>
      </w:r>
      <w:proofErr w:type="spellStart"/>
      <w:r w:rsidR="005179A9">
        <w:rPr>
          <w:sz w:val="28"/>
          <w:szCs w:val="28"/>
        </w:rPr>
        <w:t>млн</w:t>
      </w:r>
      <w:r w:rsidR="008F7D52" w:rsidRPr="00364321">
        <w:rPr>
          <w:sz w:val="28"/>
          <w:szCs w:val="28"/>
        </w:rPr>
        <w:t>.грн</w:t>
      </w:r>
      <w:proofErr w:type="spellEnd"/>
      <w:r w:rsidR="008F7D52" w:rsidRPr="00364321">
        <w:rPr>
          <w:sz w:val="28"/>
          <w:szCs w:val="28"/>
        </w:rPr>
        <w:t xml:space="preserve">., в тому числі </w:t>
      </w:r>
      <w:r w:rsidR="000A467D" w:rsidRPr="00364321">
        <w:rPr>
          <w:sz w:val="28"/>
          <w:szCs w:val="28"/>
        </w:rPr>
        <w:t>освіт</w:t>
      </w:r>
      <w:r w:rsidRPr="00364321">
        <w:rPr>
          <w:sz w:val="28"/>
          <w:szCs w:val="28"/>
        </w:rPr>
        <w:t>и</w:t>
      </w:r>
      <w:r w:rsidR="000A467D" w:rsidRPr="00364321">
        <w:rPr>
          <w:sz w:val="28"/>
          <w:szCs w:val="28"/>
        </w:rPr>
        <w:t xml:space="preserve"> </w:t>
      </w:r>
      <w:r w:rsidR="00AA15A0">
        <w:rPr>
          <w:sz w:val="28"/>
          <w:szCs w:val="28"/>
        </w:rPr>
        <w:t>–</w:t>
      </w:r>
      <w:r w:rsidR="008F7D52" w:rsidRPr="00364321">
        <w:rPr>
          <w:sz w:val="28"/>
          <w:szCs w:val="28"/>
        </w:rPr>
        <w:t xml:space="preserve"> </w:t>
      </w:r>
      <w:r w:rsidR="00AA15A0">
        <w:rPr>
          <w:sz w:val="28"/>
          <w:szCs w:val="28"/>
        </w:rPr>
        <w:t>605,2</w:t>
      </w:r>
      <w:r w:rsidR="000A467D" w:rsidRPr="00364321">
        <w:rPr>
          <w:sz w:val="28"/>
          <w:szCs w:val="28"/>
        </w:rPr>
        <w:t> </w:t>
      </w:r>
      <w:proofErr w:type="spellStart"/>
      <w:r w:rsidR="000A467D" w:rsidRPr="00364321">
        <w:rPr>
          <w:sz w:val="28"/>
          <w:szCs w:val="28"/>
        </w:rPr>
        <w:t>млн.грн</w:t>
      </w:r>
      <w:proofErr w:type="spellEnd"/>
      <w:r w:rsidR="000A467D" w:rsidRPr="00364321">
        <w:rPr>
          <w:sz w:val="28"/>
          <w:szCs w:val="28"/>
        </w:rPr>
        <w:t xml:space="preserve">., </w:t>
      </w:r>
      <w:r w:rsidR="00F85128" w:rsidRPr="00364321">
        <w:rPr>
          <w:sz w:val="28"/>
          <w:szCs w:val="28"/>
        </w:rPr>
        <w:t>охорон</w:t>
      </w:r>
      <w:r w:rsidR="00F85128">
        <w:rPr>
          <w:sz w:val="28"/>
          <w:szCs w:val="28"/>
        </w:rPr>
        <w:t>и</w:t>
      </w:r>
      <w:r w:rsidR="00F85128" w:rsidRPr="00364321">
        <w:rPr>
          <w:sz w:val="28"/>
          <w:szCs w:val="28"/>
        </w:rPr>
        <w:t xml:space="preserve"> здоров’я </w:t>
      </w:r>
      <w:r w:rsidR="00F85128">
        <w:t>–</w:t>
      </w:r>
      <w:r w:rsidR="00F85128" w:rsidRPr="00364321">
        <w:rPr>
          <w:sz w:val="28"/>
          <w:szCs w:val="28"/>
        </w:rPr>
        <w:t xml:space="preserve"> </w:t>
      </w:r>
      <w:r w:rsidR="00F85128">
        <w:rPr>
          <w:sz w:val="28"/>
          <w:szCs w:val="28"/>
        </w:rPr>
        <w:t>427,2</w:t>
      </w:r>
      <w:r w:rsidR="00F85128" w:rsidRPr="00770C1C">
        <w:rPr>
          <w:sz w:val="28"/>
          <w:szCs w:val="28"/>
        </w:rPr>
        <w:t> </w:t>
      </w:r>
      <w:proofErr w:type="spellStart"/>
      <w:r w:rsidR="00F85128" w:rsidRPr="00770C1C">
        <w:rPr>
          <w:sz w:val="28"/>
          <w:szCs w:val="28"/>
        </w:rPr>
        <w:t>млн.грн</w:t>
      </w:r>
      <w:proofErr w:type="spellEnd"/>
      <w:r w:rsidR="00F85128" w:rsidRPr="00770C1C">
        <w:rPr>
          <w:sz w:val="28"/>
          <w:szCs w:val="28"/>
        </w:rPr>
        <w:t>.,</w:t>
      </w:r>
      <w:r w:rsidR="00F85128">
        <w:rPr>
          <w:sz w:val="28"/>
          <w:szCs w:val="28"/>
        </w:rPr>
        <w:t xml:space="preserve"> </w:t>
      </w:r>
      <w:r w:rsidR="00F85128" w:rsidRPr="00364321">
        <w:rPr>
          <w:sz w:val="28"/>
          <w:szCs w:val="28"/>
        </w:rPr>
        <w:t>культур</w:t>
      </w:r>
      <w:r w:rsidR="00F85128">
        <w:rPr>
          <w:sz w:val="28"/>
          <w:szCs w:val="28"/>
        </w:rPr>
        <w:t>и</w:t>
      </w:r>
      <w:r w:rsidR="00F85128" w:rsidRPr="00364321">
        <w:rPr>
          <w:sz w:val="28"/>
          <w:szCs w:val="28"/>
        </w:rPr>
        <w:t xml:space="preserve"> і мистецтв </w:t>
      </w:r>
      <w:r w:rsidR="00F85128" w:rsidRPr="00972F6C">
        <w:rPr>
          <w:sz w:val="28"/>
          <w:szCs w:val="28"/>
        </w:rPr>
        <w:t>– 58,2 </w:t>
      </w:r>
      <w:proofErr w:type="spellStart"/>
      <w:r w:rsidR="00F85128" w:rsidRPr="00972F6C">
        <w:rPr>
          <w:sz w:val="28"/>
          <w:szCs w:val="28"/>
        </w:rPr>
        <w:t>млн</w:t>
      </w:r>
      <w:r w:rsidR="00F85128" w:rsidRPr="00364321">
        <w:rPr>
          <w:sz w:val="28"/>
          <w:szCs w:val="28"/>
        </w:rPr>
        <w:t>.грн</w:t>
      </w:r>
      <w:proofErr w:type="spellEnd"/>
      <w:r w:rsidR="00F85128" w:rsidRPr="00364321">
        <w:rPr>
          <w:sz w:val="28"/>
          <w:szCs w:val="28"/>
        </w:rPr>
        <w:t>.</w:t>
      </w:r>
      <w:r w:rsidR="00F85128">
        <w:rPr>
          <w:sz w:val="28"/>
          <w:szCs w:val="28"/>
        </w:rPr>
        <w:t>,</w:t>
      </w:r>
      <w:r w:rsidR="00F85128" w:rsidRPr="00770C1C">
        <w:rPr>
          <w:b/>
        </w:rPr>
        <w:t xml:space="preserve"> </w:t>
      </w:r>
      <w:r w:rsidRPr="00364321">
        <w:rPr>
          <w:sz w:val="28"/>
          <w:szCs w:val="28"/>
        </w:rPr>
        <w:t>ф</w:t>
      </w:r>
      <w:r w:rsidR="00A361A3" w:rsidRPr="00364321">
        <w:rPr>
          <w:sz w:val="28"/>
          <w:szCs w:val="28"/>
        </w:rPr>
        <w:t>ізичн</w:t>
      </w:r>
      <w:r w:rsidRPr="00364321">
        <w:rPr>
          <w:sz w:val="28"/>
          <w:szCs w:val="28"/>
        </w:rPr>
        <w:t>ої</w:t>
      </w:r>
      <w:r w:rsidR="00A361A3" w:rsidRPr="00364321">
        <w:rPr>
          <w:sz w:val="28"/>
          <w:szCs w:val="28"/>
        </w:rPr>
        <w:t xml:space="preserve"> культур</w:t>
      </w:r>
      <w:r w:rsidRPr="00364321">
        <w:rPr>
          <w:sz w:val="28"/>
          <w:szCs w:val="28"/>
        </w:rPr>
        <w:t>и</w:t>
      </w:r>
      <w:r w:rsidR="00A361A3" w:rsidRPr="00364321">
        <w:rPr>
          <w:sz w:val="28"/>
          <w:szCs w:val="28"/>
        </w:rPr>
        <w:t xml:space="preserve"> і спорт</w:t>
      </w:r>
      <w:r w:rsidRPr="00364321">
        <w:rPr>
          <w:sz w:val="28"/>
          <w:szCs w:val="28"/>
        </w:rPr>
        <w:t>у</w:t>
      </w:r>
      <w:r w:rsidR="00A361A3" w:rsidRPr="00364321">
        <w:rPr>
          <w:sz w:val="28"/>
          <w:szCs w:val="28"/>
        </w:rPr>
        <w:t xml:space="preserve"> </w:t>
      </w:r>
      <w:r w:rsidR="00AA15A0">
        <w:rPr>
          <w:sz w:val="28"/>
          <w:szCs w:val="28"/>
        </w:rPr>
        <w:t>–</w:t>
      </w:r>
      <w:r w:rsidR="00A361A3" w:rsidRPr="00364321">
        <w:rPr>
          <w:sz w:val="28"/>
          <w:szCs w:val="28"/>
        </w:rPr>
        <w:t xml:space="preserve"> </w:t>
      </w:r>
      <w:r w:rsidR="00AA15A0">
        <w:rPr>
          <w:sz w:val="28"/>
          <w:szCs w:val="28"/>
        </w:rPr>
        <w:t>20,0</w:t>
      </w:r>
      <w:r w:rsidR="00A361A3" w:rsidRPr="00364321">
        <w:rPr>
          <w:sz w:val="28"/>
          <w:szCs w:val="28"/>
        </w:rPr>
        <w:t> </w:t>
      </w:r>
      <w:proofErr w:type="spellStart"/>
      <w:r w:rsidR="00A361A3" w:rsidRPr="00364321">
        <w:rPr>
          <w:sz w:val="28"/>
          <w:szCs w:val="28"/>
        </w:rPr>
        <w:t>млн.грн</w:t>
      </w:r>
      <w:proofErr w:type="spellEnd"/>
      <w:r w:rsidR="00A361A3" w:rsidRPr="00364321">
        <w:rPr>
          <w:sz w:val="28"/>
          <w:szCs w:val="28"/>
        </w:rPr>
        <w:t>.</w:t>
      </w:r>
      <w:r w:rsidR="00083AE8">
        <w:rPr>
          <w:sz w:val="28"/>
          <w:szCs w:val="28"/>
        </w:rPr>
        <w:t>, міських соціальних служб – 16,0 </w:t>
      </w:r>
      <w:proofErr w:type="spellStart"/>
      <w:r w:rsidR="00083AE8">
        <w:rPr>
          <w:sz w:val="28"/>
          <w:szCs w:val="28"/>
        </w:rPr>
        <w:t>млн.грн</w:t>
      </w:r>
      <w:proofErr w:type="spellEnd"/>
      <w:r w:rsidR="00083AE8">
        <w:rPr>
          <w:sz w:val="28"/>
          <w:szCs w:val="28"/>
        </w:rPr>
        <w:t>.</w:t>
      </w:r>
    </w:p>
    <w:p w:rsidR="00453789" w:rsidRDefault="00632EA8" w:rsidP="004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рахунок коштів </w:t>
      </w:r>
      <w:r w:rsidRPr="00F05B72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Pr="00F05B72">
        <w:rPr>
          <w:sz w:val="28"/>
          <w:szCs w:val="28"/>
        </w:rPr>
        <w:t xml:space="preserve"> міста </w:t>
      </w:r>
      <w:r>
        <w:rPr>
          <w:sz w:val="28"/>
          <w:szCs w:val="28"/>
        </w:rPr>
        <w:t>передбачено організацію повноцінно</w:t>
      </w:r>
      <w:r w:rsidR="009972D4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9972D4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17-ти </w:t>
      </w:r>
      <w:r w:rsidR="00F85128">
        <w:rPr>
          <w:sz w:val="28"/>
          <w:szCs w:val="28"/>
        </w:rPr>
        <w:t>нових</w:t>
      </w:r>
      <w:r>
        <w:rPr>
          <w:sz w:val="28"/>
          <w:szCs w:val="28"/>
        </w:rPr>
        <w:t xml:space="preserve"> груп в дошкільних закладах, додатково охоп</w:t>
      </w:r>
      <w:r w:rsidR="00F85128">
        <w:rPr>
          <w:sz w:val="28"/>
          <w:szCs w:val="28"/>
        </w:rPr>
        <w:t>лено</w:t>
      </w:r>
      <w:r>
        <w:rPr>
          <w:sz w:val="28"/>
          <w:szCs w:val="28"/>
        </w:rPr>
        <w:t xml:space="preserve"> дошкільним вихованням 1127 дітей.</w:t>
      </w:r>
      <w:r w:rsidR="00972F6C">
        <w:rPr>
          <w:sz w:val="28"/>
          <w:szCs w:val="28"/>
        </w:rPr>
        <w:t xml:space="preserve"> Також </w:t>
      </w:r>
      <w:r w:rsidR="00E2436C">
        <w:rPr>
          <w:sz w:val="28"/>
          <w:szCs w:val="28"/>
        </w:rPr>
        <w:t>проведено</w:t>
      </w:r>
      <w:r w:rsidR="00972F6C">
        <w:rPr>
          <w:sz w:val="28"/>
          <w:szCs w:val="28"/>
        </w:rPr>
        <w:t xml:space="preserve"> оновлення </w:t>
      </w:r>
      <w:r w:rsidR="00E2436C">
        <w:rPr>
          <w:sz w:val="28"/>
          <w:szCs w:val="28"/>
        </w:rPr>
        <w:t xml:space="preserve">обладнання харчоблоків дитячих садків. </w:t>
      </w:r>
    </w:p>
    <w:p w:rsidR="00906A64" w:rsidRPr="00F05B72" w:rsidRDefault="00906A64" w:rsidP="004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серпня поточного року </w:t>
      </w:r>
      <w:r w:rsidR="00632EA8">
        <w:rPr>
          <w:sz w:val="28"/>
          <w:szCs w:val="28"/>
        </w:rPr>
        <w:t xml:space="preserve">в Шевченківському районі міста </w:t>
      </w:r>
      <w:r>
        <w:rPr>
          <w:sz w:val="28"/>
          <w:szCs w:val="28"/>
        </w:rPr>
        <w:t>розпочали свою роботу два центри первинної медико-санітарної допомоги</w:t>
      </w:r>
      <w:r w:rsidR="000C7628">
        <w:rPr>
          <w:sz w:val="28"/>
          <w:szCs w:val="28"/>
        </w:rPr>
        <w:t>.</w:t>
      </w:r>
      <w:r w:rsidR="003209D3">
        <w:rPr>
          <w:sz w:val="28"/>
          <w:szCs w:val="28"/>
        </w:rPr>
        <w:t xml:space="preserve"> Після реконструкції поновив роботу </w:t>
      </w:r>
      <w:r w:rsidR="0087772C">
        <w:rPr>
          <w:sz w:val="28"/>
          <w:szCs w:val="28"/>
        </w:rPr>
        <w:t>Запорізькій м</w:t>
      </w:r>
      <w:r w:rsidR="003209D3">
        <w:rPr>
          <w:sz w:val="28"/>
          <w:szCs w:val="28"/>
        </w:rPr>
        <w:t>іський геріатричний стаціонар, в якому відпочили та оздоровились 247 самотніх осіб похилого віку</w:t>
      </w:r>
      <w:r w:rsidR="00D14CB8">
        <w:rPr>
          <w:sz w:val="28"/>
          <w:szCs w:val="28"/>
        </w:rPr>
        <w:t xml:space="preserve"> та інвалідів</w:t>
      </w:r>
      <w:r w:rsidR="003209D3">
        <w:rPr>
          <w:sz w:val="28"/>
          <w:szCs w:val="28"/>
        </w:rPr>
        <w:t>.</w:t>
      </w:r>
    </w:p>
    <w:p w:rsidR="00E317D9" w:rsidRDefault="000A467D" w:rsidP="00453789">
      <w:pPr>
        <w:ind w:firstLine="709"/>
        <w:jc w:val="both"/>
        <w:rPr>
          <w:sz w:val="28"/>
          <w:szCs w:val="28"/>
        </w:rPr>
      </w:pPr>
      <w:r w:rsidRPr="00347918">
        <w:rPr>
          <w:sz w:val="28"/>
          <w:szCs w:val="28"/>
        </w:rPr>
        <w:t xml:space="preserve">Видатки на соціальний захист та соціальне забезпечення </w:t>
      </w:r>
      <w:r w:rsidR="00AA15A0">
        <w:rPr>
          <w:sz w:val="28"/>
          <w:szCs w:val="28"/>
        </w:rPr>
        <w:t>проведені в сумі 4</w:t>
      </w:r>
      <w:r w:rsidR="00083AE8">
        <w:rPr>
          <w:sz w:val="28"/>
          <w:szCs w:val="28"/>
        </w:rPr>
        <w:t>41,</w:t>
      </w:r>
      <w:r w:rsidR="00AA15A0">
        <w:rPr>
          <w:sz w:val="28"/>
          <w:szCs w:val="28"/>
        </w:rPr>
        <w:t>4</w:t>
      </w:r>
      <w:r w:rsidRPr="00347918">
        <w:rPr>
          <w:sz w:val="28"/>
          <w:szCs w:val="28"/>
        </w:rPr>
        <w:t> </w:t>
      </w:r>
      <w:proofErr w:type="spellStart"/>
      <w:r w:rsidRPr="00347918">
        <w:rPr>
          <w:sz w:val="28"/>
          <w:szCs w:val="28"/>
        </w:rPr>
        <w:t>млн.грн</w:t>
      </w:r>
      <w:proofErr w:type="spellEnd"/>
      <w:r w:rsidRPr="00347918">
        <w:rPr>
          <w:sz w:val="28"/>
          <w:szCs w:val="28"/>
        </w:rPr>
        <w:t xml:space="preserve">., з яких за рахунок субвенцій з державного бюджету </w:t>
      </w:r>
      <w:r w:rsidR="00F85128">
        <w:rPr>
          <w:sz w:val="28"/>
          <w:szCs w:val="28"/>
        </w:rPr>
        <w:t xml:space="preserve">- </w:t>
      </w:r>
      <w:r w:rsidR="00AA15A0">
        <w:rPr>
          <w:sz w:val="28"/>
          <w:szCs w:val="28"/>
        </w:rPr>
        <w:t>427,4</w:t>
      </w:r>
      <w:r w:rsidRPr="00347918">
        <w:rPr>
          <w:sz w:val="28"/>
          <w:szCs w:val="28"/>
        </w:rPr>
        <w:t> </w:t>
      </w:r>
      <w:proofErr w:type="spellStart"/>
      <w:r w:rsidRPr="00347918">
        <w:rPr>
          <w:sz w:val="28"/>
          <w:szCs w:val="28"/>
        </w:rPr>
        <w:t>млн.грн</w:t>
      </w:r>
      <w:proofErr w:type="spellEnd"/>
      <w:r w:rsidRPr="00347918">
        <w:rPr>
          <w:sz w:val="28"/>
          <w:szCs w:val="28"/>
        </w:rPr>
        <w:t>.</w:t>
      </w:r>
      <w:r w:rsidR="00C711DF">
        <w:rPr>
          <w:sz w:val="28"/>
          <w:szCs w:val="28"/>
        </w:rPr>
        <w:t xml:space="preserve"> </w:t>
      </w:r>
      <w:r w:rsidRPr="00347918">
        <w:rPr>
          <w:sz w:val="28"/>
          <w:szCs w:val="28"/>
        </w:rPr>
        <w:t xml:space="preserve">Кошти субвенцій спрямовані на надання допомоги сім`ям з дітьми, малозабезпеченим сім`ям, інвалідам з дитинства, дітям інвалідам та тимчасової державної допомоги </w:t>
      </w:r>
      <w:r w:rsidR="00E317D9">
        <w:rPr>
          <w:sz w:val="28"/>
          <w:szCs w:val="28"/>
        </w:rPr>
        <w:t xml:space="preserve">в сумі </w:t>
      </w:r>
      <w:r w:rsidR="00AA15A0">
        <w:rPr>
          <w:sz w:val="28"/>
          <w:szCs w:val="28"/>
        </w:rPr>
        <w:t>368,7</w:t>
      </w:r>
      <w:r w:rsidR="00347918" w:rsidRPr="00347918">
        <w:rPr>
          <w:sz w:val="28"/>
          <w:szCs w:val="28"/>
        </w:rPr>
        <w:t> </w:t>
      </w:r>
      <w:proofErr w:type="spellStart"/>
      <w:r w:rsidRPr="00347918">
        <w:rPr>
          <w:sz w:val="28"/>
          <w:szCs w:val="28"/>
        </w:rPr>
        <w:t>млн.грн</w:t>
      </w:r>
      <w:proofErr w:type="spellEnd"/>
      <w:r w:rsidRPr="00347918">
        <w:rPr>
          <w:sz w:val="28"/>
          <w:szCs w:val="28"/>
        </w:rPr>
        <w:t>.</w:t>
      </w:r>
      <w:r w:rsidR="00E317D9">
        <w:rPr>
          <w:sz w:val="28"/>
          <w:szCs w:val="28"/>
        </w:rPr>
        <w:t>,</w:t>
      </w:r>
      <w:r w:rsidRPr="00347918">
        <w:rPr>
          <w:sz w:val="28"/>
          <w:szCs w:val="28"/>
        </w:rPr>
        <w:t xml:space="preserve"> пільг </w:t>
      </w:r>
      <w:r w:rsidR="00F85128">
        <w:rPr>
          <w:sz w:val="28"/>
          <w:szCs w:val="28"/>
        </w:rPr>
        <w:t>на оплату житлово-комунальних послуг та енергоносіїв</w:t>
      </w:r>
      <w:r w:rsidRPr="00E317D9">
        <w:rPr>
          <w:sz w:val="28"/>
          <w:szCs w:val="28"/>
        </w:rPr>
        <w:t xml:space="preserve">, а також інших, передбачених законодавством пільг, - </w:t>
      </w:r>
      <w:r w:rsidR="00AA15A0">
        <w:rPr>
          <w:sz w:val="28"/>
          <w:szCs w:val="28"/>
        </w:rPr>
        <w:t>46,5</w:t>
      </w:r>
      <w:r w:rsidR="00535539">
        <w:rPr>
          <w:sz w:val="28"/>
          <w:szCs w:val="28"/>
        </w:rPr>
        <w:t> </w:t>
      </w:r>
      <w:proofErr w:type="spellStart"/>
      <w:r w:rsidRPr="00E317D9">
        <w:rPr>
          <w:sz w:val="28"/>
          <w:szCs w:val="28"/>
        </w:rPr>
        <w:t>млн.грн</w:t>
      </w:r>
      <w:proofErr w:type="spellEnd"/>
      <w:r w:rsidRPr="00E317D9">
        <w:rPr>
          <w:sz w:val="28"/>
          <w:szCs w:val="28"/>
        </w:rPr>
        <w:t>.</w:t>
      </w:r>
      <w:r w:rsidR="00E317D9">
        <w:rPr>
          <w:sz w:val="28"/>
          <w:szCs w:val="28"/>
        </w:rPr>
        <w:t>,</w:t>
      </w:r>
      <w:r w:rsidRPr="00E317D9">
        <w:rPr>
          <w:sz w:val="28"/>
          <w:szCs w:val="28"/>
        </w:rPr>
        <w:t xml:space="preserve"> </w:t>
      </w:r>
      <w:r w:rsidR="00E317D9" w:rsidRPr="00E317D9">
        <w:rPr>
          <w:sz w:val="28"/>
          <w:szCs w:val="28"/>
        </w:rPr>
        <w:t>відшкодування додаткових виплат населенню на покриття витрат на оплату житлово-комунальних послуг – 1</w:t>
      </w:r>
      <w:r w:rsidR="00AA15A0">
        <w:rPr>
          <w:sz w:val="28"/>
          <w:szCs w:val="28"/>
        </w:rPr>
        <w:t>2,2</w:t>
      </w:r>
      <w:r w:rsidR="00D763F1">
        <w:rPr>
          <w:sz w:val="28"/>
          <w:szCs w:val="28"/>
        </w:rPr>
        <w:t> </w:t>
      </w:r>
      <w:proofErr w:type="spellStart"/>
      <w:r w:rsidR="00E317D9" w:rsidRPr="00E317D9">
        <w:rPr>
          <w:sz w:val="28"/>
          <w:szCs w:val="28"/>
        </w:rPr>
        <w:t>млн.грн</w:t>
      </w:r>
      <w:proofErr w:type="spellEnd"/>
      <w:r w:rsidR="00E317D9" w:rsidRPr="00E317D9">
        <w:rPr>
          <w:sz w:val="28"/>
          <w:szCs w:val="28"/>
        </w:rPr>
        <w:t>.</w:t>
      </w:r>
    </w:p>
    <w:p w:rsidR="000A467D" w:rsidRPr="00E317D9" w:rsidRDefault="006E7CD7" w:rsidP="00E31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9 місяців поточного року </w:t>
      </w:r>
      <w:r w:rsidRPr="00E317D9">
        <w:rPr>
          <w:sz w:val="28"/>
          <w:szCs w:val="28"/>
        </w:rPr>
        <w:t xml:space="preserve">пільгами на надання житлово-комунальних послуг </w:t>
      </w:r>
      <w:r>
        <w:rPr>
          <w:sz w:val="28"/>
          <w:szCs w:val="28"/>
        </w:rPr>
        <w:t xml:space="preserve">скористались </w:t>
      </w:r>
      <w:r w:rsidR="00A83594" w:rsidRPr="00701683">
        <w:rPr>
          <w:sz w:val="28"/>
          <w:szCs w:val="28"/>
        </w:rPr>
        <w:t xml:space="preserve">понад </w:t>
      </w:r>
      <w:r w:rsidR="00701683" w:rsidRPr="00701683">
        <w:rPr>
          <w:sz w:val="28"/>
          <w:szCs w:val="28"/>
        </w:rPr>
        <w:t>93</w:t>
      </w:r>
      <w:r w:rsidR="00E317D9" w:rsidRPr="00701683">
        <w:rPr>
          <w:sz w:val="28"/>
          <w:szCs w:val="28"/>
        </w:rPr>
        <w:t> </w:t>
      </w:r>
      <w:proofErr w:type="spellStart"/>
      <w:r w:rsidR="00E317D9" w:rsidRPr="00701683">
        <w:rPr>
          <w:sz w:val="28"/>
          <w:szCs w:val="28"/>
        </w:rPr>
        <w:t>тис.чол</w:t>
      </w:r>
      <w:proofErr w:type="spellEnd"/>
      <w:r w:rsidR="00E317D9" w:rsidRPr="00701683">
        <w:rPr>
          <w:sz w:val="28"/>
          <w:szCs w:val="28"/>
        </w:rPr>
        <w:t>.,</w:t>
      </w:r>
      <w:r w:rsidR="00E317D9">
        <w:rPr>
          <w:sz w:val="28"/>
          <w:szCs w:val="28"/>
        </w:rPr>
        <w:t xml:space="preserve"> іншими, передбаченими законодавством пільгами </w:t>
      </w:r>
      <w:r>
        <w:rPr>
          <w:sz w:val="28"/>
          <w:szCs w:val="28"/>
        </w:rPr>
        <w:t xml:space="preserve">- </w:t>
      </w:r>
      <w:r w:rsidRPr="00701683">
        <w:rPr>
          <w:sz w:val="28"/>
          <w:szCs w:val="28"/>
        </w:rPr>
        <w:t>2</w:t>
      </w:r>
      <w:r w:rsidR="00701683" w:rsidRPr="00701683">
        <w:rPr>
          <w:sz w:val="28"/>
          <w:szCs w:val="28"/>
        </w:rPr>
        <w:t>8,3</w:t>
      </w:r>
      <w:r w:rsidRPr="00701683">
        <w:rPr>
          <w:sz w:val="28"/>
          <w:szCs w:val="28"/>
        </w:rPr>
        <w:t> </w:t>
      </w:r>
      <w:proofErr w:type="spellStart"/>
      <w:r w:rsidRPr="00701683">
        <w:rPr>
          <w:sz w:val="28"/>
          <w:szCs w:val="28"/>
        </w:rPr>
        <w:t>тис.чол</w:t>
      </w:r>
      <w:proofErr w:type="spellEnd"/>
      <w:r w:rsidRPr="00701683">
        <w:rPr>
          <w:sz w:val="28"/>
          <w:szCs w:val="28"/>
        </w:rPr>
        <w:t>.</w:t>
      </w:r>
      <w:r w:rsidR="00D763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467D" w:rsidRPr="00E317D9">
        <w:rPr>
          <w:sz w:val="28"/>
          <w:szCs w:val="28"/>
        </w:rPr>
        <w:t>отрима</w:t>
      </w:r>
      <w:r>
        <w:rPr>
          <w:sz w:val="28"/>
          <w:szCs w:val="28"/>
        </w:rPr>
        <w:t xml:space="preserve">ли </w:t>
      </w:r>
      <w:r w:rsidR="000A467D" w:rsidRPr="00E317D9">
        <w:rPr>
          <w:sz w:val="28"/>
          <w:szCs w:val="28"/>
        </w:rPr>
        <w:t>житлов</w:t>
      </w:r>
      <w:r>
        <w:rPr>
          <w:sz w:val="28"/>
          <w:szCs w:val="28"/>
        </w:rPr>
        <w:t>і</w:t>
      </w:r>
      <w:r w:rsidR="000A467D" w:rsidRPr="00E317D9">
        <w:rPr>
          <w:sz w:val="28"/>
          <w:szCs w:val="28"/>
        </w:rPr>
        <w:t xml:space="preserve"> субсиді</w:t>
      </w:r>
      <w:r>
        <w:rPr>
          <w:sz w:val="28"/>
          <w:szCs w:val="28"/>
        </w:rPr>
        <w:t>ї</w:t>
      </w:r>
      <w:r w:rsidR="000A467D" w:rsidRPr="00E317D9">
        <w:rPr>
          <w:sz w:val="28"/>
          <w:szCs w:val="28"/>
        </w:rPr>
        <w:t xml:space="preserve"> </w:t>
      </w:r>
      <w:r w:rsidR="000A467D" w:rsidRPr="00701683">
        <w:rPr>
          <w:sz w:val="28"/>
          <w:szCs w:val="28"/>
        </w:rPr>
        <w:t>б</w:t>
      </w:r>
      <w:r w:rsidR="00701683" w:rsidRPr="00701683">
        <w:rPr>
          <w:sz w:val="28"/>
          <w:szCs w:val="28"/>
        </w:rPr>
        <w:t xml:space="preserve">ільш ніж </w:t>
      </w:r>
      <w:r w:rsidR="00602968" w:rsidRPr="00701683">
        <w:rPr>
          <w:sz w:val="28"/>
          <w:szCs w:val="28"/>
        </w:rPr>
        <w:t>1</w:t>
      </w:r>
      <w:r w:rsidR="00701683" w:rsidRPr="00701683">
        <w:rPr>
          <w:sz w:val="28"/>
          <w:szCs w:val="28"/>
        </w:rPr>
        <w:t>0</w:t>
      </w:r>
      <w:r w:rsidR="00602968" w:rsidRPr="00701683">
        <w:rPr>
          <w:sz w:val="28"/>
          <w:szCs w:val="28"/>
        </w:rPr>
        <w:t> </w:t>
      </w:r>
      <w:r w:rsidR="000A467D" w:rsidRPr="00701683">
        <w:rPr>
          <w:sz w:val="28"/>
          <w:szCs w:val="28"/>
        </w:rPr>
        <w:t>тисяч</w:t>
      </w:r>
      <w:r w:rsidR="000A467D" w:rsidRPr="00E317D9">
        <w:rPr>
          <w:sz w:val="28"/>
          <w:szCs w:val="28"/>
        </w:rPr>
        <w:t xml:space="preserve"> домогосподарств.</w:t>
      </w:r>
    </w:p>
    <w:p w:rsidR="006E63EF" w:rsidRPr="00E317D9" w:rsidRDefault="006E63EF" w:rsidP="001F5290">
      <w:pPr>
        <w:pStyle w:val="a6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17D9">
        <w:rPr>
          <w:rFonts w:ascii="Times New Roman" w:eastAsia="Times New Roman" w:hAnsi="Times New Roman"/>
          <w:sz w:val="28"/>
          <w:szCs w:val="28"/>
        </w:rPr>
        <w:lastRenderedPageBreak/>
        <w:t xml:space="preserve">Видатки на компенсацію пільгового проїзду окремих категорій громадян в міському </w:t>
      </w:r>
      <w:proofErr w:type="spellStart"/>
      <w:r w:rsidRPr="00E317D9">
        <w:rPr>
          <w:rFonts w:ascii="Times New Roman" w:eastAsia="Times New Roman" w:hAnsi="Times New Roman"/>
          <w:sz w:val="28"/>
          <w:szCs w:val="28"/>
        </w:rPr>
        <w:t>авто-</w:t>
      </w:r>
      <w:proofErr w:type="spellEnd"/>
      <w:r w:rsidRPr="00E317D9">
        <w:rPr>
          <w:rFonts w:ascii="Times New Roman" w:eastAsia="Times New Roman" w:hAnsi="Times New Roman"/>
          <w:sz w:val="28"/>
          <w:szCs w:val="28"/>
        </w:rPr>
        <w:t xml:space="preserve"> та електротранспорті, на водному і залізничному транспорті </w:t>
      </w:r>
      <w:r w:rsidR="003E5D86">
        <w:rPr>
          <w:rFonts w:ascii="Times New Roman" w:eastAsia="Times New Roman" w:hAnsi="Times New Roman"/>
          <w:sz w:val="28"/>
          <w:szCs w:val="28"/>
        </w:rPr>
        <w:t xml:space="preserve">проведені в сумі </w:t>
      </w:r>
      <w:r w:rsidR="006E7CD7">
        <w:rPr>
          <w:rFonts w:ascii="Times New Roman" w:eastAsia="Times New Roman" w:hAnsi="Times New Roman"/>
          <w:sz w:val="28"/>
          <w:szCs w:val="28"/>
        </w:rPr>
        <w:t>46,8</w:t>
      </w:r>
      <w:r w:rsidRPr="00E317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317D9">
        <w:rPr>
          <w:rFonts w:ascii="Times New Roman" w:eastAsia="Times New Roman" w:hAnsi="Times New Roman"/>
          <w:sz w:val="28"/>
          <w:szCs w:val="28"/>
        </w:rPr>
        <w:t>млн.грн</w:t>
      </w:r>
      <w:proofErr w:type="spellEnd"/>
      <w:r w:rsidRPr="00E317D9">
        <w:rPr>
          <w:rFonts w:ascii="Times New Roman" w:eastAsia="Times New Roman" w:hAnsi="Times New Roman"/>
          <w:sz w:val="28"/>
          <w:szCs w:val="28"/>
        </w:rPr>
        <w:t xml:space="preserve">. (в тому числі за рахунок відповідної субвенції з державного бюджету – </w:t>
      </w:r>
      <w:r w:rsidR="006E7CD7">
        <w:rPr>
          <w:rFonts w:ascii="Times New Roman" w:eastAsia="Times New Roman" w:hAnsi="Times New Roman"/>
          <w:sz w:val="28"/>
          <w:szCs w:val="28"/>
        </w:rPr>
        <w:t>32,7</w:t>
      </w:r>
      <w:r w:rsidRPr="00E317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317D9">
        <w:rPr>
          <w:rFonts w:ascii="Times New Roman" w:eastAsia="Times New Roman" w:hAnsi="Times New Roman"/>
          <w:sz w:val="28"/>
          <w:szCs w:val="28"/>
        </w:rPr>
        <w:t>млн.грн</w:t>
      </w:r>
      <w:proofErr w:type="spellEnd"/>
      <w:r w:rsidRPr="00E317D9">
        <w:rPr>
          <w:rFonts w:ascii="Times New Roman" w:eastAsia="Times New Roman" w:hAnsi="Times New Roman"/>
          <w:sz w:val="28"/>
          <w:szCs w:val="28"/>
        </w:rPr>
        <w:t>.</w:t>
      </w:r>
      <w:r w:rsidR="003E5D86">
        <w:rPr>
          <w:rFonts w:ascii="Times New Roman" w:eastAsia="Times New Roman" w:hAnsi="Times New Roman"/>
          <w:sz w:val="28"/>
          <w:szCs w:val="28"/>
        </w:rPr>
        <w:t>).</w:t>
      </w:r>
    </w:p>
    <w:p w:rsidR="007E4985" w:rsidRDefault="006E7CD7" w:rsidP="006E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317D9">
        <w:rPr>
          <w:sz w:val="28"/>
          <w:szCs w:val="28"/>
        </w:rPr>
        <w:t xml:space="preserve">а заходи із соціального захисту населення </w:t>
      </w:r>
      <w:r>
        <w:rPr>
          <w:sz w:val="28"/>
          <w:szCs w:val="28"/>
        </w:rPr>
        <w:t>в</w:t>
      </w:r>
      <w:r w:rsidR="00602968" w:rsidRPr="00E317D9">
        <w:rPr>
          <w:sz w:val="28"/>
          <w:szCs w:val="28"/>
        </w:rPr>
        <w:t xml:space="preserve"> рамках Міської комплексної програми соціального захисту населення міста </w:t>
      </w:r>
      <w:r w:rsidR="00A110C2">
        <w:rPr>
          <w:sz w:val="28"/>
          <w:szCs w:val="28"/>
        </w:rPr>
        <w:t xml:space="preserve">спрямовано 5,0 </w:t>
      </w:r>
      <w:proofErr w:type="spellStart"/>
      <w:r w:rsidR="00A110C2">
        <w:rPr>
          <w:sz w:val="28"/>
          <w:szCs w:val="28"/>
        </w:rPr>
        <w:t>млн.грн</w:t>
      </w:r>
      <w:proofErr w:type="spellEnd"/>
      <w:r w:rsidR="00A110C2">
        <w:rPr>
          <w:sz w:val="28"/>
          <w:szCs w:val="28"/>
        </w:rPr>
        <w:t xml:space="preserve">., надано матеріальної допомоги мешканцям міста </w:t>
      </w:r>
      <w:r w:rsidR="00D763F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зверненнями депутатів міської ради </w:t>
      </w:r>
      <w:r w:rsidR="00A110C2">
        <w:rPr>
          <w:sz w:val="28"/>
          <w:szCs w:val="28"/>
        </w:rPr>
        <w:t>на загальну суму 2</w:t>
      </w:r>
      <w:r>
        <w:rPr>
          <w:sz w:val="28"/>
          <w:szCs w:val="28"/>
        </w:rPr>
        <w:t>,3</w:t>
      </w:r>
      <w:r w:rsidR="007E4985">
        <w:rPr>
          <w:sz w:val="28"/>
          <w:szCs w:val="28"/>
        </w:rPr>
        <w:t xml:space="preserve"> </w:t>
      </w:r>
      <w:proofErr w:type="spellStart"/>
      <w:r w:rsidR="007E4985">
        <w:rPr>
          <w:sz w:val="28"/>
          <w:szCs w:val="28"/>
        </w:rPr>
        <w:t>млн.грн</w:t>
      </w:r>
      <w:proofErr w:type="spellEnd"/>
      <w:r w:rsidR="00462634" w:rsidRPr="00E317D9">
        <w:rPr>
          <w:sz w:val="28"/>
          <w:szCs w:val="28"/>
        </w:rPr>
        <w:t xml:space="preserve">. </w:t>
      </w:r>
      <w:r w:rsidR="00A361A3" w:rsidRPr="00E317D9">
        <w:rPr>
          <w:sz w:val="28"/>
          <w:szCs w:val="28"/>
        </w:rPr>
        <w:t>На компенсаційні виплати фізичним особам, які надають соціальні послуги</w:t>
      </w:r>
      <w:r w:rsidR="00D763F1" w:rsidRPr="00D763F1">
        <w:rPr>
          <w:sz w:val="28"/>
          <w:szCs w:val="28"/>
        </w:rPr>
        <w:t>,</w:t>
      </w:r>
      <w:r w:rsidR="00A361A3" w:rsidRPr="00E317D9">
        <w:rPr>
          <w:sz w:val="28"/>
          <w:szCs w:val="28"/>
        </w:rPr>
        <w:t xml:space="preserve"> витраче</w:t>
      </w:r>
      <w:r>
        <w:rPr>
          <w:sz w:val="28"/>
          <w:szCs w:val="28"/>
        </w:rPr>
        <w:t>но 1,7</w:t>
      </w:r>
      <w:r w:rsidR="00A361A3" w:rsidRPr="00E317D9">
        <w:rPr>
          <w:sz w:val="28"/>
          <w:szCs w:val="28"/>
        </w:rPr>
        <w:t> </w:t>
      </w:r>
      <w:proofErr w:type="spellStart"/>
      <w:r w:rsidR="00A361A3" w:rsidRPr="00E317D9">
        <w:rPr>
          <w:sz w:val="28"/>
          <w:szCs w:val="28"/>
        </w:rPr>
        <w:t>млн.грн</w:t>
      </w:r>
      <w:proofErr w:type="spellEnd"/>
      <w:r w:rsidR="00A361A3" w:rsidRPr="00E317D9">
        <w:rPr>
          <w:sz w:val="28"/>
          <w:szCs w:val="28"/>
        </w:rPr>
        <w:t xml:space="preserve">. </w:t>
      </w:r>
      <w:r w:rsidR="007E4985">
        <w:rPr>
          <w:sz w:val="28"/>
          <w:szCs w:val="28"/>
        </w:rPr>
        <w:t xml:space="preserve">В літній період поточного року забезпечено відпочинок та оздоровлення 2,3 тис. дітей, на </w:t>
      </w:r>
      <w:r w:rsidR="00D763F1" w:rsidRPr="00D763F1">
        <w:rPr>
          <w:sz w:val="28"/>
          <w:szCs w:val="28"/>
        </w:rPr>
        <w:t>що з</w:t>
      </w:r>
      <w:r w:rsidR="007E4985">
        <w:rPr>
          <w:sz w:val="28"/>
          <w:szCs w:val="28"/>
        </w:rPr>
        <w:t xml:space="preserve"> бюджету міста виділено 3,6 </w:t>
      </w:r>
      <w:proofErr w:type="spellStart"/>
      <w:r w:rsidR="007E4985">
        <w:rPr>
          <w:sz w:val="28"/>
          <w:szCs w:val="28"/>
        </w:rPr>
        <w:t>млн.грн</w:t>
      </w:r>
      <w:proofErr w:type="spellEnd"/>
      <w:r w:rsidR="007E4985">
        <w:rPr>
          <w:sz w:val="28"/>
          <w:szCs w:val="28"/>
        </w:rPr>
        <w:t>.</w:t>
      </w:r>
    </w:p>
    <w:p w:rsidR="00AF25DD" w:rsidRPr="00E317D9" w:rsidRDefault="008F3DAA" w:rsidP="008F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житлово-комунальне господарство освоєно бюджетних коштів на суму </w:t>
      </w:r>
      <w:r w:rsidR="00740885">
        <w:rPr>
          <w:sz w:val="28"/>
          <w:szCs w:val="28"/>
        </w:rPr>
        <w:t xml:space="preserve">101,0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 xml:space="preserve">., з яких на заходи з благоустрою міста – </w:t>
      </w:r>
      <w:r w:rsidR="001A79D6">
        <w:rPr>
          <w:sz w:val="28"/>
          <w:szCs w:val="28"/>
        </w:rPr>
        <w:t xml:space="preserve">63,2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 xml:space="preserve">., житлово-експлуатаційне господарство – </w:t>
      </w:r>
      <w:r w:rsidR="001A79D6">
        <w:rPr>
          <w:sz w:val="28"/>
          <w:szCs w:val="28"/>
        </w:rPr>
        <w:t xml:space="preserve">8,0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>., капітальний ремонт житлового фонду –</w:t>
      </w:r>
      <w:r w:rsidR="001A79D6">
        <w:rPr>
          <w:sz w:val="28"/>
          <w:szCs w:val="28"/>
        </w:rPr>
        <w:t xml:space="preserve"> 29,2 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>. В</w:t>
      </w:r>
      <w:r w:rsidR="00AF25DD" w:rsidRPr="00E317D9">
        <w:rPr>
          <w:sz w:val="28"/>
          <w:szCs w:val="28"/>
        </w:rPr>
        <w:t xml:space="preserve">иконані роботи по експлуатації та утриманню </w:t>
      </w:r>
      <w:r>
        <w:rPr>
          <w:sz w:val="28"/>
          <w:szCs w:val="28"/>
        </w:rPr>
        <w:t>6</w:t>
      </w:r>
      <w:r w:rsidR="00AF25DD" w:rsidRPr="00E317D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AF25DD" w:rsidRPr="00E317D9">
        <w:rPr>
          <w:sz w:val="28"/>
          <w:szCs w:val="28"/>
        </w:rPr>
        <w:t xml:space="preserve"> </w:t>
      </w:r>
      <w:proofErr w:type="spellStart"/>
      <w:r w:rsidR="00AF25DD" w:rsidRPr="00E317D9">
        <w:rPr>
          <w:sz w:val="28"/>
          <w:szCs w:val="28"/>
        </w:rPr>
        <w:t>млн.кв</w:t>
      </w:r>
      <w:r w:rsidR="009972D4">
        <w:rPr>
          <w:sz w:val="28"/>
          <w:szCs w:val="28"/>
        </w:rPr>
        <w:t>.</w:t>
      </w:r>
      <w:r w:rsidR="00AF25DD" w:rsidRPr="00E317D9">
        <w:rPr>
          <w:sz w:val="28"/>
          <w:szCs w:val="28"/>
        </w:rPr>
        <w:t>м</w:t>
      </w:r>
      <w:proofErr w:type="spellEnd"/>
      <w:r w:rsidR="00AF25DD" w:rsidRPr="00E317D9">
        <w:rPr>
          <w:sz w:val="28"/>
          <w:szCs w:val="28"/>
        </w:rPr>
        <w:t xml:space="preserve"> доріг, поточному ремонту 1</w:t>
      </w:r>
      <w:r>
        <w:rPr>
          <w:sz w:val="28"/>
          <w:szCs w:val="28"/>
        </w:rPr>
        <w:t>5,8</w:t>
      </w:r>
      <w:r w:rsidR="00AF25DD" w:rsidRPr="00E317D9">
        <w:rPr>
          <w:sz w:val="28"/>
          <w:szCs w:val="28"/>
        </w:rPr>
        <w:t xml:space="preserve"> </w:t>
      </w:r>
      <w:proofErr w:type="spellStart"/>
      <w:r w:rsidR="00AF25DD" w:rsidRPr="00E317D9">
        <w:rPr>
          <w:sz w:val="28"/>
          <w:szCs w:val="28"/>
        </w:rPr>
        <w:t>тис.кв.м</w:t>
      </w:r>
      <w:proofErr w:type="spellEnd"/>
      <w:r w:rsidR="00AF25DD" w:rsidRPr="00E317D9">
        <w:rPr>
          <w:sz w:val="28"/>
          <w:szCs w:val="28"/>
        </w:rPr>
        <w:t xml:space="preserve">. доріг та тротуарів, догляду за 0,5 </w:t>
      </w:r>
      <w:proofErr w:type="spellStart"/>
      <w:r w:rsidR="00AF25DD" w:rsidRPr="00E317D9">
        <w:rPr>
          <w:sz w:val="28"/>
          <w:szCs w:val="28"/>
        </w:rPr>
        <w:t>тис.га</w:t>
      </w:r>
      <w:proofErr w:type="spellEnd"/>
      <w:r w:rsidR="00AF25DD" w:rsidRPr="00E317D9">
        <w:rPr>
          <w:sz w:val="28"/>
          <w:szCs w:val="28"/>
        </w:rPr>
        <w:t xml:space="preserve"> зелених насаджень, поточному ремонту </w:t>
      </w:r>
      <w:r w:rsidR="00442CC8">
        <w:rPr>
          <w:sz w:val="28"/>
          <w:szCs w:val="28"/>
        </w:rPr>
        <w:t xml:space="preserve">12,7 </w:t>
      </w:r>
      <w:r w:rsidR="00AF25DD" w:rsidRPr="00E317D9">
        <w:rPr>
          <w:sz w:val="28"/>
          <w:szCs w:val="28"/>
        </w:rPr>
        <w:t>км мереж зовнішнього освітлення, проведен</w:t>
      </w:r>
      <w:r w:rsidR="00F66CB7">
        <w:rPr>
          <w:sz w:val="28"/>
          <w:szCs w:val="28"/>
        </w:rPr>
        <w:t>і</w:t>
      </w:r>
      <w:r w:rsidR="00AF25DD" w:rsidRPr="00E317D9">
        <w:rPr>
          <w:sz w:val="28"/>
          <w:szCs w:val="28"/>
        </w:rPr>
        <w:t xml:space="preserve"> роб</w:t>
      </w:r>
      <w:r w:rsidR="00F66CB7">
        <w:rPr>
          <w:sz w:val="28"/>
          <w:szCs w:val="28"/>
        </w:rPr>
        <w:t>оти</w:t>
      </w:r>
      <w:r w:rsidR="00AF25DD" w:rsidRPr="00E317D9">
        <w:rPr>
          <w:sz w:val="28"/>
          <w:szCs w:val="28"/>
        </w:rPr>
        <w:t xml:space="preserve"> по вибірковому капітальному ремонту </w:t>
      </w:r>
      <w:r w:rsidR="007B15FA">
        <w:rPr>
          <w:sz w:val="28"/>
          <w:szCs w:val="28"/>
        </w:rPr>
        <w:t>4</w:t>
      </w:r>
      <w:r w:rsidR="00442CC8">
        <w:rPr>
          <w:sz w:val="28"/>
          <w:szCs w:val="28"/>
        </w:rPr>
        <w:t>1 житлов</w:t>
      </w:r>
      <w:r w:rsidR="007B15FA">
        <w:rPr>
          <w:sz w:val="28"/>
          <w:szCs w:val="28"/>
        </w:rPr>
        <w:t>ого</w:t>
      </w:r>
      <w:r w:rsidR="00442CC8">
        <w:rPr>
          <w:sz w:val="28"/>
          <w:szCs w:val="28"/>
        </w:rPr>
        <w:t xml:space="preserve"> будинк</w:t>
      </w:r>
      <w:r w:rsidR="007B15FA">
        <w:rPr>
          <w:sz w:val="28"/>
          <w:szCs w:val="28"/>
        </w:rPr>
        <w:t>у</w:t>
      </w:r>
      <w:r w:rsidR="00AF25DD" w:rsidRPr="00E317D9">
        <w:rPr>
          <w:sz w:val="28"/>
          <w:szCs w:val="28"/>
        </w:rPr>
        <w:t xml:space="preserve">, капітальному ремонту </w:t>
      </w:r>
      <w:r w:rsidR="00442CC8">
        <w:rPr>
          <w:sz w:val="28"/>
          <w:szCs w:val="28"/>
        </w:rPr>
        <w:t>18</w:t>
      </w:r>
      <w:r w:rsidR="00AF25DD" w:rsidRPr="00E317D9">
        <w:rPr>
          <w:sz w:val="28"/>
          <w:szCs w:val="28"/>
        </w:rPr>
        <w:t>,</w:t>
      </w:r>
      <w:r w:rsidR="00442CC8">
        <w:rPr>
          <w:sz w:val="28"/>
          <w:szCs w:val="28"/>
        </w:rPr>
        <w:t>6</w:t>
      </w:r>
      <w:r w:rsidR="00F66CB7">
        <w:rPr>
          <w:sz w:val="28"/>
          <w:szCs w:val="28"/>
        </w:rPr>
        <w:t> </w:t>
      </w:r>
      <w:proofErr w:type="spellStart"/>
      <w:r w:rsidR="00AF25DD" w:rsidRPr="00E317D9">
        <w:rPr>
          <w:sz w:val="28"/>
          <w:szCs w:val="28"/>
        </w:rPr>
        <w:t>тис.кв.м</w:t>
      </w:r>
      <w:proofErr w:type="spellEnd"/>
      <w:r w:rsidR="00AF25DD" w:rsidRPr="00E317D9">
        <w:rPr>
          <w:sz w:val="28"/>
          <w:szCs w:val="28"/>
        </w:rPr>
        <w:t xml:space="preserve"> покрівлі, експертизі, модернізації, заміні, капітальному ремонту </w:t>
      </w:r>
      <w:r w:rsidR="00442CC8">
        <w:rPr>
          <w:sz w:val="28"/>
          <w:szCs w:val="28"/>
        </w:rPr>
        <w:t>41-ого</w:t>
      </w:r>
      <w:r w:rsidR="00AF25DD" w:rsidRPr="00E317D9">
        <w:rPr>
          <w:sz w:val="28"/>
          <w:szCs w:val="28"/>
        </w:rPr>
        <w:t xml:space="preserve"> ліфт</w:t>
      </w:r>
      <w:r w:rsidR="00442CC8">
        <w:rPr>
          <w:sz w:val="28"/>
          <w:szCs w:val="28"/>
        </w:rPr>
        <w:t>а, проведено робіт по відновленню 13,7 </w:t>
      </w:r>
      <w:proofErr w:type="spellStart"/>
      <w:r w:rsidR="00442CC8">
        <w:rPr>
          <w:sz w:val="28"/>
          <w:szCs w:val="28"/>
        </w:rPr>
        <w:t>тис.кв.м</w:t>
      </w:r>
      <w:proofErr w:type="spellEnd"/>
      <w:r w:rsidR="00442CC8">
        <w:rPr>
          <w:sz w:val="28"/>
          <w:szCs w:val="28"/>
        </w:rPr>
        <w:t xml:space="preserve"> асфальтового покриття прибудинкових територій та внутрішньо квартальних проїздів </w:t>
      </w:r>
      <w:r w:rsidR="00F66CB7">
        <w:rPr>
          <w:sz w:val="28"/>
          <w:szCs w:val="28"/>
        </w:rPr>
        <w:t>та інші</w:t>
      </w:r>
      <w:r w:rsidR="00AF25DD" w:rsidRPr="00E317D9">
        <w:rPr>
          <w:sz w:val="28"/>
          <w:szCs w:val="28"/>
        </w:rPr>
        <w:t xml:space="preserve">. </w:t>
      </w:r>
    </w:p>
    <w:p w:rsidR="007C2E8D" w:rsidRDefault="007C2E8D" w:rsidP="006E7CD7">
      <w:pPr>
        <w:ind w:firstLine="709"/>
        <w:jc w:val="both"/>
        <w:rPr>
          <w:sz w:val="28"/>
          <w:szCs w:val="28"/>
        </w:rPr>
      </w:pPr>
      <w:r w:rsidRPr="00E317D9">
        <w:rPr>
          <w:sz w:val="28"/>
          <w:szCs w:val="28"/>
        </w:rPr>
        <w:t>Н</w:t>
      </w:r>
      <w:r w:rsidR="00A64E78" w:rsidRPr="00E317D9">
        <w:rPr>
          <w:sz w:val="28"/>
          <w:szCs w:val="28"/>
        </w:rPr>
        <w:t xml:space="preserve">а будівництво, реконструкцію та ліквідацію аварійного стану об’єктів </w:t>
      </w:r>
      <w:r w:rsidR="00EE6A8C">
        <w:rPr>
          <w:sz w:val="28"/>
          <w:szCs w:val="28"/>
        </w:rPr>
        <w:t xml:space="preserve">міської інфраструктури </w:t>
      </w:r>
      <w:r w:rsidRPr="00E317D9">
        <w:rPr>
          <w:sz w:val="28"/>
          <w:szCs w:val="28"/>
        </w:rPr>
        <w:t>освоєно</w:t>
      </w:r>
      <w:r w:rsidR="00A64E78" w:rsidRPr="00E317D9">
        <w:rPr>
          <w:sz w:val="28"/>
          <w:szCs w:val="28"/>
        </w:rPr>
        <w:t xml:space="preserve"> </w:t>
      </w:r>
      <w:r w:rsidR="001A79D6">
        <w:rPr>
          <w:sz w:val="28"/>
          <w:szCs w:val="28"/>
        </w:rPr>
        <w:t>46,4</w:t>
      </w:r>
      <w:r w:rsidR="00A64E78" w:rsidRPr="00E317D9">
        <w:rPr>
          <w:sz w:val="28"/>
          <w:szCs w:val="28"/>
        </w:rPr>
        <w:t xml:space="preserve"> </w:t>
      </w:r>
      <w:proofErr w:type="spellStart"/>
      <w:r w:rsidR="00A64E78" w:rsidRPr="00E317D9">
        <w:rPr>
          <w:sz w:val="28"/>
          <w:szCs w:val="28"/>
        </w:rPr>
        <w:t>млн.грн</w:t>
      </w:r>
      <w:proofErr w:type="spellEnd"/>
      <w:r w:rsidR="00A64E78" w:rsidRPr="00E317D9">
        <w:rPr>
          <w:sz w:val="28"/>
          <w:szCs w:val="28"/>
        </w:rPr>
        <w:t xml:space="preserve">., в тому числі на об’єкти соціальної сфери </w:t>
      </w:r>
      <w:r w:rsidR="00E7681D">
        <w:rPr>
          <w:sz w:val="28"/>
          <w:szCs w:val="28"/>
        </w:rPr>
        <w:t>–</w:t>
      </w:r>
      <w:r w:rsidR="00A64E78" w:rsidRPr="00E317D9">
        <w:rPr>
          <w:sz w:val="28"/>
          <w:szCs w:val="28"/>
        </w:rPr>
        <w:t xml:space="preserve"> </w:t>
      </w:r>
      <w:r w:rsidR="004C559C">
        <w:rPr>
          <w:sz w:val="28"/>
          <w:szCs w:val="28"/>
        </w:rPr>
        <w:t>3,8</w:t>
      </w:r>
      <w:r w:rsidR="00A64E78" w:rsidRPr="00E317D9">
        <w:rPr>
          <w:sz w:val="28"/>
          <w:szCs w:val="28"/>
        </w:rPr>
        <w:t xml:space="preserve"> </w:t>
      </w:r>
      <w:proofErr w:type="spellStart"/>
      <w:r w:rsidR="00A64E78" w:rsidRPr="00E317D9">
        <w:rPr>
          <w:sz w:val="28"/>
          <w:szCs w:val="28"/>
        </w:rPr>
        <w:t>млн.грн</w:t>
      </w:r>
      <w:proofErr w:type="spellEnd"/>
      <w:r w:rsidR="00A64E78" w:rsidRPr="00E317D9">
        <w:rPr>
          <w:sz w:val="28"/>
          <w:szCs w:val="28"/>
        </w:rPr>
        <w:t xml:space="preserve">., житлового господарства – </w:t>
      </w:r>
      <w:r w:rsidR="00CA23B8">
        <w:rPr>
          <w:sz w:val="28"/>
          <w:szCs w:val="28"/>
        </w:rPr>
        <w:t>8,6</w:t>
      </w:r>
      <w:r w:rsidRPr="00E317D9">
        <w:rPr>
          <w:sz w:val="28"/>
          <w:szCs w:val="28"/>
        </w:rPr>
        <w:t> </w:t>
      </w:r>
      <w:proofErr w:type="spellStart"/>
      <w:r w:rsidR="00A64E78" w:rsidRPr="00E317D9">
        <w:rPr>
          <w:sz w:val="28"/>
          <w:szCs w:val="28"/>
        </w:rPr>
        <w:t>млн.грн</w:t>
      </w:r>
      <w:proofErr w:type="spellEnd"/>
      <w:r w:rsidR="00A64E78" w:rsidRPr="00E317D9">
        <w:rPr>
          <w:sz w:val="28"/>
          <w:szCs w:val="28"/>
        </w:rPr>
        <w:t>., комунального господарства 1</w:t>
      </w:r>
      <w:r w:rsidR="00FA0718">
        <w:rPr>
          <w:sz w:val="28"/>
          <w:szCs w:val="28"/>
        </w:rPr>
        <w:t>6</w:t>
      </w:r>
      <w:r w:rsidR="00CA23B8">
        <w:rPr>
          <w:sz w:val="28"/>
          <w:szCs w:val="28"/>
        </w:rPr>
        <w:t>,7</w:t>
      </w:r>
      <w:r w:rsidRPr="00E317D9">
        <w:rPr>
          <w:sz w:val="28"/>
          <w:szCs w:val="28"/>
        </w:rPr>
        <w:t> </w:t>
      </w:r>
      <w:proofErr w:type="spellStart"/>
      <w:r w:rsidR="00A64E78" w:rsidRPr="00E317D9">
        <w:rPr>
          <w:sz w:val="28"/>
          <w:szCs w:val="28"/>
        </w:rPr>
        <w:t>млн.грн</w:t>
      </w:r>
      <w:proofErr w:type="spellEnd"/>
      <w:r w:rsidR="00A64E78" w:rsidRPr="00E317D9">
        <w:rPr>
          <w:sz w:val="28"/>
          <w:szCs w:val="28"/>
        </w:rPr>
        <w:t xml:space="preserve">., освіти </w:t>
      </w:r>
      <w:r w:rsidR="004C559C">
        <w:rPr>
          <w:sz w:val="28"/>
          <w:szCs w:val="28"/>
        </w:rPr>
        <w:t>–</w:t>
      </w:r>
      <w:r w:rsidR="00A64E78" w:rsidRPr="00E317D9">
        <w:rPr>
          <w:sz w:val="28"/>
          <w:szCs w:val="28"/>
        </w:rPr>
        <w:t xml:space="preserve"> </w:t>
      </w:r>
      <w:r w:rsidR="004C559C">
        <w:rPr>
          <w:sz w:val="28"/>
          <w:szCs w:val="28"/>
        </w:rPr>
        <w:t>9,4</w:t>
      </w:r>
      <w:r w:rsidR="00A64E78" w:rsidRPr="00E317D9">
        <w:rPr>
          <w:sz w:val="28"/>
          <w:szCs w:val="28"/>
        </w:rPr>
        <w:t xml:space="preserve"> </w:t>
      </w:r>
      <w:proofErr w:type="spellStart"/>
      <w:r w:rsidR="00A64E78" w:rsidRPr="00E317D9">
        <w:rPr>
          <w:sz w:val="28"/>
          <w:szCs w:val="28"/>
        </w:rPr>
        <w:t>млн.грн</w:t>
      </w:r>
      <w:proofErr w:type="spellEnd"/>
      <w:r w:rsidR="00A64E78" w:rsidRPr="00E317D9">
        <w:rPr>
          <w:sz w:val="28"/>
          <w:szCs w:val="28"/>
        </w:rPr>
        <w:t xml:space="preserve">., охорони здоров’я </w:t>
      </w:r>
      <w:r w:rsidR="004C559C">
        <w:rPr>
          <w:sz w:val="28"/>
          <w:szCs w:val="28"/>
        </w:rPr>
        <w:t>–</w:t>
      </w:r>
      <w:r w:rsidR="00A64E78" w:rsidRPr="00E317D9">
        <w:rPr>
          <w:sz w:val="28"/>
          <w:szCs w:val="28"/>
        </w:rPr>
        <w:t xml:space="preserve"> </w:t>
      </w:r>
      <w:r w:rsidR="004C559C">
        <w:rPr>
          <w:sz w:val="28"/>
          <w:szCs w:val="28"/>
        </w:rPr>
        <w:t>6,7</w:t>
      </w:r>
      <w:r w:rsidR="00A64E78" w:rsidRPr="00E317D9">
        <w:rPr>
          <w:sz w:val="28"/>
          <w:szCs w:val="28"/>
        </w:rPr>
        <w:t xml:space="preserve"> </w:t>
      </w:r>
      <w:proofErr w:type="spellStart"/>
      <w:r w:rsidR="00A64E78" w:rsidRPr="00E317D9">
        <w:rPr>
          <w:sz w:val="28"/>
          <w:szCs w:val="28"/>
        </w:rPr>
        <w:t>млн.грн</w:t>
      </w:r>
      <w:proofErr w:type="spellEnd"/>
      <w:r w:rsidR="00A64E78" w:rsidRPr="00E317D9">
        <w:rPr>
          <w:sz w:val="28"/>
          <w:szCs w:val="28"/>
        </w:rPr>
        <w:t>.</w:t>
      </w:r>
      <w:r w:rsidR="00FA0718">
        <w:rPr>
          <w:sz w:val="28"/>
          <w:szCs w:val="28"/>
        </w:rPr>
        <w:t xml:space="preserve"> та інші.</w:t>
      </w:r>
      <w:r w:rsidR="00A64E78" w:rsidRPr="00E317D9">
        <w:rPr>
          <w:sz w:val="28"/>
          <w:szCs w:val="28"/>
        </w:rPr>
        <w:t xml:space="preserve"> </w:t>
      </w:r>
      <w:r w:rsidR="004C559C">
        <w:rPr>
          <w:sz w:val="28"/>
          <w:szCs w:val="28"/>
        </w:rPr>
        <w:t xml:space="preserve">Внески до статутних капіталів комунальних підприємств міста на придбання спеціальної техніки та обладнання профінансовано в сумі 8,3 </w:t>
      </w:r>
      <w:proofErr w:type="spellStart"/>
      <w:r w:rsidR="004C559C">
        <w:rPr>
          <w:sz w:val="28"/>
          <w:szCs w:val="28"/>
        </w:rPr>
        <w:t>млн.грн</w:t>
      </w:r>
      <w:proofErr w:type="spellEnd"/>
      <w:r w:rsidR="004C559C">
        <w:rPr>
          <w:sz w:val="28"/>
          <w:szCs w:val="28"/>
        </w:rPr>
        <w:t>.</w:t>
      </w:r>
    </w:p>
    <w:p w:rsidR="00CC5510" w:rsidRDefault="00D763F1" w:rsidP="006E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0104">
        <w:rPr>
          <w:sz w:val="28"/>
          <w:szCs w:val="28"/>
        </w:rPr>
        <w:t>роведен</w:t>
      </w:r>
      <w:r>
        <w:rPr>
          <w:sz w:val="28"/>
          <w:szCs w:val="28"/>
        </w:rPr>
        <w:t>о</w:t>
      </w:r>
      <w:r w:rsidR="00360104">
        <w:rPr>
          <w:sz w:val="28"/>
          <w:szCs w:val="28"/>
        </w:rPr>
        <w:t xml:space="preserve"> робіт, пов’язаних із будівництвом, реконструкцією, ремонтом та утриманням автомобільних доріг </w:t>
      </w:r>
      <w:r>
        <w:rPr>
          <w:sz w:val="28"/>
          <w:szCs w:val="28"/>
        </w:rPr>
        <w:t>на суму</w:t>
      </w:r>
      <w:r w:rsidR="00360104">
        <w:rPr>
          <w:sz w:val="28"/>
          <w:szCs w:val="28"/>
        </w:rPr>
        <w:t xml:space="preserve"> 18,1 </w:t>
      </w:r>
      <w:proofErr w:type="spellStart"/>
      <w:r w:rsidR="00360104">
        <w:rPr>
          <w:sz w:val="28"/>
          <w:szCs w:val="28"/>
        </w:rPr>
        <w:t>млн.грн</w:t>
      </w:r>
      <w:proofErr w:type="spellEnd"/>
      <w:r w:rsidR="00360104">
        <w:rPr>
          <w:sz w:val="28"/>
          <w:szCs w:val="28"/>
        </w:rPr>
        <w:t>., в тому числі за рахунок відповідної субвенції з державного бюджету – 15,4 </w:t>
      </w:r>
      <w:proofErr w:type="spellStart"/>
      <w:r w:rsidR="00360104">
        <w:rPr>
          <w:sz w:val="28"/>
          <w:szCs w:val="28"/>
        </w:rPr>
        <w:t>млн.грн</w:t>
      </w:r>
      <w:proofErr w:type="spellEnd"/>
      <w:r w:rsidR="00360104">
        <w:rPr>
          <w:sz w:val="28"/>
          <w:szCs w:val="28"/>
        </w:rPr>
        <w:t>.</w:t>
      </w:r>
      <w:r w:rsidR="006F6CC7">
        <w:rPr>
          <w:sz w:val="28"/>
          <w:szCs w:val="28"/>
        </w:rPr>
        <w:t xml:space="preserve"> </w:t>
      </w:r>
      <w:r w:rsidR="00291F70">
        <w:rPr>
          <w:sz w:val="28"/>
          <w:szCs w:val="28"/>
        </w:rPr>
        <w:t xml:space="preserve">За рахунок коштів фонду </w:t>
      </w:r>
      <w:r w:rsidR="000A467D" w:rsidRPr="00E317D9">
        <w:rPr>
          <w:sz w:val="28"/>
          <w:szCs w:val="28"/>
        </w:rPr>
        <w:t xml:space="preserve">охорони навколишнього природного середовища </w:t>
      </w:r>
      <w:r w:rsidR="00291F70">
        <w:rPr>
          <w:sz w:val="28"/>
          <w:szCs w:val="28"/>
        </w:rPr>
        <w:t>на природоохоронн</w:t>
      </w:r>
      <w:r w:rsidR="00CC61B1">
        <w:rPr>
          <w:sz w:val="28"/>
          <w:szCs w:val="28"/>
        </w:rPr>
        <w:t>і</w:t>
      </w:r>
      <w:r w:rsidR="00291F70">
        <w:rPr>
          <w:sz w:val="28"/>
          <w:szCs w:val="28"/>
        </w:rPr>
        <w:t xml:space="preserve"> заход</w:t>
      </w:r>
      <w:r w:rsidR="00CC61B1">
        <w:rPr>
          <w:sz w:val="28"/>
          <w:szCs w:val="28"/>
        </w:rPr>
        <w:t>и</w:t>
      </w:r>
      <w:r w:rsidR="00291F70">
        <w:rPr>
          <w:sz w:val="28"/>
          <w:szCs w:val="28"/>
        </w:rPr>
        <w:t xml:space="preserve"> спрямовано</w:t>
      </w:r>
      <w:r w:rsidR="000A467D" w:rsidRPr="00E317D9">
        <w:rPr>
          <w:sz w:val="28"/>
          <w:szCs w:val="28"/>
        </w:rPr>
        <w:t xml:space="preserve"> </w:t>
      </w:r>
      <w:r w:rsidR="00FA0718">
        <w:rPr>
          <w:sz w:val="28"/>
          <w:szCs w:val="28"/>
        </w:rPr>
        <w:t>11,6</w:t>
      </w:r>
      <w:r w:rsidR="000A467D" w:rsidRPr="00E317D9">
        <w:rPr>
          <w:sz w:val="28"/>
          <w:szCs w:val="28"/>
        </w:rPr>
        <w:t xml:space="preserve"> </w:t>
      </w:r>
      <w:proofErr w:type="spellStart"/>
      <w:r w:rsidR="00FA0718">
        <w:rPr>
          <w:sz w:val="28"/>
          <w:szCs w:val="28"/>
        </w:rPr>
        <w:t>м</w:t>
      </w:r>
      <w:r w:rsidR="000A467D" w:rsidRPr="00E317D9">
        <w:rPr>
          <w:sz w:val="28"/>
          <w:szCs w:val="28"/>
        </w:rPr>
        <w:t>лн.грн</w:t>
      </w:r>
      <w:proofErr w:type="spellEnd"/>
      <w:r w:rsidR="000A467D" w:rsidRPr="00E317D9">
        <w:rPr>
          <w:sz w:val="28"/>
          <w:szCs w:val="28"/>
        </w:rPr>
        <w:t xml:space="preserve">. </w:t>
      </w:r>
    </w:p>
    <w:p w:rsidR="00325BE4" w:rsidRDefault="008B621E" w:rsidP="006E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6AEF">
        <w:rPr>
          <w:sz w:val="28"/>
          <w:szCs w:val="28"/>
        </w:rPr>
        <w:t xml:space="preserve">ідповідно до рішення </w:t>
      </w:r>
      <w:r>
        <w:rPr>
          <w:sz w:val="28"/>
          <w:szCs w:val="28"/>
        </w:rPr>
        <w:t xml:space="preserve">Запорізької </w:t>
      </w:r>
      <w:r w:rsidRPr="00466AEF">
        <w:rPr>
          <w:sz w:val="28"/>
          <w:szCs w:val="28"/>
        </w:rPr>
        <w:t>міської ради від 25.09.2013 № 4 «Про достроковий викуп та погашення облігацій внутрішньої місцевої позики</w:t>
      </w:r>
      <w:r>
        <w:rPr>
          <w:sz w:val="28"/>
          <w:szCs w:val="28"/>
        </w:rPr>
        <w:t>» 10 жовтня 2013 року міською радою був</w:t>
      </w:r>
      <w:r w:rsidRPr="00466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успішно здійснений викуп </w:t>
      </w:r>
      <w:r w:rsidRPr="00466AEF">
        <w:rPr>
          <w:sz w:val="28"/>
          <w:szCs w:val="28"/>
        </w:rPr>
        <w:t xml:space="preserve">облігацій серій </w:t>
      </w:r>
      <w:r w:rsidRPr="00466AEF">
        <w:rPr>
          <w:sz w:val="28"/>
          <w:szCs w:val="28"/>
          <w:lang w:val="en-US"/>
        </w:rPr>
        <w:t>L</w:t>
      </w:r>
      <w:r w:rsidRPr="00466AEF">
        <w:rPr>
          <w:sz w:val="28"/>
          <w:szCs w:val="28"/>
        </w:rPr>
        <w:t xml:space="preserve">, </w:t>
      </w:r>
      <w:r w:rsidRPr="00466AEF">
        <w:rPr>
          <w:sz w:val="28"/>
          <w:szCs w:val="28"/>
          <w:lang w:val="en-US"/>
        </w:rPr>
        <w:t>M</w:t>
      </w:r>
      <w:r w:rsidRPr="00466AEF">
        <w:rPr>
          <w:sz w:val="28"/>
          <w:szCs w:val="28"/>
        </w:rPr>
        <w:t xml:space="preserve">, </w:t>
      </w:r>
      <w:r w:rsidRPr="00466AEF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загальною вартістю 50,0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 xml:space="preserve">. та виплачений відсотковий дохід на дату викупу в обсязі </w:t>
      </w:r>
      <w:r w:rsidR="00D763F1">
        <w:rPr>
          <w:sz w:val="28"/>
          <w:szCs w:val="28"/>
        </w:rPr>
        <w:t>0,7</w:t>
      </w:r>
      <w:r>
        <w:rPr>
          <w:sz w:val="28"/>
          <w:szCs w:val="28"/>
        </w:rPr>
        <w:t xml:space="preserve"> </w:t>
      </w:r>
      <w:proofErr w:type="spellStart"/>
      <w:r w:rsidR="00D763F1">
        <w:rPr>
          <w:sz w:val="28"/>
          <w:szCs w:val="28"/>
        </w:rPr>
        <w:t>млн</w:t>
      </w:r>
      <w:r>
        <w:rPr>
          <w:sz w:val="28"/>
          <w:szCs w:val="28"/>
        </w:rPr>
        <w:t>.грн</w:t>
      </w:r>
      <w:proofErr w:type="spellEnd"/>
      <w:r>
        <w:rPr>
          <w:sz w:val="28"/>
          <w:szCs w:val="28"/>
        </w:rPr>
        <w:t>.</w:t>
      </w:r>
      <w:r w:rsidR="009972D4">
        <w:rPr>
          <w:sz w:val="28"/>
          <w:szCs w:val="28"/>
        </w:rPr>
        <w:t xml:space="preserve"> Зазначене призвело до зменшення боргового навантаження на бюджет міста.</w:t>
      </w:r>
    </w:p>
    <w:p w:rsidR="00535539" w:rsidRDefault="00535539" w:rsidP="00291F70">
      <w:pPr>
        <w:ind w:firstLine="709"/>
        <w:jc w:val="both"/>
        <w:rPr>
          <w:sz w:val="28"/>
          <w:szCs w:val="28"/>
        </w:rPr>
      </w:pPr>
    </w:p>
    <w:p w:rsidR="00535539" w:rsidRDefault="00535539" w:rsidP="0053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535539" w:rsidRDefault="00535539" w:rsidP="0053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ради, </w:t>
      </w:r>
    </w:p>
    <w:p w:rsidR="00535539" w:rsidRDefault="00535539" w:rsidP="0053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фінансової та </w:t>
      </w:r>
    </w:p>
    <w:p w:rsidR="00535539" w:rsidRPr="00E317D9" w:rsidRDefault="00535539" w:rsidP="00535539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бюджетної політики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В.І.</w:t>
      </w:r>
      <w:proofErr w:type="spellStart"/>
      <w:r>
        <w:rPr>
          <w:sz w:val="28"/>
          <w:szCs w:val="28"/>
        </w:rPr>
        <w:t>Малиш</w:t>
      </w:r>
      <w:proofErr w:type="spellEnd"/>
    </w:p>
    <w:sectPr w:rsidR="00535539" w:rsidRPr="00E317D9" w:rsidSect="00B75AAD">
      <w:headerReference w:type="default" r:id="rId12"/>
      <w:pgSz w:w="11906" w:h="16838"/>
      <w:pgMar w:top="851" w:right="566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11" w:rsidRDefault="00B41E11" w:rsidP="00AF25DD">
      <w:r>
        <w:separator/>
      </w:r>
    </w:p>
  </w:endnote>
  <w:endnote w:type="continuationSeparator" w:id="1">
    <w:p w:rsidR="00B41E11" w:rsidRDefault="00B41E11" w:rsidP="00AF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11" w:rsidRDefault="00B41E11" w:rsidP="00AF25DD">
      <w:r>
        <w:separator/>
      </w:r>
    </w:p>
  </w:footnote>
  <w:footnote w:type="continuationSeparator" w:id="1">
    <w:p w:rsidR="00B41E11" w:rsidRDefault="00B41E11" w:rsidP="00AF2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594"/>
      <w:docPartObj>
        <w:docPartGallery w:val="Page Numbers (Top of Page)"/>
        <w:docPartUnique/>
      </w:docPartObj>
    </w:sdtPr>
    <w:sdtContent>
      <w:p w:rsidR="00CD612D" w:rsidRDefault="00763F0A">
        <w:pPr>
          <w:pStyle w:val="ad"/>
          <w:jc w:val="center"/>
        </w:pPr>
        <w:fldSimple w:instr=" PAGE   \* MERGEFORMAT ">
          <w:r w:rsidR="007B15FA">
            <w:rPr>
              <w:noProof/>
            </w:rPr>
            <w:t>5</w:t>
          </w:r>
        </w:fldSimple>
      </w:p>
    </w:sdtContent>
  </w:sdt>
  <w:p w:rsidR="00CD612D" w:rsidRDefault="00CD61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/>
      </w:rPr>
    </w:lvl>
  </w:abstractNum>
  <w:abstractNum w:abstractNumId="1">
    <w:nsid w:val="15AE70FC"/>
    <w:multiLevelType w:val="hybridMultilevel"/>
    <w:tmpl w:val="64EC485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39187D"/>
    <w:multiLevelType w:val="hybridMultilevel"/>
    <w:tmpl w:val="1DAA550A"/>
    <w:lvl w:ilvl="0" w:tplc="6C9293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4B057D"/>
    <w:multiLevelType w:val="hybridMultilevel"/>
    <w:tmpl w:val="68D66F44"/>
    <w:lvl w:ilvl="0" w:tplc="22E6236A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BE54F4"/>
    <w:multiLevelType w:val="hybridMultilevel"/>
    <w:tmpl w:val="E4DC5274"/>
    <w:lvl w:ilvl="0" w:tplc="22E6236A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63C3FC7"/>
    <w:multiLevelType w:val="hybridMultilevel"/>
    <w:tmpl w:val="0266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ED6"/>
    <w:rsid w:val="00015460"/>
    <w:rsid w:val="00022B62"/>
    <w:rsid w:val="000335F4"/>
    <w:rsid w:val="0004019B"/>
    <w:rsid w:val="000476B7"/>
    <w:rsid w:val="000602F8"/>
    <w:rsid w:val="00060588"/>
    <w:rsid w:val="0006523B"/>
    <w:rsid w:val="000736D8"/>
    <w:rsid w:val="00082164"/>
    <w:rsid w:val="00083AE8"/>
    <w:rsid w:val="00086BB6"/>
    <w:rsid w:val="00091599"/>
    <w:rsid w:val="00097C7B"/>
    <w:rsid w:val="000A467D"/>
    <w:rsid w:val="000B21AC"/>
    <w:rsid w:val="000C7628"/>
    <w:rsid w:val="00122A33"/>
    <w:rsid w:val="001239ED"/>
    <w:rsid w:val="00134114"/>
    <w:rsid w:val="00141820"/>
    <w:rsid w:val="00156EC5"/>
    <w:rsid w:val="00160D19"/>
    <w:rsid w:val="00164AC9"/>
    <w:rsid w:val="00167BA3"/>
    <w:rsid w:val="001774C0"/>
    <w:rsid w:val="001936D9"/>
    <w:rsid w:val="001A141C"/>
    <w:rsid w:val="001A79D6"/>
    <w:rsid w:val="001A7C40"/>
    <w:rsid w:val="001B0605"/>
    <w:rsid w:val="001B5031"/>
    <w:rsid w:val="001F5290"/>
    <w:rsid w:val="002276E6"/>
    <w:rsid w:val="00256443"/>
    <w:rsid w:val="00262E82"/>
    <w:rsid w:val="00266C33"/>
    <w:rsid w:val="00291F70"/>
    <w:rsid w:val="00294EC7"/>
    <w:rsid w:val="002C1414"/>
    <w:rsid w:val="002D4D08"/>
    <w:rsid w:val="002F6C6A"/>
    <w:rsid w:val="00310E7C"/>
    <w:rsid w:val="003209D3"/>
    <w:rsid w:val="0032426F"/>
    <w:rsid w:val="00325BE4"/>
    <w:rsid w:val="0034174D"/>
    <w:rsid w:val="003438E4"/>
    <w:rsid w:val="00347918"/>
    <w:rsid w:val="00350D78"/>
    <w:rsid w:val="00360104"/>
    <w:rsid w:val="00360541"/>
    <w:rsid w:val="00363D72"/>
    <w:rsid w:val="00364321"/>
    <w:rsid w:val="003756F7"/>
    <w:rsid w:val="003900CE"/>
    <w:rsid w:val="0039138A"/>
    <w:rsid w:val="00392E8E"/>
    <w:rsid w:val="003A4D5A"/>
    <w:rsid w:val="003B5414"/>
    <w:rsid w:val="003C6820"/>
    <w:rsid w:val="003D5EE3"/>
    <w:rsid w:val="003E1692"/>
    <w:rsid w:val="003E5D86"/>
    <w:rsid w:val="004138B9"/>
    <w:rsid w:val="00442CC8"/>
    <w:rsid w:val="004442B2"/>
    <w:rsid w:val="00444D85"/>
    <w:rsid w:val="00453789"/>
    <w:rsid w:val="00462634"/>
    <w:rsid w:val="0047165B"/>
    <w:rsid w:val="00473ACA"/>
    <w:rsid w:val="004939F1"/>
    <w:rsid w:val="004967CE"/>
    <w:rsid w:val="004C1ED6"/>
    <w:rsid w:val="004C559C"/>
    <w:rsid w:val="00504C46"/>
    <w:rsid w:val="0050558C"/>
    <w:rsid w:val="00507953"/>
    <w:rsid w:val="00514798"/>
    <w:rsid w:val="005179A9"/>
    <w:rsid w:val="00535539"/>
    <w:rsid w:val="00537261"/>
    <w:rsid w:val="005447B7"/>
    <w:rsid w:val="00544DCA"/>
    <w:rsid w:val="005550CB"/>
    <w:rsid w:val="005633ED"/>
    <w:rsid w:val="00581ECA"/>
    <w:rsid w:val="00585F82"/>
    <w:rsid w:val="0059147C"/>
    <w:rsid w:val="00591D97"/>
    <w:rsid w:val="00595CA7"/>
    <w:rsid w:val="005B7D40"/>
    <w:rsid w:val="005C4B0E"/>
    <w:rsid w:val="005D11A4"/>
    <w:rsid w:val="005E1AB7"/>
    <w:rsid w:val="00602968"/>
    <w:rsid w:val="00604D2E"/>
    <w:rsid w:val="00612B90"/>
    <w:rsid w:val="0062657A"/>
    <w:rsid w:val="00632EA8"/>
    <w:rsid w:val="00636884"/>
    <w:rsid w:val="00636F8A"/>
    <w:rsid w:val="00643BF9"/>
    <w:rsid w:val="00650002"/>
    <w:rsid w:val="00661495"/>
    <w:rsid w:val="00672312"/>
    <w:rsid w:val="0068300D"/>
    <w:rsid w:val="0069019F"/>
    <w:rsid w:val="006A68A1"/>
    <w:rsid w:val="006C5EB9"/>
    <w:rsid w:val="006D535B"/>
    <w:rsid w:val="006E63EF"/>
    <w:rsid w:val="006E7CD7"/>
    <w:rsid w:val="006F4944"/>
    <w:rsid w:val="006F6CC7"/>
    <w:rsid w:val="00701683"/>
    <w:rsid w:val="007048AD"/>
    <w:rsid w:val="00715584"/>
    <w:rsid w:val="00731B58"/>
    <w:rsid w:val="00736D0C"/>
    <w:rsid w:val="00740885"/>
    <w:rsid w:val="007550FD"/>
    <w:rsid w:val="00763F0A"/>
    <w:rsid w:val="00770C1C"/>
    <w:rsid w:val="0078340B"/>
    <w:rsid w:val="0078642A"/>
    <w:rsid w:val="00791244"/>
    <w:rsid w:val="00796E66"/>
    <w:rsid w:val="007A4BE1"/>
    <w:rsid w:val="007A6C6A"/>
    <w:rsid w:val="007B15FA"/>
    <w:rsid w:val="007C2E8D"/>
    <w:rsid w:val="007D1055"/>
    <w:rsid w:val="007D1629"/>
    <w:rsid w:val="007E0A1A"/>
    <w:rsid w:val="007E4985"/>
    <w:rsid w:val="007F5F31"/>
    <w:rsid w:val="00824201"/>
    <w:rsid w:val="00825EC4"/>
    <w:rsid w:val="008270A8"/>
    <w:rsid w:val="0086311A"/>
    <w:rsid w:val="0087772C"/>
    <w:rsid w:val="00895FBB"/>
    <w:rsid w:val="008B0C8D"/>
    <w:rsid w:val="008B3005"/>
    <w:rsid w:val="008B621E"/>
    <w:rsid w:val="008B75D0"/>
    <w:rsid w:val="008C0205"/>
    <w:rsid w:val="008C71F3"/>
    <w:rsid w:val="008C7F77"/>
    <w:rsid w:val="008D3B53"/>
    <w:rsid w:val="008E0FFE"/>
    <w:rsid w:val="008E4030"/>
    <w:rsid w:val="008F3DAA"/>
    <w:rsid w:val="008F7D52"/>
    <w:rsid w:val="00905DB7"/>
    <w:rsid w:val="00906A64"/>
    <w:rsid w:val="00920299"/>
    <w:rsid w:val="00925410"/>
    <w:rsid w:val="009315D9"/>
    <w:rsid w:val="00941B64"/>
    <w:rsid w:val="00957C38"/>
    <w:rsid w:val="009703D3"/>
    <w:rsid w:val="00972F6C"/>
    <w:rsid w:val="00974859"/>
    <w:rsid w:val="0099224C"/>
    <w:rsid w:val="009972D4"/>
    <w:rsid w:val="009A4F86"/>
    <w:rsid w:val="009B75EF"/>
    <w:rsid w:val="009C4E8F"/>
    <w:rsid w:val="009C6414"/>
    <w:rsid w:val="009D7271"/>
    <w:rsid w:val="009E5D51"/>
    <w:rsid w:val="009F00F6"/>
    <w:rsid w:val="00A0562D"/>
    <w:rsid w:val="00A110C2"/>
    <w:rsid w:val="00A23AF1"/>
    <w:rsid w:val="00A361A3"/>
    <w:rsid w:val="00A64E78"/>
    <w:rsid w:val="00A6582C"/>
    <w:rsid w:val="00A66C46"/>
    <w:rsid w:val="00A773D1"/>
    <w:rsid w:val="00A821C6"/>
    <w:rsid w:val="00A83594"/>
    <w:rsid w:val="00A93656"/>
    <w:rsid w:val="00A9489E"/>
    <w:rsid w:val="00A950D1"/>
    <w:rsid w:val="00A97671"/>
    <w:rsid w:val="00AA15A0"/>
    <w:rsid w:val="00AB76D7"/>
    <w:rsid w:val="00AD22B3"/>
    <w:rsid w:val="00AE23FF"/>
    <w:rsid w:val="00AF25DD"/>
    <w:rsid w:val="00B12875"/>
    <w:rsid w:val="00B1316D"/>
    <w:rsid w:val="00B31786"/>
    <w:rsid w:val="00B325FC"/>
    <w:rsid w:val="00B41E11"/>
    <w:rsid w:val="00B439E3"/>
    <w:rsid w:val="00B51D4B"/>
    <w:rsid w:val="00B607E3"/>
    <w:rsid w:val="00B61769"/>
    <w:rsid w:val="00B75AAD"/>
    <w:rsid w:val="00B821CE"/>
    <w:rsid w:val="00B97BAC"/>
    <w:rsid w:val="00BB67F2"/>
    <w:rsid w:val="00BC2CB6"/>
    <w:rsid w:val="00BE1ED7"/>
    <w:rsid w:val="00BE6005"/>
    <w:rsid w:val="00C06328"/>
    <w:rsid w:val="00C211C8"/>
    <w:rsid w:val="00C238C5"/>
    <w:rsid w:val="00C27EFB"/>
    <w:rsid w:val="00C479AE"/>
    <w:rsid w:val="00C711DF"/>
    <w:rsid w:val="00C8113F"/>
    <w:rsid w:val="00C85D41"/>
    <w:rsid w:val="00CA23B8"/>
    <w:rsid w:val="00CB2BB2"/>
    <w:rsid w:val="00CB5B0A"/>
    <w:rsid w:val="00CB76CE"/>
    <w:rsid w:val="00CC5510"/>
    <w:rsid w:val="00CC61B1"/>
    <w:rsid w:val="00CD3209"/>
    <w:rsid w:val="00CD612D"/>
    <w:rsid w:val="00CE1852"/>
    <w:rsid w:val="00CE2335"/>
    <w:rsid w:val="00CF112C"/>
    <w:rsid w:val="00CF599A"/>
    <w:rsid w:val="00D07558"/>
    <w:rsid w:val="00D14CB8"/>
    <w:rsid w:val="00D30C10"/>
    <w:rsid w:val="00D36542"/>
    <w:rsid w:val="00D55984"/>
    <w:rsid w:val="00D574CD"/>
    <w:rsid w:val="00D763F1"/>
    <w:rsid w:val="00D85058"/>
    <w:rsid w:val="00DC205E"/>
    <w:rsid w:val="00DD5560"/>
    <w:rsid w:val="00DE59CF"/>
    <w:rsid w:val="00DF03FC"/>
    <w:rsid w:val="00E05BF4"/>
    <w:rsid w:val="00E116EF"/>
    <w:rsid w:val="00E20A17"/>
    <w:rsid w:val="00E20CCD"/>
    <w:rsid w:val="00E2436C"/>
    <w:rsid w:val="00E266F4"/>
    <w:rsid w:val="00E317D9"/>
    <w:rsid w:val="00E35D19"/>
    <w:rsid w:val="00E41F88"/>
    <w:rsid w:val="00E44970"/>
    <w:rsid w:val="00E456DF"/>
    <w:rsid w:val="00E7681D"/>
    <w:rsid w:val="00E76AAC"/>
    <w:rsid w:val="00E8688B"/>
    <w:rsid w:val="00EA5528"/>
    <w:rsid w:val="00EB578B"/>
    <w:rsid w:val="00EC64B1"/>
    <w:rsid w:val="00ED0FA2"/>
    <w:rsid w:val="00ED0FCD"/>
    <w:rsid w:val="00ED1F66"/>
    <w:rsid w:val="00EE6A8C"/>
    <w:rsid w:val="00EF14E1"/>
    <w:rsid w:val="00EF1D45"/>
    <w:rsid w:val="00F02A74"/>
    <w:rsid w:val="00F05B72"/>
    <w:rsid w:val="00F17E23"/>
    <w:rsid w:val="00F24A1F"/>
    <w:rsid w:val="00F250C0"/>
    <w:rsid w:val="00F30190"/>
    <w:rsid w:val="00F30C13"/>
    <w:rsid w:val="00F37918"/>
    <w:rsid w:val="00F5167A"/>
    <w:rsid w:val="00F55A5E"/>
    <w:rsid w:val="00F66CB7"/>
    <w:rsid w:val="00F85128"/>
    <w:rsid w:val="00FA0718"/>
    <w:rsid w:val="00FA714F"/>
    <w:rsid w:val="00FB5AB2"/>
    <w:rsid w:val="00FC4264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D6"/>
    <w:rPr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0A467D"/>
    <w:pPr>
      <w:keepNext/>
      <w:ind w:firstLine="567"/>
      <w:jc w:val="center"/>
      <w:outlineLvl w:val="5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0A467D"/>
    <w:rPr>
      <w:rFonts w:eastAsia="Calibri"/>
      <w:b/>
      <w:bCs/>
      <w:sz w:val="24"/>
      <w:szCs w:val="24"/>
      <w:u w:val="single"/>
      <w:lang w:val="uk-UA" w:eastAsia="ru-RU" w:bidi="ar-SA"/>
    </w:rPr>
  </w:style>
  <w:style w:type="character" w:customStyle="1" w:styleId="a3">
    <w:name w:val="Название Знак"/>
    <w:basedOn w:val="a0"/>
    <w:link w:val="a4"/>
    <w:locked/>
    <w:rsid w:val="000A467D"/>
    <w:rPr>
      <w:rFonts w:ascii="Calibri" w:eastAsia="Calibri" w:hAnsi="Calibri"/>
      <w:b/>
      <w:bCs/>
      <w:sz w:val="28"/>
      <w:szCs w:val="28"/>
      <w:lang w:val="uk-UA" w:eastAsia="ru-RU" w:bidi="ar-SA"/>
    </w:rPr>
  </w:style>
  <w:style w:type="paragraph" w:styleId="a4">
    <w:name w:val="Title"/>
    <w:basedOn w:val="a"/>
    <w:link w:val="a3"/>
    <w:qFormat/>
    <w:rsid w:val="000A467D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6"/>
    <w:semiHidden/>
    <w:locked/>
    <w:rsid w:val="000A467D"/>
    <w:rPr>
      <w:rFonts w:ascii="Calibri" w:eastAsia="Calibri" w:hAnsi="Calibri"/>
      <w:lang w:val="uk-UA" w:eastAsia="ru-RU" w:bidi="ar-SA"/>
    </w:rPr>
  </w:style>
  <w:style w:type="paragraph" w:styleId="a6">
    <w:name w:val="Body Text"/>
    <w:basedOn w:val="a"/>
    <w:link w:val="a5"/>
    <w:semiHidden/>
    <w:rsid w:val="000A467D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locked/>
    <w:rsid w:val="000A467D"/>
    <w:rPr>
      <w:rFonts w:ascii="Calibri" w:eastAsia="Calibri" w:hAnsi="Calibri"/>
      <w:sz w:val="28"/>
      <w:szCs w:val="28"/>
      <w:lang w:val="uk-UA" w:eastAsia="ru-RU" w:bidi="ar-SA"/>
    </w:rPr>
  </w:style>
  <w:style w:type="paragraph" w:styleId="a8">
    <w:name w:val="Body Text Indent"/>
    <w:basedOn w:val="a"/>
    <w:link w:val="a7"/>
    <w:rsid w:val="000A467D"/>
    <w:pPr>
      <w:ind w:firstLine="851"/>
    </w:pPr>
    <w:rPr>
      <w:rFonts w:ascii="Calibri" w:eastAsia="Calibri" w:hAnsi="Calibri"/>
      <w:sz w:val="28"/>
      <w:szCs w:val="28"/>
    </w:rPr>
  </w:style>
  <w:style w:type="character" w:customStyle="1" w:styleId="2">
    <w:name w:val="Основной текст 2 Знак"/>
    <w:basedOn w:val="a0"/>
    <w:link w:val="20"/>
    <w:locked/>
    <w:rsid w:val="000A467D"/>
    <w:rPr>
      <w:rFonts w:ascii="Calibri" w:eastAsia="Calibri" w:hAnsi="Calibri"/>
      <w:lang w:val="uk-UA" w:eastAsia="ru-RU" w:bidi="ar-SA"/>
    </w:rPr>
  </w:style>
  <w:style w:type="paragraph" w:styleId="20">
    <w:name w:val="Body Text 2"/>
    <w:basedOn w:val="a"/>
    <w:link w:val="2"/>
    <w:rsid w:val="000A467D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0A467D"/>
    <w:rPr>
      <w:rFonts w:ascii="Calibri" w:eastAsia="Calibri" w:hAnsi="Calibri"/>
      <w:lang w:val="uk-UA" w:eastAsia="ru-RU" w:bidi="ar-SA"/>
    </w:rPr>
  </w:style>
  <w:style w:type="paragraph" w:styleId="22">
    <w:name w:val="Body Text Indent 2"/>
    <w:basedOn w:val="a"/>
    <w:link w:val="21"/>
    <w:semiHidden/>
    <w:rsid w:val="000A467D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a9">
    <w:name w:val="Заголовок"/>
    <w:basedOn w:val="a"/>
    <w:next w:val="a6"/>
    <w:rsid w:val="000A467D"/>
    <w:pPr>
      <w:suppressAutoHyphens/>
      <w:jc w:val="center"/>
    </w:pPr>
    <w:rPr>
      <w:rFonts w:eastAsia="Calibri"/>
      <w:b/>
      <w:b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A467D"/>
    <w:pPr>
      <w:suppressAutoHyphens/>
      <w:spacing w:after="120" w:line="480" w:lineRule="auto"/>
    </w:pPr>
    <w:rPr>
      <w:rFonts w:eastAsia="Calibri"/>
      <w:kern w:val="2"/>
      <w:sz w:val="20"/>
      <w:szCs w:val="20"/>
      <w:lang w:eastAsia="ar-SA"/>
    </w:rPr>
  </w:style>
  <w:style w:type="paragraph" w:customStyle="1" w:styleId="Style6">
    <w:name w:val="Style6"/>
    <w:basedOn w:val="a"/>
    <w:rsid w:val="007D162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val="ru-RU"/>
    </w:rPr>
  </w:style>
  <w:style w:type="paragraph" w:styleId="aa">
    <w:name w:val="Balloon Text"/>
    <w:basedOn w:val="a"/>
    <w:link w:val="ab"/>
    <w:rsid w:val="008C0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C0205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6F4944"/>
    <w:pPr>
      <w:ind w:left="720"/>
      <w:contextualSpacing/>
    </w:pPr>
  </w:style>
  <w:style w:type="paragraph" w:styleId="ad">
    <w:name w:val="header"/>
    <w:basedOn w:val="a"/>
    <w:link w:val="ae"/>
    <w:uiPriority w:val="99"/>
    <w:rsid w:val="00AF25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25DD"/>
    <w:rPr>
      <w:sz w:val="24"/>
      <w:szCs w:val="24"/>
      <w:lang w:val="uk-UA"/>
    </w:rPr>
  </w:style>
  <w:style w:type="paragraph" w:styleId="af">
    <w:name w:val="footer"/>
    <w:basedOn w:val="a"/>
    <w:link w:val="af0"/>
    <w:rsid w:val="00AF25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F25DD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1\&#1052;&#1086;&#1080;%20&#1076;&#1086;&#1082;&#1091;&#1084;&#1077;&#1085;&#1090;&#1099;\&#1050;&#1086;&#1087;&#1080;&#1103;%20&#1044;&#1110;&#1072;&#1075;&#1088;&#1072;&#1084;&#1080;%209%20&#1084;&#1110;&#1089;&#1103;&#1094;&#1110;&#1074;%20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1\&#1052;&#1086;&#1080;%20&#1076;&#1086;&#1082;&#1091;&#1084;&#1077;&#1085;&#1090;&#1099;\&#1050;&#1086;&#1087;&#1080;&#1103;%20&#1044;&#1110;&#1072;&#1075;&#1088;&#1072;&#1084;&#1080;%209%20&#1084;&#1110;&#1089;&#1103;&#1094;&#1110;&#1074;%20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30;&#1085;&#1092;&#1086;&#1088;&#1084;&#1072;&#1094;&#1110;&#1103;%20&#1087;&#1086;%20&#1074;&#1080;&#1082;&#1086;&#1085;&#1072;&#1085;&#1085;&#1102;\2013\&#1072;&#1085;&#1072;&#1083;&#1110;&#1079;%2001.10.13%20&#1076;&#1080;&#1072;&#1075;&#1088;&#1072;&#1084;&#1084;&#1099;%20&#1076;&#1083;&#1103;%20&#1042;.&#1042;.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&#1052;&#1086;&#1080;%20&#1076;&#1086;&#1082;&#1091;&#1084;&#1077;&#1085;&#1090;&#1099;\&#1030;&#1085;&#1092;&#1086;&#1088;&#1084;&#1072;&#1094;&#1110;&#1103;%20&#1087;&#1086;%20&#1074;&#1080;&#1082;&#1086;&#1085;&#1072;&#1085;&#1085;&#1102;\2013\&#1072;&#1085;&#1072;&#1083;&#1110;&#1079;%2001.10.13%20&#1076;&#1080;&#1072;&#1075;&#1088;&#1072;&#1084;&#1084;&#1099;%20&#1076;&#1083;&#1103;%20&#1042;.&#1042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Показники доходів загального фонду бюджету м.Запоріжжя, млн.грн.</a:t>
            </a:r>
          </a:p>
        </c:rich>
      </c:tx>
      <c:layout>
        <c:manualLayout>
          <c:xMode val="edge"/>
          <c:yMode val="edge"/>
          <c:x val="0.14002828854314048"/>
          <c:y val="1.5384615384615429E-2"/>
        </c:manualLayout>
      </c:layout>
      <c:spPr>
        <a:noFill/>
        <a:ln w="25400">
          <a:noFill/>
        </a:ln>
      </c:spPr>
    </c:title>
    <c:view3D>
      <c:rotX val="16"/>
      <c:hPercent val="65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42432814710042"/>
          <c:y val="0.15824175824175823"/>
          <c:w val="0.73833097595473829"/>
          <c:h val="0.77142857142857435"/>
        </c:manualLayout>
      </c:layout>
      <c:bar3DChart>
        <c:barDir val="col"/>
        <c:grouping val="stacked"/>
        <c:ser>
          <c:idx val="0"/>
          <c:order val="0"/>
          <c:tx>
            <c:strRef>
              <c:f>'ЗФ 9міс2013 до 9міс2012'!$A$6</c:f>
              <c:strCache>
                <c:ptCount val="1"/>
                <c:pt idx="0">
                  <c:v>1 кошик</c:v>
                </c:pt>
              </c:strCache>
            </c:strRef>
          </c:tx>
          <c:spPr>
            <a:solidFill>
              <a:srgbClr val="00FF00"/>
            </a:solidFill>
            <a:ln w="38100">
              <a:solidFill>
                <a:srgbClr val="000000"/>
              </a:solidFill>
              <a:prstDash val="sysDash"/>
            </a:ln>
          </c:spPr>
          <c:dLbls>
            <c:dLbl>
              <c:idx val="0"/>
              <c:layout>
                <c:manualLayout>
                  <c:x val="2.7140666822587402E-3"/>
                  <c:y val="-4.8038072164056415E-2"/>
                </c:manualLayout>
              </c:layout>
              <c:showVal val="1"/>
            </c:dLbl>
            <c:dLbl>
              <c:idx val="1"/>
              <c:layout>
                <c:manualLayout>
                  <c:x val="1.8228810507597441E-2"/>
                  <c:y val="-2.5843154221107011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2800565770862993"/>
                  <c:y val="0.59560439560439593"/>
                </c:manualLayout>
              </c:layout>
              <c:showVal val="1"/>
            </c:dLbl>
            <c:spPr>
              <a:noFill/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3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'ЗФ 9міс2013 до 9міс2012'!$B$5:$C$5</c:f>
              <c:strCache>
                <c:ptCount val="2"/>
                <c:pt idx="0">
                  <c:v>Факт за 9 місяців 2012 року</c:v>
                </c:pt>
                <c:pt idx="1">
                  <c:v>Факт за 9 місяців 2013 року</c:v>
                </c:pt>
              </c:strCache>
            </c:strRef>
          </c:cat>
          <c:val>
            <c:numRef>
              <c:f>'ЗФ 9міс2013 до 9міс2012'!$B$6:$C$6</c:f>
              <c:numCache>
                <c:formatCode>0.0</c:formatCode>
                <c:ptCount val="2"/>
                <c:pt idx="0" formatCode="#,##0.0">
                  <c:v>897.67840000000081</c:v>
                </c:pt>
                <c:pt idx="1">
                  <c:v>910.06530199999997</c:v>
                </c:pt>
              </c:numCache>
            </c:numRef>
          </c:val>
        </c:ser>
        <c:ser>
          <c:idx val="1"/>
          <c:order val="1"/>
          <c:tx>
            <c:strRef>
              <c:f>'ЗФ 9міс2013 до 9міс2012'!$A$7</c:f>
              <c:strCache>
                <c:ptCount val="1"/>
                <c:pt idx="0">
                  <c:v>2 кошик </c:v>
                </c:pt>
              </c:strCache>
            </c:strRef>
          </c:tx>
          <c:spPr>
            <a:solidFill>
              <a:srgbClr val="FFFF00"/>
            </a:solidFill>
            <a:ln w="381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358069102748322E-3"/>
                  <c:y val="-1.5153874996394642E-2"/>
                </c:manualLayout>
              </c:layout>
              <c:showVal val="1"/>
            </c:dLbl>
            <c:dLbl>
              <c:idx val="1"/>
              <c:layout>
                <c:manualLayout>
                  <c:x val="1.115667472259046E-2"/>
                  <c:y val="-1.0756886158460922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3790664780763751"/>
                  <c:y val="0.2967032967032967"/>
                </c:manualLayout>
              </c:layout>
              <c:showVal val="1"/>
            </c:dLbl>
            <c:spPr>
              <a:solidFill>
                <a:srgbClr val="FFFF00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3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'ЗФ 9міс2013 до 9міс2012'!$B$5:$C$5</c:f>
              <c:strCache>
                <c:ptCount val="2"/>
                <c:pt idx="0">
                  <c:v>Факт за 9 місяців 2012 року</c:v>
                </c:pt>
                <c:pt idx="1">
                  <c:v>Факт за 9 місяців 2013 року</c:v>
                </c:pt>
              </c:strCache>
            </c:strRef>
          </c:cat>
          <c:val>
            <c:numRef>
              <c:f>'ЗФ 9міс2013 до 9міс2012'!$B$7:$C$7</c:f>
              <c:numCache>
                <c:formatCode>0.0</c:formatCode>
                <c:ptCount val="2"/>
                <c:pt idx="0" formatCode="#,##0.0">
                  <c:v>319.58089999999999</c:v>
                </c:pt>
                <c:pt idx="1">
                  <c:v>328.63821899999954</c:v>
                </c:pt>
              </c:numCache>
            </c:numRef>
          </c:val>
        </c:ser>
        <c:dLbls>
          <c:showVal val="1"/>
        </c:dLbls>
        <c:shape val="box"/>
        <c:axId val="75940224"/>
        <c:axId val="75942144"/>
        <c:axId val="0"/>
      </c:bar3DChart>
      <c:catAx>
        <c:axId val="759402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942144"/>
        <c:crosses val="autoZero"/>
        <c:auto val="1"/>
        <c:lblAlgn val="ctr"/>
        <c:lblOffset val="100"/>
        <c:tickLblSkip val="1"/>
        <c:tickMarkSkip val="1"/>
      </c:catAx>
      <c:valAx>
        <c:axId val="759421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940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431400282885461"/>
          <c:y val="0.30769230769230782"/>
          <c:w val="0.13578500707213623"/>
          <c:h val="0.50109890109890109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50"/>
              <a:t>Структура доходів загального фонду за 9 місяців 2013 року</a:t>
            </a:r>
          </a:p>
        </c:rich>
      </c:tx>
      <c:layout>
        <c:manualLayout>
          <c:xMode val="edge"/>
          <c:yMode val="edge"/>
          <c:x val="0.14490167962231559"/>
          <c:y val="3.6858974358974408E-2"/>
        </c:manualLayout>
      </c:layout>
      <c:spPr>
        <a:noFill/>
        <a:ln w="25400">
          <a:noFill/>
        </a:ln>
      </c:spPr>
    </c:title>
    <c:view3D>
      <c:rotY val="200"/>
      <c:perspective val="0"/>
    </c:view3D>
    <c:plotArea>
      <c:layout>
        <c:manualLayout>
          <c:layoutTarget val="inner"/>
          <c:xMode val="edge"/>
          <c:yMode val="edge"/>
          <c:x val="5.6306004880380435E-2"/>
          <c:y val="0.22181884179371195"/>
          <c:w val="0.91651815437202666"/>
          <c:h val="0.48798076923077016"/>
        </c:manualLayout>
      </c:layout>
      <c:pie3DChart>
        <c:varyColors val="1"/>
        <c:ser>
          <c:idx val="0"/>
          <c:order val="0"/>
          <c:tx>
            <c:strRef>
              <c:f>'структура ЗФ 9 міс 2013'!$C$3</c:f>
              <c:strCache>
                <c:ptCount val="1"/>
                <c:pt idx="0">
                  <c:v>Факт за 9 місяців 2013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4"/>
          <c:dPt>
            <c:idx val="0"/>
            <c:explosion val="41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43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102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145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2386986510407114"/>
                  <c:y val="-3.957550979204523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5.2080439855572737E-2"/>
                  <c:y val="-0.17719261053906721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7845740659877293"/>
                  <c:y val="2.812865939834451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28606827501194987"/>
                  <c:y val="0.10483916904004018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8.8818394505798648E-2"/>
                  <c:y val="0.1587100016753229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3863818939565464"/>
                  <c:y val="9.7528061651868156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0.14825958256815341"/>
                  <c:y val="-8.8254872396269987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spPr>
              <a:solidFill>
                <a:srgbClr val="CCFFFF"/>
              </a:solidFill>
              <a:ln w="3175">
                <a:solidFill>
                  <a:srgbClr val="FFFFFF"/>
                </a:solidFill>
                <a:prstDash val="solid"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'структура ЗФ 9 міс 2013'!$B$4:$B$10</c:f>
              <c:strCache>
                <c:ptCount val="7"/>
                <c:pt idx="0">
                  <c:v>Податок на доходи фізичних осіб</c:v>
                </c:pt>
                <c:pt idx="1">
                  <c:v>Податок на прибуток </c:v>
                </c:pt>
                <c:pt idx="2">
                  <c:v>Плата за землю</c:v>
                </c:pt>
                <c:pt idx="3">
                  <c:v>Місцеві податки і збори</c:v>
                </c:pt>
                <c:pt idx="4">
                  <c:v>Плата за оренду МК</c:v>
                </c:pt>
                <c:pt idx="5">
                  <c:v>Плата за надра</c:v>
                </c:pt>
                <c:pt idx="6">
                  <c:v>Інші</c:v>
                </c:pt>
              </c:strCache>
            </c:strRef>
          </c:cat>
          <c:val>
            <c:numRef>
              <c:f>'структура ЗФ 9 міс 2013'!$C$4:$C$10</c:f>
              <c:numCache>
                <c:formatCode>#,##0.0</c:formatCode>
                <c:ptCount val="7"/>
                <c:pt idx="0">
                  <c:v>909.28313600000081</c:v>
                </c:pt>
                <c:pt idx="1">
                  <c:v>28.383338999999989</c:v>
                </c:pt>
                <c:pt idx="2">
                  <c:v>267.9322759999996</c:v>
                </c:pt>
                <c:pt idx="3">
                  <c:v>8.6960750000000004</c:v>
                </c:pt>
                <c:pt idx="4">
                  <c:v>12.392423000000004</c:v>
                </c:pt>
                <c:pt idx="5">
                  <c:v>6.3798450000000004</c:v>
                </c:pt>
                <c:pt idx="6">
                  <c:v>5.6364270000000003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Структура</a:t>
            </a:r>
            <a:r>
              <a:rPr lang="ru-RU" sz="1300" baseline="0"/>
              <a:t> видактів загального фонду бюджету міста без врахування субвенцій з державного бюджету за економічною класифікацією за 9 місяців 2013 року</a:t>
            </a:r>
          </a:p>
        </c:rich>
      </c:tx>
      <c:layout>
        <c:manualLayout>
          <c:xMode val="edge"/>
          <c:yMode val="edge"/>
          <c:x val="0.16279223267026302"/>
          <c:y val="3.276333062091741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2956548979764652"/>
          <c:y val="0.39355296232791293"/>
          <c:w val="0.59602353627365212"/>
          <c:h val="0.5557071082101486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5140427707974425E-2"/>
                  <c:y val="5.717210936020728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2.0980874122760805E-2"/>
                  <c:y val="0.13780626402891619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1148892336170366E-2"/>
                  <c:y val="8.974630509215526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9.4142643934214162E-2"/>
                  <c:y val="-4.9376278460776723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8.288947541688009E-2"/>
                  <c:y val="-0.1231308368657574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8.0785326670767543E-2"/>
                  <c:y val="-0.15113932061392379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0.22222843059650257"/>
                  <c:y val="-8.2303116510903787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28638560702788063"/>
                  <c:y val="-3.8571656707256895E-2"/>
                </c:manualLayout>
              </c:layout>
              <c:dLblPos val="bestFit"/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'Диаграмма КЕКВ 01.10'!$E$7:$E$14</c:f>
              <c:strCache>
                <c:ptCount val="8"/>
                <c:pt idx="0">
                  <c:v>Оплата праці з нарахуваннями</c:v>
                </c:pt>
                <c:pt idx="1">
                  <c:v>Медикаменти та перев'язувальні матеріали</c:v>
                </c:pt>
                <c:pt idx="2">
                  <c:v>Продукти харчування</c:v>
                </c:pt>
                <c:pt idx="3">
                  <c:v>Оплата комунальних послуг та енергоносіїв</c:v>
                </c:pt>
                <c:pt idx="4">
                  <c:v>Обслуговування боргових зобов'язань</c:v>
                </c:pt>
                <c:pt idx="5">
                  <c:v>Соціальне забезпечення</c:v>
                </c:pt>
                <c:pt idx="6">
                  <c:v>Субсидії та поточні трансферти підприємствам</c:v>
                </c:pt>
                <c:pt idx="7">
                  <c:v>Інші видатки</c:v>
                </c:pt>
              </c:strCache>
            </c:strRef>
          </c:cat>
          <c:val>
            <c:numRef>
              <c:f>'Диаграмма КЕКВ 01.10'!$G$7:$G$14</c:f>
              <c:numCache>
                <c:formatCode>0.0%</c:formatCode>
                <c:ptCount val="8"/>
                <c:pt idx="0">
                  <c:v>0.7449800572839248</c:v>
                </c:pt>
                <c:pt idx="1">
                  <c:v>1.2405235326609322E-2</c:v>
                </c:pt>
                <c:pt idx="2">
                  <c:v>2.4464440736803122E-2</c:v>
                </c:pt>
                <c:pt idx="3">
                  <c:v>8.9496662463598206E-2</c:v>
                </c:pt>
                <c:pt idx="4">
                  <c:v>8.9749020949038711E-3</c:v>
                </c:pt>
                <c:pt idx="5">
                  <c:v>1.3323910567931871E-2</c:v>
                </c:pt>
                <c:pt idx="6">
                  <c:v>4.7036039901688732E-2</c:v>
                </c:pt>
                <c:pt idx="7">
                  <c:v>5.9318751624541748E-2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Структура</a:t>
            </a:r>
            <a:r>
              <a:rPr lang="ru-RU" sz="1300" baseline="0"/>
              <a:t> видатків бюджету міста за 9 місяців 2013 року за функціональною ознакою</a:t>
            </a:r>
            <a:endParaRPr lang="ru-RU" sz="1300"/>
          </a:p>
        </c:rich>
      </c:tx>
      <c:layout>
        <c:manualLayout>
          <c:xMode val="edge"/>
          <c:yMode val="edge"/>
          <c:x val="0.14783691254279524"/>
          <c:y val="2.103216596531845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7343804246691339"/>
          <c:y val="0.41959360366645782"/>
          <c:w val="0.57800046236050684"/>
          <c:h val="0.49007974952559341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0.16352678137455037"/>
                  <c:y val="8.124235987053271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5.6229735988883742E-2"/>
                  <c:y val="9.9423709189259274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7.9282736716734054E-2"/>
                  <c:y val="-1.12911265788615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5.4150093983350153E-3"/>
                  <c:y val="7.430600358327542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3403406273562221"/>
                  <c:y val="0.1624281765727225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14502713304627798"/>
                  <c:y val="4.3699825331292075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0.16928929635429596"/>
                  <c:y val="-9.398444566047771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-2.0391241944430149E-3"/>
                  <c:y val="-0.1846662024922056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8"/>
              <c:layout>
                <c:manualLayout>
                  <c:x val="0.10649257078159374"/>
                  <c:y val="-7.583882026819442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9"/>
              <c:layout>
                <c:manualLayout>
                  <c:x val="0.15049131930404144"/>
                  <c:y val="-0.1094687568239206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</c:dLbls>
          <c:cat>
            <c:strRef>
              <c:f>'Диаграмма КФК 01.10'!$D$5:$D$14</c:f>
              <c:strCache>
                <c:ptCount val="10"/>
                <c:pt idx="0">
                  <c:v>Органи місцевого самоврядування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Соціальний захист,соціальне забезпечення та компенсація пільгового проїзду</c:v>
                </c:pt>
                <c:pt idx="4">
                  <c:v>Житлово-комунальне господарство</c:v>
                </c:pt>
                <c:pt idx="5">
                  <c:v>Культура і мистецтво, фізична культура і спорт</c:v>
                </c:pt>
                <c:pt idx="6">
                  <c:v>Будівництво та внески у статутні капітали</c:v>
                </c:pt>
                <c:pt idx="7">
                  <c:v>Транспорт, дорожнє господарство</c:v>
                </c:pt>
                <c:pt idx="8">
                  <c:v>Кошти, що передаються до державного бюджету</c:v>
                </c:pt>
                <c:pt idx="9">
                  <c:v>Інші видатки</c:v>
                </c:pt>
              </c:strCache>
            </c:strRef>
          </c:cat>
          <c:val>
            <c:numRef>
              <c:f>'[аналіз 01.10.13 диаграммы для В.В..xls]Диаграмма КФК 01.10'!$F$5:$F$14,'[аналіз 01.10.13 диаграммы для В.В..xls]Диаграмма КФК 01.10'!$E$20</c:f>
              <c:numCache>
                <c:formatCode>0.0%</c:formatCode>
                <c:ptCount val="11"/>
                <c:pt idx="0">
                  <c:v>3.5065531638416844E-2</c:v>
                </c:pt>
                <c:pt idx="1">
                  <c:v>0.30035788907917327</c:v>
                </c:pt>
                <c:pt idx="2">
                  <c:v>0.21184879322074004</c:v>
                </c:pt>
                <c:pt idx="3">
                  <c:v>0.25002140712454568</c:v>
                </c:pt>
                <c:pt idx="4">
                  <c:v>4.7482360818112683E-2</c:v>
                </c:pt>
                <c:pt idx="5">
                  <c:v>3.880349285181621E-2</c:v>
                </c:pt>
                <c:pt idx="6">
                  <c:v>1.7743524085567883E-2</c:v>
                </c:pt>
                <c:pt idx="7">
                  <c:v>1.2418756821334738E-2</c:v>
                </c:pt>
                <c:pt idx="8">
                  <c:v>7.0285612977762604E-2</c:v>
                </c:pt>
                <c:pt idx="9">
                  <c:v>1.5972631382531941E-2</c:v>
                </c:pt>
              </c:numCache>
            </c:numRef>
          </c:val>
        </c:ser>
        <c:ser>
          <c:idx val="1"/>
          <c:order val="1"/>
          <c:explosion val="25"/>
          <c:dLbls>
            <c:showCatName val="1"/>
          </c:dLbls>
          <c:cat>
            <c:strRef>
              <c:f>'Диаграмма КФК 01.10'!$D$5:$D$14</c:f>
              <c:strCache>
                <c:ptCount val="10"/>
                <c:pt idx="0">
                  <c:v>Органи місцевого самоврядування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Соціальний захист,соціальне забезпечення та компенсація пільгового проїзду</c:v>
                </c:pt>
                <c:pt idx="4">
                  <c:v>Житлово-комунальне господарство</c:v>
                </c:pt>
                <c:pt idx="5">
                  <c:v>Культура і мистецтво, фізична культура і спорт</c:v>
                </c:pt>
                <c:pt idx="6">
                  <c:v>Будівництво та внески у статутні капітали</c:v>
                </c:pt>
                <c:pt idx="7">
                  <c:v>Транспорт, дорожнє господарство</c:v>
                </c:pt>
                <c:pt idx="8">
                  <c:v>Кошти, що передаються до державного бюджету</c:v>
                </c:pt>
                <c:pt idx="9">
                  <c:v>Інші видатки</c:v>
                </c:pt>
              </c:strCache>
            </c:strRef>
          </c:cat>
          <c:val>
            <c:numRef>
              <c:f>'Диаграмма КФК 01.10'!$E$20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explosion val="25"/>
          <c:dLbls>
            <c:showCatName val="1"/>
          </c:dLbls>
          <c:cat>
            <c:strRef>
              <c:f>'Диаграмма КФК 01.10'!$D$5:$D$14</c:f>
              <c:strCache>
                <c:ptCount val="10"/>
                <c:pt idx="0">
                  <c:v>Органи місцевого самоврядування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Соціальний захист,соціальне забезпечення та компенсація пільгового проїзду</c:v>
                </c:pt>
                <c:pt idx="4">
                  <c:v>Житлово-комунальне господарство</c:v>
                </c:pt>
                <c:pt idx="5">
                  <c:v>Культура і мистецтво, фізична культура і спорт</c:v>
                </c:pt>
                <c:pt idx="6">
                  <c:v>Будівництво та внески у статутні капітали</c:v>
                </c:pt>
                <c:pt idx="7">
                  <c:v>Транспорт, дорожнє господарство</c:v>
                </c:pt>
                <c:pt idx="8">
                  <c:v>Кошти, що передаються до державного бюджету</c:v>
                </c:pt>
                <c:pt idx="9">
                  <c:v>Інші видатки</c:v>
                </c:pt>
              </c:strCache>
            </c:strRef>
          </c:cat>
          <c:val>
            <c:numRef>
              <c:f>'Диаграмма КФК 01.10'!$E$20</c:f>
              <c:numCache>
                <c:formatCode>General</c:formatCode>
                <c:ptCount val="1"/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  <a:effectLst/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0.2799</cdr:x>
      <cdr:y>0.20144</cdr:y>
    </cdr:from>
    <cdr:to>
      <cdr:x>0.38367</cdr:x>
      <cdr:y>0.26208</cdr:y>
    </cdr:to>
    <cdr:sp macro="" textlink="">
      <cdr:nvSpPr>
        <cdr:cNvPr id="716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90759" y="878127"/>
          <a:ext cx="699749" cy="2633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1400" b="1" i="0" strike="noStrike">
              <a:solidFill>
                <a:srgbClr val="000000"/>
              </a:solidFill>
              <a:latin typeface="Times New Roman"/>
              <a:cs typeface="Times New Roman"/>
            </a:rPr>
            <a:t>1217,3</a:t>
          </a:r>
        </a:p>
      </cdr:txBody>
    </cdr:sp>
  </cdr:relSizeAnchor>
  <cdr:relSizeAnchor xmlns:cdr="http://schemas.openxmlformats.org/drawingml/2006/chartDrawing">
    <cdr:from>
      <cdr:x>0.56063</cdr:x>
      <cdr:y>0.19069</cdr:y>
    </cdr:from>
    <cdr:to>
      <cdr:x>0.66366</cdr:x>
      <cdr:y>0.29363</cdr:y>
    </cdr:to>
    <cdr:sp macro="" textlink="">
      <cdr:nvSpPr>
        <cdr:cNvPr id="717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83905" y="831398"/>
          <a:ext cx="694763" cy="4471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1400" b="1" i="0" strike="noStrike">
              <a:solidFill>
                <a:srgbClr val="000000"/>
              </a:solidFill>
              <a:latin typeface="Times New Roman"/>
              <a:cs typeface="Times New Roman"/>
            </a:rPr>
            <a:t>1238,7</a:t>
          </a:r>
        </a:p>
      </cdr:txBody>
    </cdr:sp>
  </cdr:relSizeAnchor>
  <cdr:relSizeAnchor xmlns:cdr="http://schemas.openxmlformats.org/drawingml/2006/chartDrawing">
    <cdr:from>
      <cdr:x>0.37282</cdr:x>
      <cdr:y>0.14643</cdr:y>
    </cdr:from>
    <cdr:to>
      <cdr:x>0.55989</cdr:x>
      <cdr:y>0.33348</cdr:y>
    </cdr:to>
    <cdr:sp macro="" textlink="">
      <cdr:nvSpPr>
        <cdr:cNvPr id="7171" name="AutoShape 3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-1413775">
          <a:off x="2517375" y="639169"/>
          <a:ext cx="1261543" cy="812458"/>
        </a:xfrm>
        <a:custGeom xmlns:a="http://schemas.openxmlformats.org/drawingml/2006/main">
          <a:avLst/>
          <a:gdLst>
            <a:gd name="G0" fmla="+- 26830 0 0"/>
            <a:gd name="G1" fmla="+- -9831974 0 0"/>
            <a:gd name="G2" fmla="+- 26830 0 -9831974"/>
            <a:gd name="G3" fmla="+- 10800 0 0"/>
            <a:gd name="G4" fmla="+- 0 0 26830"/>
            <a:gd name="T0" fmla="*/ 360 256 1"/>
            <a:gd name="T1" fmla="*/ 0 256 1"/>
            <a:gd name="G5" fmla="+- G2 T0 T1"/>
            <a:gd name="G6" fmla="?: G2 G2 G5"/>
            <a:gd name="G7" fmla="+- 0 0 G6"/>
            <a:gd name="G8" fmla="+- 5318 0 0"/>
            <a:gd name="G9" fmla="+- 0 0 -9831974"/>
            <a:gd name="G10" fmla="+- 5318 0 2700"/>
            <a:gd name="G11" fmla="cos G10 26830"/>
            <a:gd name="G12" fmla="sin G10 26830"/>
            <a:gd name="G13" fmla="cos 13500 26830"/>
            <a:gd name="G14" fmla="sin 13500 26830"/>
            <a:gd name="G15" fmla="+- G11 10800 0"/>
            <a:gd name="G16" fmla="+- G12 10800 0"/>
            <a:gd name="G17" fmla="+- G13 10800 0"/>
            <a:gd name="G18" fmla="+- G14 10800 0"/>
            <a:gd name="G19" fmla="*/ 5318 1 2"/>
            <a:gd name="G20" fmla="+- G19 5400 0"/>
            <a:gd name="G21" fmla="cos G20 26830"/>
            <a:gd name="G22" fmla="sin G20 26830"/>
            <a:gd name="G23" fmla="+- G21 10800 0"/>
            <a:gd name="G24" fmla="+- G12 G23 G22"/>
            <a:gd name="G25" fmla="+- G22 G23 G11"/>
            <a:gd name="G26" fmla="cos 10800 26830"/>
            <a:gd name="G27" fmla="sin 10800 26830"/>
            <a:gd name="G28" fmla="cos 5318 26830"/>
            <a:gd name="G29" fmla="sin 5318 26830"/>
            <a:gd name="G30" fmla="+- G26 10800 0"/>
            <a:gd name="G31" fmla="+- G27 10800 0"/>
            <a:gd name="G32" fmla="+- G28 10800 0"/>
            <a:gd name="G33" fmla="+- G29 10800 0"/>
            <a:gd name="G34" fmla="+- G19 5400 0"/>
            <a:gd name="G35" fmla="cos G34 -9831974"/>
            <a:gd name="G36" fmla="sin G34 -9831974"/>
            <a:gd name="G37" fmla="+/ -9831974 26830 2"/>
            <a:gd name="T2" fmla="*/ 180 256 1"/>
            <a:gd name="T3" fmla="*/ 0 256 1"/>
            <a:gd name="G38" fmla="+- G37 T2 T3"/>
            <a:gd name="G39" fmla="?: G2 G37 G38"/>
            <a:gd name="G40" fmla="cos 10800 G39"/>
            <a:gd name="G41" fmla="sin 10800 G39"/>
            <a:gd name="G42" fmla="cos 5318 G39"/>
            <a:gd name="G43" fmla="sin 5318 G39"/>
            <a:gd name="G44" fmla="+- G40 10800 0"/>
            <a:gd name="G45" fmla="+- G41 10800 0"/>
            <a:gd name="G46" fmla="+- G42 10800 0"/>
            <a:gd name="G47" fmla="+- G43 10800 0"/>
            <a:gd name="G48" fmla="+- G35 10800 0"/>
            <a:gd name="G49" fmla="+- G36 10800 0"/>
            <a:gd name="T4" fmla="*/ 13630 w 21600"/>
            <a:gd name="T5" fmla="*/ 377 h 21600"/>
            <a:gd name="T6" fmla="*/ 3819 w 21600"/>
            <a:gd name="T7" fmla="*/ 6773 h 21600"/>
            <a:gd name="T8" fmla="*/ 12193 w 21600"/>
            <a:gd name="T9" fmla="*/ 5667 h 21600"/>
            <a:gd name="T10" fmla="*/ 24299 w 21600"/>
            <a:gd name="T11" fmla="*/ 10896 h 21600"/>
            <a:gd name="T12" fmla="*/ 18819 w 21600"/>
            <a:gd name="T13" fmla="*/ 16298 h 21600"/>
            <a:gd name="T14" fmla="*/ 13417 w 21600"/>
            <a:gd name="T15" fmla="*/ 10818 h 21600"/>
            <a:gd name="T16" fmla="*/ 3163 w 21600"/>
            <a:gd name="T17" fmla="*/ 3163 h 21600"/>
            <a:gd name="T18" fmla="*/ 18437 w 21600"/>
            <a:gd name="T19" fmla="*/ 18437 h 21600"/>
          </a:gdLst>
          <a:ahLst/>
          <a:cxnLst>
            <a:cxn ang="0">
              <a:pos x="T4" y="T5"/>
            </a:cxn>
            <a:cxn ang="0">
              <a:pos x="T6" y="T7"/>
            </a:cxn>
            <a:cxn ang="0">
              <a:pos x="T8" y="T9"/>
            </a:cxn>
            <a:cxn ang="0">
              <a:pos x="T10" y="T11"/>
            </a:cxn>
            <a:cxn ang="0">
              <a:pos x="T12" y="T13"/>
            </a:cxn>
            <a:cxn ang="0">
              <a:pos x="T14" y="T15"/>
            </a:cxn>
          </a:cxnLst>
          <a:rect l="T16" t="T17" r="T18" b="T19"/>
          <a:pathLst>
            <a:path w="21600" h="21600">
              <a:moveTo>
                <a:pt x="16117" y="10837"/>
              </a:moveTo>
              <a:cubicBezTo>
                <a:pt x="16117" y="10825"/>
                <a:pt x="16118" y="10812"/>
                <a:pt x="16118" y="10800"/>
              </a:cubicBezTo>
              <a:cubicBezTo>
                <a:pt x="16118" y="7862"/>
                <a:pt x="13737" y="5482"/>
                <a:pt x="10800" y="5482"/>
              </a:cubicBezTo>
              <a:cubicBezTo>
                <a:pt x="8899" y="5481"/>
                <a:pt x="7143" y="6496"/>
                <a:pt x="6193" y="8142"/>
              </a:cubicBezTo>
              <a:lnTo>
                <a:pt x="1444" y="5403"/>
              </a:lnTo>
              <a:cubicBezTo>
                <a:pt x="3373" y="2060"/>
                <a:pt x="6939" y="-1"/>
                <a:pt x="10800" y="0"/>
              </a:cubicBezTo>
              <a:cubicBezTo>
                <a:pt x="16764" y="0"/>
                <a:pt x="21600" y="4835"/>
                <a:pt x="21600" y="10800"/>
              </a:cubicBezTo>
              <a:cubicBezTo>
                <a:pt x="21600" y="10825"/>
                <a:pt x="21599" y="10851"/>
                <a:pt x="21599" y="10877"/>
              </a:cubicBezTo>
              <a:lnTo>
                <a:pt x="24299" y="10896"/>
              </a:lnTo>
              <a:lnTo>
                <a:pt x="18819" y="16298"/>
              </a:lnTo>
              <a:lnTo>
                <a:pt x="13417" y="10818"/>
              </a:lnTo>
              <a:lnTo>
                <a:pt x="16117" y="10837"/>
              </a:lnTo>
              <a:close/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0.43247</cdr:x>
      <cdr:y>0.16917</cdr:y>
    </cdr:from>
    <cdr:to>
      <cdr:x>0.51331</cdr:x>
      <cdr:y>0.18995</cdr:y>
    </cdr:to>
    <cdr:sp macro="" textlink="">
      <cdr:nvSpPr>
        <cdr:cNvPr id="7172" name="WordArt 4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2919606" y="737938"/>
          <a:ext cx="545173" cy="902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ArchUp">
            <a:avLst>
              <a:gd name="adj" fmla="val 10800000"/>
            </a:avLst>
          </a:prstTxWarp>
        </a:bodyPr>
        <a:lstStyle xmlns:a="http://schemas.openxmlformats.org/drawingml/2006/main"/>
        <a:p xmlns:a="http://schemas.openxmlformats.org/drawingml/2006/main">
          <a:pPr algn="ctr" rtl="0"/>
          <a:r>
            <a:rPr lang="ru-RU" sz="14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000000"/>
              </a:solidFill>
              <a:effectLst/>
              <a:latin typeface="Times New Roman"/>
              <a:cs typeface="Times New Roman"/>
            </a:rPr>
            <a:t>101,8%</a:t>
          </a:r>
        </a:p>
      </cdr:txBody>
    </cdr:sp>
  </cdr:relSizeAnchor>
  <cdr:relSizeAnchor xmlns:cdr="http://schemas.openxmlformats.org/drawingml/2006/chartDrawing">
    <cdr:from>
      <cdr:x>0.42359</cdr:x>
      <cdr:y>0.62006</cdr:y>
    </cdr:from>
    <cdr:to>
      <cdr:x>0.51503</cdr:x>
      <cdr:y>0.67238</cdr:y>
    </cdr:to>
    <cdr:sp macro="" textlink="">
      <cdr:nvSpPr>
        <cdr:cNvPr id="7173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859770" y="2696335"/>
          <a:ext cx="616644" cy="22727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stealth" w="lg" len="lg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0.43247</cdr:x>
      <cdr:y>0.39877</cdr:y>
    </cdr:from>
    <cdr:to>
      <cdr:x>0.51577</cdr:x>
      <cdr:y>0.44523</cdr:y>
    </cdr:to>
    <cdr:sp macro="" textlink="">
      <cdr:nvSpPr>
        <cdr:cNvPr id="7174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919606" y="1735191"/>
          <a:ext cx="561794" cy="2017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stealth" w="lg" len="lg"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0.43247</cdr:x>
      <cdr:y>0.5604</cdr:y>
    </cdr:from>
    <cdr:to>
      <cdr:x>0.51577</cdr:x>
      <cdr:y>0.64182</cdr:y>
    </cdr:to>
    <cdr:sp macro="" textlink="">
      <cdr:nvSpPr>
        <cdr:cNvPr id="7175" name="WordArt 7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2919606" y="2437198"/>
          <a:ext cx="561794" cy="353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SlantUp">
            <a:avLst>
              <a:gd name="adj" fmla="val 55556"/>
            </a:avLst>
          </a:prstTxWarp>
        </a:bodyPr>
        <a:lstStyle xmlns:a="http://schemas.openxmlformats.org/drawingml/2006/main"/>
        <a:p xmlns:a="http://schemas.openxmlformats.org/drawingml/2006/main">
          <a:pPr algn="ctr" rtl="0"/>
          <a:r>
            <a:rPr lang="ru-RU" sz="8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000000"/>
              </a:solidFill>
              <a:effectLst/>
              <a:latin typeface="Times New Roman"/>
              <a:cs typeface="Times New Roman"/>
            </a:rPr>
            <a:t>101,4%</a:t>
          </a:r>
        </a:p>
      </cdr:txBody>
    </cdr:sp>
  </cdr:relSizeAnchor>
  <cdr:relSizeAnchor xmlns:cdr="http://schemas.openxmlformats.org/drawingml/2006/chartDrawing">
    <cdr:from>
      <cdr:x>0.43247</cdr:x>
      <cdr:y>0.34326</cdr:y>
    </cdr:from>
    <cdr:to>
      <cdr:x>0.51577</cdr:x>
      <cdr:y>0.42444</cdr:y>
    </cdr:to>
    <cdr:sp macro="" textlink="">
      <cdr:nvSpPr>
        <cdr:cNvPr id="7176" name="WordArt 8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2919606" y="1494109"/>
          <a:ext cx="561794" cy="3525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SlantUp">
            <a:avLst>
              <a:gd name="adj" fmla="val 55556"/>
            </a:avLst>
          </a:prstTxWarp>
        </a:bodyPr>
        <a:lstStyle xmlns:a="http://schemas.openxmlformats.org/drawingml/2006/main"/>
        <a:p xmlns:a="http://schemas.openxmlformats.org/drawingml/2006/main">
          <a:pPr algn="ctr" rtl="0"/>
          <a:r>
            <a:rPr lang="ru-RU" sz="8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000000"/>
              </a:solidFill>
              <a:effectLst/>
              <a:latin typeface="Times New Roman"/>
              <a:cs typeface="Times New Roman"/>
            </a:rPr>
            <a:t>102,8%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0.50774</cdr:x>
      <cdr:y>0.07846</cdr:y>
    </cdr:from>
    <cdr:to>
      <cdr:x>0.60681</cdr:x>
      <cdr:y>0.22615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686300" y="4857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ECD2-CEEC-4A0F-BBDC-E85EDD98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2013-11-13T12:14:00Z</cp:lastPrinted>
  <dcterms:created xsi:type="dcterms:W3CDTF">2013-11-14T13:00:00Z</dcterms:created>
  <dcterms:modified xsi:type="dcterms:W3CDTF">2013-11-14T13:00:00Z</dcterms:modified>
</cp:coreProperties>
</file>