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DE" w:rsidRPr="00870FE9" w:rsidRDefault="00EC25DE" w:rsidP="00EC25D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</w:rPr>
      </w:pPr>
      <w:r w:rsidRPr="00870FE9">
        <w:rPr>
          <w:rFonts w:eastAsia="Times New Roman" w:cs="Times New Roman"/>
          <w:b/>
          <w:bCs/>
        </w:rPr>
        <w:t>УКРАЇНА</w:t>
      </w:r>
      <w:r w:rsidRPr="00870FE9">
        <w:rPr>
          <w:rFonts w:eastAsia="Times New Roman" w:cs="Times New Roman"/>
          <w:b/>
          <w:bCs/>
        </w:rPr>
        <w:br/>
        <w:t>ЗАПОРІ3ЬКА MICЬKA РАДА</w:t>
      </w:r>
      <w:r w:rsidRPr="00870FE9">
        <w:rPr>
          <w:rFonts w:eastAsia="Times New Roman" w:cs="Times New Roman"/>
          <w:b/>
          <w:bCs/>
        </w:rPr>
        <w:br/>
        <w:t>РІШЕННЯ </w:t>
      </w:r>
      <w:r w:rsidRPr="00870FE9">
        <w:rPr>
          <w:rFonts w:eastAsia="Times New Roman" w:cs="Times New Roman"/>
          <w:b/>
          <w:bCs/>
        </w:rPr>
        <w:br/>
        <w:t xml:space="preserve">м. </w:t>
      </w:r>
      <w:proofErr w:type="spellStart"/>
      <w:r w:rsidRPr="00870FE9">
        <w:rPr>
          <w:rFonts w:eastAsia="Times New Roman" w:cs="Times New Roman"/>
          <w:b/>
          <w:bCs/>
        </w:rPr>
        <w:t>Запоріжжя</w:t>
      </w:r>
      <w:proofErr w:type="spellEnd"/>
    </w:p>
    <w:p w:rsidR="00646EB0" w:rsidRPr="00870FE9" w:rsidRDefault="00646EB0" w:rsidP="00646EB0">
      <w:pPr>
        <w:shd w:val="clear" w:color="auto" w:fill="FFFFFF"/>
        <w:spacing w:after="188" w:line="240" w:lineRule="auto"/>
        <w:rPr>
          <w:rFonts w:eastAsia="Times New Roman" w:cs="Times New Roman"/>
          <w:b/>
          <w:bCs/>
          <w:color w:val="353D42"/>
          <w:lang w:eastAsia="ru-RU"/>
        </w:rPr>
      </w:pPr>
    </w:p>
    <w:p w:rsidR="00870FE9" w:rsidRPr="00870FE9" w:rsidRDefault="00870FE9" w:rsidP="00870FE9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b/>
          <w:bCs/>
          <w:color w:val="353D42"/>
          <w:kern w:val="36"/>
          <w:lang w:eastAsia="ru-RU"/>
        </w:rPr>
      </w:pPr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 xml:space="preserve">Про бюджет </w:t>
      </w:r>
      <w:proofErr w:type="spellStart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>Запорізької</w:t>
      </w:r>
      <w:proofErr w:type="spellEnd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>рік</w:t>
      </w:r>
      <w:proofErr w:type="spellEnd"/>
      <w:r w:rsidRPr="00870FE9">
        <w:rPr>
          <w:rFonts w:eastAsia="Times New Roman" w:cs="Times New Roman"/>
          <w:b/>
          <w:bCs/>
          <w:color w:val="353D42"/>
          <w:kern w:val="36"/>
          <w:lang w:eastAsia="ru-RU"/>
        </w:rPr>
        <w:t xml:space="preserve"> (код бюджету 8562000000)</w:t>
      </w:r>
    </w:p>
    <w:p w:rsidR="00870FE9" w:rsidRDefault="00870FE9" w:rsidP="00870FE9">
      <w:pPr>
        <w:spacing w:after="0" w:line="240" w:lineRule="auto"/>
        <w:rPr>
          <w:rFonts w:eastAsia="Times New Roman" w:cs="Times New Roman"/>
          <w:b/>
          <w:bCs/>
          <w:color w:val="666666"/>
          <w:shd w:val="clear" w:color="auto" w:fill="FFFFFF"/>
          <w:lang w:eastAsia="ru-RU"/>
        </w:rPr>
      </w:pPr>
      <w:r w:rsidRPr="00870FE9">
        <w:rPr>
          <w:rFonts w:eastAsia="Times New Roman" w:cs="Times New Roman"/>
          <w:color w:val="666666"/>
          <w:shd w:val="clear" w:color="auto" w:fill="FFFFFF"/>
          <w:lang w:eastAsia="ru-RU"/>
        </w:rPr>
        <w:t>№ 49 </w:t>
      </w:r>
      <w:proofErr w:type="spellStart"/>
      <w:r w:rsidRPr="00870FE9">
        <w:rPr>
          <w:rFonts w:eastAsia="Times New Roman" w:cs="Times New Roman"/>
          <w:color w:val="666666"/>
          <w:shd w:val="clear" w:color="auto" w:fill="FFFFFF"/>
          <w:lang w:eastAsia="ru-RU"/>
        </w:rPr>
        <w:t>від</w:t>
      </w:r>
      <w:proofErr w:type="spellEnd"/>
      <w:r w:rsidRPr="00870FE9">
        <w:rPr>
          <w:rFonts w:eastAsia="Times New Roman" w:cs="Times New Roman"/>
          <w:color w:val="666666"/>
          <w:shd w:val="clear" w:color="auto" w:fill="FFFFFF"/>
          <w:lang w:eastAsia="ru-RU"/>
        </w:rPr>
        <w:t xml:space="preserve"> 28.12.2020 </w:t>
      </w:r>
      <w:r w:rsidRPr="00870FE9">
        <w:rPr>
          <w:rFonts w:eastAsia="Times New Roman" w:cs="Times New Roman"/>
          <w:b/>
          <w:bCs/>
          <w:color w:val="666666"/>
          <w:shd w:val="clear" w:color="auto" w:fill="FFFFFF"/>
          <w:lang w:eastAsia="ru-RU"/>
        </w:rPr>
        <w:t xml:space="preserve">Дата </w:t>
      </w:r>
      <w:proofErr w:type="spellStart"/>
      <w:r w:rsidRPr="00870FE9">
        <w:rPr>
          <w:rFonts w:eastAsia="Times New Roman" w:cs="Times New Roman"/>
          <w:b/>
          <w:bCs/>
          <w:color w:val="666666"/>
          <w:shd w:val="clear" w:color="auto" w:fill="FFFFFF"/>
          <w:lang w:eastAsia="ru-RU"/>
        </w:rPr>
        <w:t>оприлюднення</w:t>
      </w:r>
      <w:proofErr w:type="spellEnd"/>
      <w:r w:rsidRPr="00870FE9">
        <w:rPr>
          <w:rFonts w:eastAsia="Times New Roman" w:cs="Times New Roman"/>
          <w:b/>
          <w:bCs/>
          <w:color w:val="666666"/>
          <w:shd w:val="clear" w:color="auto" w:fill="FFFFFF"/>
          <w:lang w:eastAsia="ru-RU"/>
        </w:rPr>
        <w:t xml:space="preserve"> 29.12.2020</w:t>
      </w:r>
    </w:p>
    <w:p w:rsidR="00870FE9" w:rsidRPr="00870FE9" w:rsidRDefault="00870FE9" w:rsidP="00870FE9">
      <w:pPr>
        <w:spacing w:after="0" w:line="240" w:lineRule="auto"/>
        <w:rPr>
          <w:rFonts w:eastAsia="Times New Roman" w:cs="Times New Roman"/>
          <w:lang w:eastAsia="ru-RU"/>
        </w:rPr>
      </w:pPr>
      <w:bookmarkStart w:id="0" w:name="_GoBack"/>
      <w:bookmarkEnd w:id="0"/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Керуючись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кодексом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Законом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“Про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самоврядування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”,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Запорізька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рада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>ВИРІШИЛА: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: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доходи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7 886 835 592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в тому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доходи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7 753 439 315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доходи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133 396 277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7 912 389 796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у тому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6 633 023 935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1 279 365 861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повернення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gramStart"/>
      <w:r w:rsidRPr="00870FE9">
        <w:rPr>
          <w:rFonts w:eastAsia="Times New Roman" w:cs="Times New Roman"/>
          <w:color w:val="353D42"/>
          <w:lang w:eastAsia="ru-RU"/>
        </w:rPr>
        <w:t>до бюджету</w:t>
      </w:r>
      <w:proofErr w:type="gram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54 158 409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у тому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повернення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54 158 409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надання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54 268 470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у тому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із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54 268 470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профіцит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фондом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1 120 415 380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2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дефіцит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фондом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1 146 079 645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2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оборотний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залишок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розмірі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2 000 000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становить 0,03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відсотка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пунктом.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2.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призначення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головним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розпорядникам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розрізі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відповідальних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виконавців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програмами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3, 4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3.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міжбюджетні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трансферти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5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Дозволити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виконавчому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комітету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законів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постанов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Кабінету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Міністрів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Запорізької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обласної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розпоряджень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голови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Запорізької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обласної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державної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адміністрації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період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між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сесіями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приймати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про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зміну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обсягів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субвенцій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дотацій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державного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або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обласного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бюджету, 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також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здійснювати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перерозподіл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призначень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наступним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внесенням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змін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4.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розподіл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заходів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будівництво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реконструкцію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і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реставрацію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капітальний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ремонт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об’єктів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виробничої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комунікаційної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соціальної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інфраструктури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об’єктами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6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lastRenderedPageBreak/>
        <w:t xml:space="preserve">         5.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розподіл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витрат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реалізацію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3 401 631 608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згідно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7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6.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загальному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фонді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1)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доходів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належать доходи,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64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трансферти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97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крім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субвенцій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691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першою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71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);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2)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джерелами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формування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пунктом 4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15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3)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джерелами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формування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64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7.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джерелами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формування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1)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доходів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статтею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691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2)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пунктом 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15 та пунктом 2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72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3)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пунктом 11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691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8.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- на 31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грудня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2021 року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граничний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боргу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1 417 331 504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граничний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гарантованого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радою боргу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569 273 569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9.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55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захищеними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на: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праці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працівників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нарахування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заробітну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плату;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придбання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медикаментів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перев'язувальних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матеріалів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забезпечення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продуктами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харчування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комунальних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послуг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енергоносіїв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обслуговування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боргу;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соціальне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забезпечення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поточні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трансферти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бюджетам;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підготовку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кадрів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закладами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фахової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передвищої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вищої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освіти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забезпечення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осіб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інвалідністю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технічними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іншими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засобами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реабілітації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виробами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медичного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призначення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для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індивідуального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користування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компенсацію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процентів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сплачуваних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банкам та/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або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іншим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кредитами,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отриманими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громадянами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будівництво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реконструкцію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придбання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житла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послуг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охорони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державних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комунальних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закладів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культури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оплату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енергосервісу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10.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право департаменту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у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здійснювати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конкурсних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засадах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розміщення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тимчасово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вільних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lastRenderedPageBreak/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Запоріжжя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депозитах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подальшим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поверненням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таких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кінця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поточного бюджетного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періоду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16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11.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право департаменту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у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отримувати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позики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покриття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тимчасових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касових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розривів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виникають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фондом та бюджетом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установах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строк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трьох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місяців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межах поточного бюджетного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періоду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Порядку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отримання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погашення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позик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покриття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тимчасових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касових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розривів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виникають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фондом та бюджетом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бюджету,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установах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затвердженого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наказом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Міністерства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09.08.2002 № 627.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12.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статті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78 Бюджетного кодексу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постанови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Кабінету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Міністрів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14.05.2015 № 378 «Про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Порядку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обслуговування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власних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установах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банків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державного сектору»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здійснювати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обслуговування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Запорізькій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обласній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дирекції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публічного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акціонерного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товариства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“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Акціонерний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банк “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Укргазбанк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“: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-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в тому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числі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рахунок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передаються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із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 бюджету </w:t>
      </w:r>
      <w:proofErr w:type="gramStart"/>
      <w:r w:rsidRPr="00870FE9">
        <w:rPr>
          <w:rFonts w:eastAsia="Times New Roman" w:cs="Times New Roman"/>
          <w:color w:val="353D42"/>
          <w:lang w:eastAsia="ru-RU"/>
        </w:rPr>
        <w:t>до бюджету</w:t>
      </w:r>
      <w:proofErr w:type="gram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фонду),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крім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трансфертів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субвенцій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),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надаються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Державного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бюджетам;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-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власних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надходжень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–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керівника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установи.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13.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Головним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розпорядникам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забезпечити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паспортів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протягом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45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днів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дня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набрання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чинності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2)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управління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коштами </w:t>
      </w:r>
      <w:proofErr w:type="gramStart"/>
      <w:r w:rsidRPr="00870FE9">
        <w:rPr>
          <w:rFonts w:eastAsia="Times New Roman" w:cs="Times New Roman"/>
          <w:color w:val="353D42"/>
          <w:lang w:eastAsia="ru-RU"/>
        </w:rPr>
        <w:t>у межах</w:t>
      </w:r>
      <w:proofErr w:type="gram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встановлених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їм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повноважень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оцінки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ефективності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забезпечуючи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ефективне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результативне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і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цільове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використання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;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організацію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координацію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роботу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розпорядників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нижчого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рівня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одержувачів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бюджетному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процесі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3)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контролю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своєчасним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поверненням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повному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обсязі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gramStart"/>
      <w:r w:rsidRPr="00870FE9">
        <w:rPr>
          <w:rFonts w:eastAsia="Times New Roman" w:cs="Times New Roman"/>
          <w:color w:val="353D42"/>
          <w:lang w:eastAsia="ru-RU"/>
        </w:rPr>
        <w:t>до бюджету</w:t>
      </w:r>
      <w:proofErr w:type="gram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наданих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операціями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кредитування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бюджету, 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також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кредитів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(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позик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),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отриманих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громадою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міста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наданих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під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місцеві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гарантії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4)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доступність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інформації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про бюджет,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законодавства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саме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: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-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публічного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представлення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публікації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інформації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про бюджет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програмами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показниками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призначення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щодо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яких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вимог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за формою,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встановленими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Міністерством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до 15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березня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2022 року;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-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оприлюднення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паспортів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програм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триденний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строк з дня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таких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документів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5)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взяття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зобов’язань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довгострокових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зобов’язань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енергосервісом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витрат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вимог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діючого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бюджетного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законодавства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6)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першочерговому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порядку потребу в коштах на оплату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праці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працівників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встановлених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законодавством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України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умов оплати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праці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розміру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мінімальної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заробітної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плати, на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проведення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розрахунків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електричну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теплову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енергію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водопостачання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водовідведення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природний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газ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послуги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зв’язку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які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споживаються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установами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;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7)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затвердження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обґрунтованих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лімітів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споживання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енергоносіїв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натуральних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показниках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для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кожної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установи,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виходячи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обсягів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відповідних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асигнувань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lastRenderedPageBreak/>
        <w:t xml:space="preserve">         14.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Установити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процесі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виконання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обґрунтованим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поданням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головного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розпорядника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департамент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здійснює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перерозподіл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видатків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економічною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класифікацією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межах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обсягу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його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призначень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окремо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по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загальному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спеціальному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фондах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15.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Встановити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обсяг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Громадського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для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подачі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проектів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у 2021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році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сумі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10 000 000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гривень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. Департаменту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фінансової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бюджетної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політики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передбачити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зазначені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кошти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проекті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бюджету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територіальної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громади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2022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рік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для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реалізації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проектів-переможців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16.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Встановити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що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це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набирає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чинності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01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січня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2021 року.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17.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Додатки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1-7 до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цього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є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його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невід’ємною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частиною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18.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підлягає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оприлюдненню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десятиденний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строк з дня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його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прийняття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газеті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«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Запорозька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Січ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».</w:t>
      </w:r>
    </w:p>
    <w:p w:rsidR="00870FE9" w:rsidRPr="00870FE9" w:rsidRDefault="00870FE9" w:rsidP="00870FE9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 xml:space="preserve">         19. Контроль за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виконанням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рішення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покласти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на заступника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голови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питань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діяльності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виконавчих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органів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Малиш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В.І.,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постійну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комісію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Запорізької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міської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ради з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питань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соціального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та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економічного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розвитку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, бюджету і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фінансів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>.</w:t>
      </w:r>
    </w:p>
    <w:p w:rsidR="00870FE9" w:rsidRPr="00870FE9" w:rsidRDefault="00870FE9" w:rsidP="00870FE9">
      <w:pPr>
        <w:shd w:val="clear" w:color="auto" w:fill="FFFFFF"/>
        <w:spacing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> </w:t>
      </w:r>
    </w:p>
    <w:p w:rsidR="00646EB0" w:rsidRPr="00870FE9" w:rsidRDefault="00646EB0" w:rsidP="00646EB0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r w:rsidRPr="00870FE9">
        <w:rPr>
          <w:rFonts w:eastAsia="Times New Roman" w:cs="Times New Roman"/>
          <w:color w:val="353D42"/>
          <w:lang w:eastAsia="ru-RU"/>
        </w:rPr>
        <w:t> </w:t>
      </w:r>
    </w:p>
    <w:p w:rsidR="0077792D" w:rsidRPr="00870FE9" w:rsidRDefault="00646EB0" w:rsidP="0002523C">
      <w:pPr>
        <w:shd w:val="clear" w:color="auto" w:fill="FFFFFF"/>
        <w:spacing w:after="188" w:line="240" w:lineRule="auto"/>
        <w:rPr>
          <w:rFonts w:eastAsia="Times New Roman" w:cs="Times New Roman"/>
          <w:color w:val="353D42"/>
          <w:lang w:eastAsia="ru-RU"/>
        </w:rPr>
      </w:pPr>
      <w:proofErr w:type="spellStart"/>
      <w:r w:rsidRPr="00870FE9">
        <w:rPr>
          <w:rFonts w:eastAsia="Times New Roman" w:cs="Times New Roman"/>
          <w:color w:val="353D42"/>
          <w:lang w:eastAsia="ru-RU"/>
        </w:rPr>
        <w:t>Міський</w:t>
      </w:r>
      <w:proofErr w:type="spellEnd"/>
      <w:r w:rsidRPr="00870FE9">
        <w:rPr>
          <w:rFonts w:eastAsia="Times New Roman" w:cs="Times New Roman"/>
          <w:color w:val="353D42"/>
          <w:lang w:eastAsia="ru-RU"/>
        </w:rPr>
        <w:t xml:space="preserve"> голова                                                                              </w:t>
      </w:r>
      <w:proofErr w:type="spellStart"/>
      <w:r w:rsidRPr="00870FE9">
        <w:rPr>
          <w:rFonts w:eastAsia="Times New Roman" w:cs="Times New Roman"/>
          <w:color w:val="353D42"/>
          <w:lang w:eastAsia="ru-RU"/>
        </w:rPr>
        <w:t>В.В.Буряк</w:t>
      </w:r>
      <w:proofErr w:type="spellEnd"/>
    </w:p>
    <w:sectPr w:rsidR="0077792D" w:rsidRPr="00870FE9" w:rsidSect="002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5FB"/>
    <w:multiLevelType w:val="multilevel"/>
    <w:tmpl w:val="17D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1CC"/>
    <w:rsid w:val="0002523C"/>
    <w:rsid w:val="001D6617"/>
    <w:rsid w:val="001E56E3"/>
    <w:rsid w:val="002859F5"/>
    <w:rsid w:val="002927C0"/>
    <w:rsid w:val="002A572D"/>
    <w:rsid w:val="00646EB0"/>
    <w:rsid w:val="006D0B5B"/>
    <w:rsid w:val="0077792D"/>
    <w:rsid w:val="00870FE9"/>
    <w:rsid w:val="008B21CC"/>
    <w:rsid w:val="00AA3A10"/>
    <w:rsid w:val="00B3776D"/>
    <w:rsid w:val="00EC25DE"/>
    <w:rsid w:val="00F4148B"/>
    <w:rsid w:val="00F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1944C"/>
  <w15:docId w15:val="{1078C561-7118-46A1-ADDA-96F886B9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D"/>
  </w:style>
  <w:style w:type="paragraph" w:styleId="1">
    <w:name w:val="heading 1"/>
    <w:basedOn w:val="a"/>
    <w:link w:val="10"/>
    <w:uiPriority w:val="9"/>
    <w:qFormat/>
    <w:rsid w:val="008B21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1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B21CC"/>
  </w:style>
  <w:style w:type="character" w:styleId="a3">
    <w:name w:val="Strong"/>
    <w:basedOn w:val="a0"/>
    <w:uiPriority w:val="22"/>
    <w:qFormat/>
    <w:rsid w:val="008B21CC"/>
    <w:rPr>
      <w:b/>
      <w:bCs/>
    </w:rPr>
  </w:style>
  <w:style w:type="paragraph" w:styleId="a4">
    <w:name w:val="Normal (Web)"/>
    <w:basedOn w:val="a"/>
    <w:uiPriority w:val="99"/>
    <w:semiHidden/>
    <w:unhideWhenUsed/>
    <w:rsid w:val="008B2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ock-title">
    <w:name w:val="block-title"/>
    <w:basedOn w:val="a0"/>
    <w:rsid w:val="00B3776D"/>
  </w:style>
  <w:style w:type="character" w:styleId="a5">
    <w:name w:val="Hyperlink"/>
    <w:basedOn w:val="a0"/>
    <w:uiPriority w:val="99"/>
    <w:semiHidden/>
    <w:unhideWhenUsed/>
    <w:rsid w:val="00B3776D"/>
    <w:rPr>
      <w:color w:val="0000FF"/>
      <w:u w:val="single"/>
    </w:rPr>
  </w:style>
  <w:style w:type="character" w:customStyle="1" w:styleId="2">
    <w:name w:val="Дата2"/>
    <w:basedOn w:val="a0"/>
    <w:rsid w:val="001D6617"/>
  </w:style>
  <w:style w:type="character" w:customStyle="1" w:styleId="date">
    <w:name w:val="date"/>
    <w:basedOn w:val="a0"/>
    <w:rsid w:val="0087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876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0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60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3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FC748-6311-402C-B020-E0CA977C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</dc:creator>
  <cp:keywords/>
  <dc:description/>
  <cp:lastModifiedBy>Пискун</cp:lastModifiedBy>
  <cp:revision>14</cp:revision>
  <dcterms:created xsi:type="dcterms:W3CDTF">2018-04-18T11:30:00Z</dcterms:created>
  <dcterms:modified xsi:type="dcterms:W3CDTF">2020-12-31T08:52:00Z</dcterms:modified>
</cp:coreProperties>
</file>