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56" w:rsidRPr="003D52CA" w:rsidRDefault="00372156" w:rsidP="00675437">
      <w:pPr>
        <w:pStyle w:val="a5"/>
        <w:ind w:firstLine="708"/>
        <w:jc w:val="center"/>
        <w:rPr>
          <w:b/>
          <w:bCs/>
          <w:sz w:val="27"/>
          <w:szCs w:val="27"/>
        </w:rPr>
      </w:pPr>
      <w:r w:rsidRPr="003D52CA">
        <w:rPr>
          <w:b/>
          <w:bCs/>
          <w:sz w:val="27"/>
          <w:szCs w:val="27"/>
        </w:rPr>
        <w:t>Довідка про виконання бюджету міста Запоріжжя</w:t>
      </w:r>
    </w:p>
    <w:p w:rsidR="00372156" w:rsidRPr="003D52CA" w:rsidRDefault="00372156" w:rsidP="00675437">
      <w:pPr>
        <w:pStyle w:val="a5"/>
        <w:ind w:firstLine="708"/>
        <w:jc w:val="center"/>
        <w:rPr>
          <w:b/>
          <w:bCs/>
          <w:sz w:val="27"/>
          <w:szCs w:val="27"/>
        </w:rPr>
      </w:pPr>
      <w:r w:rsidRPr="003D52CA">
        <w:rPr>
          <w:b/>
          <w:bCs/>
          <w:sz w:val="27"/>
          <w:szCs w:val="27"/>
        </w:rPr>
        <w:t xml:space="preserve">за </w:t>
      </w:r>
      <w:r w:rsidR="00E316C2">
        <w:rPr>
          <w:b/>
          <w:bCs/>
          <w:sz w:val="27"/>
          <w:szCs w:val="27"/>
        </w:rPr>
        <w:t xml:space="preserve">9 місяців </w:t>
      </w:r>
      <w:r w:rsidRPr="003D52CA">
        <w:rPr>
          <w:b/>
          <w:bCs/>
          <w:sz w:val="27"/>
          <w:szCs w:val="27"/>
        </w:rPr>
        <w:t>2018 року</w:t>
      </w:r>
    </w:p>
    <w:p w:rsidR="00372156" w:rsidRPr="003D52CA" w:rsidRDefault="00372156" w:rsidP="00675437">
      <w:pPr>
        <w:pStyle w:val="a5"/>
        <w:ind w:firstLine="708"/>
        <w:jc w:val="center"/>
        <w:rPr>
          <w:b/>
          <w:bCs/>
          <w:sz w:val="27"/>
          <w:szCs w:val="27"/>
        </w:rPr>
      </w:pPr>
    </w:p>
    <w:p w:rsidR="00372156" w:rsidRPr="003D52CA" w:rsidRDefault="00372156" w:rsidP="00257161">
      <w:pPr>
        <w:ind w:firstLine="709"/>
        <w:contextualSpacing/>
        <w:jc w:val="center"/>
        <w:rPr>
          <w:b/>
          <w:sz w:val="27"/>
          <w:szCs w:val="27"/>
          <w:lang w:val="uk-UA"/>
        </w:rPr>
      </w:pPr>
      <w:r w:rsidRPr="003D52CA">
        <w:rPr>
          <w:b/>
          <w:sz w:val="27"/>
          <w:szCs w:val="27"/>
          <w:lang w:val="uk-UA"/>
        </w:rPr>
        <w:t>Доходи</w:t>
      </w:r>
    </w:p>
    <w:p w:rsidR="007B5E71" w:rsidRPr="00F009ED" w:rsidRDefault="007B5E71" w:rsidP="007B5E71">
      <w:pPr>
        <w:pStyle w:val="a7"/>
        <w:spacing w:after="0"/>
        <w:ind w:left="0" w:firstLine="709"/>
        <w:jc w:val="both"/>
        <w:rPr>
          <w:sz w:val="26"/>
          <w:szCs w:val="26"/>
          <w:lang w:val="uk-UA"/>
        </w:rPr>
      </w:pPr>
      <w:r w:rsidRPr="00F009ED">
        <w:rPr>
          <w:sz w:val="26"/>
          <w:szCs w:val="26"/>
          <w:lang w:val="uk-UA"/>
        </w:rPr>
        <w:t xml:space="preserve">За підсумками січня - вересня поточного року обсяг доходів бюджету міста склав 6 465,5 млн.грн., в тому числі доходи загального фонду – 3 637,8 млн.грн., спеціального фонду – 206,3 млн.грн. та офіційні трансферти – 2 621,4 млн.грн. В порівнянні з аналогічним періодом 2017 року власні доходи збільшились на 16,3% або на 538,1 млн.грн. </w:t>
      </w:r>
    </w:p>
    <w:p w:rsidR="007B5E71" w:rsidRPr="00F009ED" w:rsidRDefault="007B5E71" w:rsidP="007B5E71">
      <w:pPr>
        <w:pStyle w:val="a7"/>
        <w:spacing w:after="0"/>
        <w:ind w:left="0"/>
        <w:jc w:val="both"/>
        <w:rPr>
          <w:sz w:val="26"/>
          <w:szCs w:val="26"/>
          <w:lang w:val="uk-UA"/>
        </w:rPr>
      </w:pPr>
    </w:p>
    <w:p w:rsidR="007B5E71" w:rsidRPr="006D14A7" w:rsidRDefault="007B5E71" w:rsidP="006D14A7">
      <w:pPr>
        <w:jc w:val="both"/>
        <w:rPr>
          <w:sz w:val="28"/>
          <w:szCs w:val="28"/>
          <w:lang w:val="uk-UA"/>
        </w:rPr>
      </w:pPr>
      <w:r w:rsidRPr="00846107">
        <w:rPr>
          <w:noProof/>
          <w:sz w:val="28"/>
          <w:szCs w:val="28"/>
        </w:rPr>
        <w:drawing>
          <wp:inline distT="0" distB="0" distL="0" distR="0">
            <wp:extent cx="5453658" cy="2571482"/>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5E71" w:rsidRPr="00F009ED" w:rsidRDefault="007B5E71" w:rsidP="007B5E71">
      <w:pPr>
        <w:ind w:firstLine="709"/>
        <w:contextualSpacing/>
        <w:jc w:val="both"/>
        <w:rPr>
          <w:sz w:val="26"/>
          <w:szCs w:val="26"/>
          <w:lang w:val="uk-UA"/>
        </w:rPr>
      </w:pPr>
      <w:r w:rsidRPr="00F009ED">
        <w:rPr>
          <w:sz w:val="26"/>
          <w:szCs w:val="26"/>
          <w:lang w:val="uk-UA"/>
        </w:rPr>
        <w:t>Враховуючи підсумки виконання бюджету за І півріччя 2018 року та відповідні норми Бюджетного кодексу України, міською радою у серпні поточного року були внесені зміни до рішення про бюджет міста в частині збільшення доходів загального фонду на суму 120 млн.грн. та спеціального фонду (бюджету розвитку) – на 10 млн.грн.</w:t>
      </w:r>
    </w:p>
    <w:p w:rsidR="007B5E71" w:rsidRPr="00F009ED" w:rsidRDefault="007B5E71" w:rsidP="007B5E71">
      <w:pPr>
        <w:ind w:firstLine="709"/>
        <w:contextualSpacing/>
        <w:jc w:val="both"/>
        <w:rPr>
          <w:sz w:val="26"/>
          <w:szCs w:val="26"/>
          <w:lang w:val="uk-UA"/>
        </w:rPr>
      </w:pPr>
      <w:r w:rsidRPr="00F009ED">
        <w:rPr>
          <w:sz w:val="26"/>
          <w:szCs w:val="26"/>
          <w:lang w:val="uk-UA"/>
        </w:rPr>
        <w:t>План звітного періоду по доходах загального фонду без урахування трансфертів виконаний на 106,4%, понад планового показника надійшло 220,0 млн.грн. У порівнянні з січнем - вереснем попереднього року відбулось збільшення зазначених доходів на 16,6% або на 518,7 млн.грн.</w:t>
      </w:r>
    </w:p>
    <w:p w:rsidR="007B5E71" w:rsidRPr="00F009ED" w:rsidRDefault="007B5E71" w:rsidP="007B5E71">
      <w:pPr>
        <w:ind w:firstLine="709"/>
        <w:contextualSpacing/>
        <w:jc w:val="both"/>
        <w:rPr>
          <w:sz w:val="26"/>
          <w:szCs w:val="26"/>
          <w:lang w:val="uk-UA"/>
        </w:rPr>
      </w:pPr>
      <w:r w:rsidRPr="00F009ED">
        <w:rPr>
          <w:sz w:val="26"/>
          <w:szCs w:val="26"/>
          <w:lang w:val="uk-UA"/>
        </w:rPr>
        <w:t xml:space="preserve">Найбільшим за величиною залишається податок на доходи фізичних осіб (2 270,6 млн.грн. або 62,4% в доходах загального фонду). План виконаний на 105,2%. Порівняно з аналогічним минулорічним показником надходження цього податку зросли на 26,7% або на 478,1 млн.грн., в тому числі податку з доходів у вигляді заробітної плати – на 27,2% або на 454,0 млн.грн., що обумовлено збільшенням фонду оплати праці штатних працівників. </w:t>
      </w:r>
      <w:r w:rsidR="004203F9" w:rsidRPr="00F009ED">
        <w:rPr>
          <w:sz w:val="26"/>
          <w:szCs w:val="26"/>
          <w:lang w:val="uk-UA"/>
        </w:rPr>
        <w:t>За останніми статистичними даними за І півріччя 2018 року він становив 11 828,3 млн.грн., що на 33,8% більше аналогічного показника попереднього року. Середньомісячна заробітна плата також зросла на 31,0% та складала 8 778,26 грн.</w:t>
      </w:r>
      <w:r w:rsidRPr="00F009ED">
        <w:rPr>
          <w:sz w:val="26"/>
          <w:szCs w:val="26"/>
          <w:lang w:val="uk-UA"/>
        </w:rPr>
        <w:t xml:space="preserve"> </w:t>
      </w:r>
    </w:p>
    <w:p w:rsidR="007B5E71" w:rsidRPr="00F009ED" w:rsidRDefault="007B5E71" w:rsidP="007B5E71">
      <w:pPr>
        <w:pStyle w:val="a5"/>
        <w:ind w:firstLine="540"/>
        <w:rPr>
          <w:noProof/>
          <w:sz w:val="26"/>
          <w:szCs w:val="26"/>
          <w:lang w:val="ru-RU"/>
        </w:rPr>
      </w:pPr>
      <w:r w:rsidRPr="00F009ED">
        <w:rPr>
          <w:sz w:val="26"/>
          <w:szCs w:val="26"/>
        </w:rPr>
        <w:t>Також збільшились надходження податку за результатами річного декларування фізичних осіб на 3,4 млн.грн. (на 14,3%), з доходів військовослужбовців - на 13,3 млн.грн. (на 18,3%) та з інших (ніж заробітна плата) доходів платників податку – на 8,5 млн.грн. (на 32,1%).</w:t>
      </w:r>
    </w:p>
    <w:p w:rsidR="007B5E71" w:rsidRDefault="007B5E71" w:rsidP="007B5E71">
      <w:pPr>
        <w:pStyle w:val="a5"/>
        <w:rPr>
          <w:szCs w:val="28"/>
        </w:rPr>
      </w:pPr>
      <w:r w:rsidRPr="00342B17">
        <w:rPr>
          <w:noProof/>
          <w:szCs w:val="28"/>
          <w:lang w:val="ru-RU"/>
        </w:rPr>
        <w:lastRenderedPageBreak/>
        <w:drawing>
          <wp:inline distT="0" distB="0" distL="0" distR="0">
            <wp:extent cx="6122737" cy="3716421"/>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5E71" w:rsidRPr="00F009ED" w:rsidRDefault="007B5E71" w:rsidP="007B5E71">
      <w:pPr>
        <w:pStyle w:val="2"/>
        <w:spacing w:after="0" w:line="240" w:lineRule="auto"/>
        <w:ind w:left="0" w:firstLine="540"/>
        <w:jc w:val="both"/>
        <w:rPr>
          <w:sz w:val="26"/>
          <w:szCs w:val="26"/>
          <w:lang w:val="uk-UA"/>
        </w:rPr>
      </w:pPr>
      <w:r w:rsidRPr="00F009ED">
        <w:rPr>
          <w:sz w:val="26"/>
          <w:szCs w:val="26"/>
          <w:lang w:val="uk-UA"/>
        </w:rPr>
        <w:t xml:space="preserve">Надходження місцевих податків і зборів склали 1 064,8 млн.грн. або 104,7% до плану. Найбільше з них поповнює бюджет податок на майно (його питома вага </w:t>
      </w:r>
      <w:r w:rsidR="00A71CCE" w:rsidRPr="00F009ED">
        <w:rPr>
          <w:sz w:val="26"/>
          <w:szCs w:val="26"/>
          <w:lang w:val="uk-UA"/>
        </w:rPr>
        <w:t xml:space="preserve">в обсязі місцевих податків і зборів </w:t>
      </w:r>
      <w:r w:rsidRPr="00F009ED">
        <w:rPr>
          <w:sz w:val="26"/>
          <w:szCs w:val="26"/>
          <w:lang w:val="uk-UA"/>
        </w:rPr>
        <w:t xml:space="preserve">становить 63,4%) – 674,9 млн.грн. </w:t>
      </w:r>
    </w:p>
    <w:p w:rsidR="007B5E71" w:rsidRPr="00F009ED" w:rsidRDefault="007B5E71" w:rsidP="007B5E71">
      <w:pPr>
        <w:pStyle w:val="2"/>
        <w:spacing w:after="0" w:line="240" w:lineRule="auto"/>
        <w:ind w:left="0" w:firstLine="540"/>
        <w:jc w:val="both"/>
        <w:rPr>
          <w:sz w:val="26"/>
          <w:szCs w:val="26"/>
          <w:lang w:val="uk-UA"/>
        </w:rPr>
      </w:pPr>
      <w:r w:rsidRPr="00F009ED">
        <w:rPr>
          <w:sz w:val="26"/>
          <w:szCs w:val="26"/>
          <w:lang w:val="uk-UA"/>
        </w:rPr>
        <w:t xml:space="preserve">В його складі надійшло плати за землю в розмірі 636,3 млн.грн., план виконаний на 103,4%. В порівнянні з відповідним періодом </w:t>
      </w:r>
      <w:r w:rsidR="00A71CCE" w:rsidRPr="00F009ED">
        <w:rPr>
          <w:sz w:val="26"/>
          <w:szCs w:val="26"/>
          <w:lang w:val="uk-UA"/>
        </w:rPr>
        <w:t xml:space="preserve">минулого </w:t>
      </w:r>
      <w:r w:rsidRPr="00F009ED">
        <w:rPr>
          <w:sz w:val="26"/>
          <w:szCs w:val="26"/>
          <w:lang w:val="uk-UA"/>
        </w:rPr>
        <w:t>року відбулось зменшення на 36,3 млн.грн., що пояснюється наявністю на звітну дату значної суми переплати та наданням державою пільги (у вигляді зниження на 75% ставки податку) для земельних ділянок залізниць у межах смуг відведення та гірничодобувних підприємств.</w:t>
      </w:r>
    </w:p>
    <w:p w:rsidR="007B5E71" w:rsidRPr="00F009ED" w:rsidRDefault="007B5E71" w:rsidP="007B5E71">
      <w:pPr>
        <w:pStyle w:val="2"/>
        <w:spacing w:after="0" w:line="240" w:lineRule="auto"/>
        <w:ind w:left="0" w:firstLine="709"/>
        <w:jc w:val="both"/>
        <w:rPr>
          <w:sz w:val="26"/>
          <w:szCs w:val="26"/>
          <w:lang w:val="uk-UA"/>
        </w:rPr>
      </w:pPr>
      <w:r w:rsidRPr="00F009ED">
        <w:rPr>
          <w:sz w:val="26"/>
          <w:szCs w:val="26"/>
          <w:lang w:val="uk-UA"/>
        </w:rPr>
        <w:t>Обсяг сплати єдиного податку склав 389,5 млн.грн., виконання плану - 106,7%. Збільшення його надходжень (на 85,8 млн.грн. або на 28,3%) обумовлено зростанням розміру мінімальної заробітної плати та прожиткового мінімуму, прив’язку до яких мають ставки для платників І та ІІ груп єдиного податку, кількості платників (юридичних осіб – на 154, фізичних – на 859) та коливанням показника індексу інфляції (станом на 01.10.2018 року – 105,6%), який супроводжувався поступовим підвищенням загального рівня цін на товари і послуги та вплинув на зростання обсягу доходів платників цього податку.</w:t>
      </w:r>
    </w:p>
    <w:p w:rsidR="007B5E71" w:rsidRPr="00F009ED" w:rsidRDefault="007B5E71" w:rsidP="007B5E71">
      <w:pPr>
        <w:ind w:firstLine="709"/>
        <w:contextualSpacing/>
        <w:jc w:val="both"/>
        <w:rPr>
          <w:sz w:val="26"/>
          <w:szCs w:val="26"/>
          <w:lang w:val="uk-UA"/>
        </w:rPr>
      </w:pPr>
      <w:r w:rsidRPr="00F009ED">
        <w:rPr>
          <w:sz w:val="26"/>
          <w:szCs w:val="26"/>
          <w:lang w:val="uk-UA"/>
        </w:rPr>
        <w:t xml:space="preserve">Податку на нерухоме майно, відмінне від земельної ділянки, надійшло в обсязі 34,4 млн.грн., план виконаний на 105,9%. </w:t>
      </w:r>
      <w:r w:rsidR="00A71CCE" w:rsidRPr="00F009ED">
        <w:rPr>
          <w:sz w:val="26"/>
          <w:szCs w:val="26"/>
          <w:lang w:val="uk-UA"/>
        </w:rPr>
        <w:t>Зростання надходжень</w:t>
      </w:r>
      <w:r w:rsidRPr="00F009ED">
        <w:rPr>
          <w:sz w:val="26"/>
          <w:szCs w:val="26"/>
          <w:lang w:val="uk-UA"/>
        </w:rPr>
        <w:t xml:space="preserve"> в порівнянні з минулорічним показником на 8,4 млн.грн. або майже на третину зумовлено постійним </w:t>
      </w:r>
      <w:r w:rsidR="00AB793C" w:rsidRPr="00F009ED">
        <w:rPr>
          <w:sz w:val="26"/>
          <w:szCs w:val="26"/>
          <w:lang w:val="uk-UA"/>
        </w:rPr>
        <w:t>ростом</w:t>
      </w:r>
      <w:r w:rsidRPr="00F009ED">
        <w:rPr>
          <w:sz w:val="26"/>
          <w:szCs w:val="26"/>
          <w:lang w:val="uk-UA"/>
        </w:rPr>
        <w:t xml:space="preserve"> кількості платників податку - юридичних осіб за об’єкти нежитлової нерухомості (з початку цього року на 104 платника), фізичних осіб за об’єкти як житлової (на 377 платників), так і нежитлової нерухомості (на 510 платників), а також зростанням ставок податку за 1 квадратний метр бази оподаткування, які мають прив’язку до розміру мінімальної заробітної плати та прожиткового мінімуму для працездатних осіб.</w:t>
      </w:r>
    </w:p>
    <w:p w:rsidR="007B5E71" w:rsidRPr="00F009ED" w:rsidRDefault="007B5E71" w:rsidP="007B5E71">
      <w:pPr>
        <w:ind w:firstLine="709"/>
        <w:contextualSpacing/>
        <w:jc w:val="both"/>
        <w:rPr>
          <w:sz w:val="26"/>
          <w:szCs w:val="26"/>
          <w:lang w:val="uk-UA"/>
        </w:rPr>
      </w:pPr>
      <w:r w:rsidRPr="00F009ED">
        <w:rPr>
          <w:sz w:val="26"/>
          <w:szCs w:val="26"/>
          <w:lang w:val="uk-UA"/>
        </w:rPr>
        <w:t>Надходження акцизного податку склали 206,5 </w:t>
      </w:r>
      <w:proofErr w:type="spellStart"/>
      <w:r w:rsidRPr="00F009ED">
        <w:rPr>
          <w:sz w:val="26"/>
          <w:szCs w:val="26"/>
          <w:lang w:val="uk-UA"/>
        </w:rPr>
        <w:t>млн.грн</w:t>
      </w:r>
      <w:proofErr w:type="spellEnd"/>
      <w:r w:rsidRPr="00F009ED">
        <w:rPr>
          <w:sz w:val="26"/>
          <w:szCs w:val="26"/>
          <w:lang w:val="uk-UA"/>
        </w:rPr>
        <w:t xml:space="preserve">., що </w:t>
      </w:r>
      <w:r w:rsidR="00D222C5" w:rsidRPr="00F009ED">
        <w:rPr>
          <w:sz w:val="26"/>
          <w:szCs w:val="26"/>
          <w:lang w:val="uk-UA"/>
        </w:rPr>
        <w:t>на 38,9 </w:t>
      </w:r>
      <w:proofErr w:type="spellStart"/>
      <w:r w:rsidR="00D222C5" w:rsidRPr="00F009ED">
        <w:rPr>
          <w:sz w:val="26"/>
          <w:szCs w:val="26"/>
          <w:lang w:val="uk-UA"/>
        </w:rPr>
        <w:t>млн.грн</w:t>
      </w:r>
      <w:proofErr w:type="spellEnd"/>
      <w:r w:rsidR="00D222C5" w:rsidRPr="00F009ED">
        <w:rPr>
          <w:sz w:val="26"/>
          <w:szCs w:val="26"/>
          <w:lang w:val="uk-UA"/>
        </w:rPr>
        <w:t>.</w:t>
      </w:r>
      <w:r w:rsidRPr="00F009ED">
        <w:rPr>
          <w:sz w:val="26"/>
          <w:szCs w:val="26"/>
          <w:lang w:val="uk-UA"/>
        </w:rPr>
        <w:t xml:space="preserve"> </w:t>
      </w:r>
      <w:proofErr w:type="spellStart"/>
      <w:r w:rsidRPr="00F009ED">
        <w:rPr>
          <w:sz w:val="26"/>
          <w:szCs w:val="26"/>
          <w:lang w:val="uk-UA"/>
        </w:rPr>
        <w:t>більше</w:t>
      </w:r>
      <w:r w:rsidR="00D222C5" w:rsidRPr="00F009ED">
        <w:rPr>
          <w:sz w:val="26"/>
          <w:szCs w:val="26"/>
          <w:lang w:val="uk-UA"/>
        </w:rPr>
        <w:t>ніж</w:t>
      </w:r>
      <w:proofErr w:type="spellEnd"/>
      <w:r w:rsidR="00D222C5" w:rsidRPr="00F009ED">
        <w:rPr>
          <w:sz w:val="26"/>
          <w:szCs w:val="26"/>
          <w:lang w:val="uk-UA"/>
        </w:rPr>
        <w:t xml:space="preserve"> у відповідному періоді минулого року.</w:t>
      </w:r>
      <w:r w:rsidRPr="00F009ED">
        <w:rPr>
          <w:sz w:val="26"/>
          <w:szCs w:val="26"/>
          <w:lang w:val="uk-UA"/>
        </w:rPr>
        <w:t xml:space="preserve"> </w:t>
      </w:r>
      <w:r w:rsidR="00D222C5" w:rsidRPr="00F009ED">
        <w:rPr>
          <w:sz w:val="26"/>
          <w:szCs w:val="26"/>
          <w:lang w:val="uk-UA"/>
        </w:rPr>
        <w:t xml:space="preserve">Зазначене пояснюється </w:t>
      </w:r>
      <w:r w:rsidRPr="00F009ED">
        <w:rPr>
          <w:sz w:val="26"/>
          <w:szCs w:val="26"/>
          <w:lang w:val="uk-UA"/>
        </w:rPr>
        <w:t xml:space="preserve"> збільшенням надходжень частини загальнодержавного податку з виробленого та ввезеного пального - на 36,9 млн.грн. (у зв’язку із перерахуванням з державного бюджету в останній банківський день вересня податку за весь ІІІ квартал поточного </w:t>
      </w:r>
      <w:r w:rsidRPr="00F009ED">
        <w:rPr>
          <w:sz w:val="26"/>
          <w:szCs w:val="26"/>
          <w:lang w:val="uk-UA"/>
        </w:rPr>
        <w:lastRenderedPageBreak/>
        <w:t>року) та роздрібного акцизу - на 2,0 млн.грн. (за рахунок реалізації алкогольних напоїв).</w:t>
      </w:r>
    </w:p>
    <w:p w:rsidR="007B5E71" w:rsidRPr="00F009ED" w:rsidRDefault="007B5E71" w:rsidP="007B5E71">
      <w:pPr>
        <w:ind w:firstLine="709"/>
        <w:contextualSpacing/>
        <w:jc w:val="both"/>
        <w:rPr>
          <w:sz w:val="26"/>
          <w:szCs w:val="26"/>
          <w:lang w:val="uk-UA"/>
        </w:rPr>
      </w:pPr>
      <w:r w:rsidRPr="00F009ED">
        <w:rPr>
          <w:sz w:val="26"/>
          <w:szCs w:val="26"/>
          <w:lang w:val="uk-UA"/>
        </w:rPr>
        <w:t xml:space="preserve">Надійшло плати за надання інших адміністративних послуг в сумі 33,0 млн.грн. Другий рік поспіль основні надходження забезпечені підрозділами Державної міграційної служби України у Запорізькій області (у звітному періоді - близько 70,0%). В порівнянні з січнем-вереснем </w:t>
      </w:r>
      <w:r w:rsidR="00D222C5" w:rsidRPr="00F009ED">
        <w:rPr>
          <w:sz w:val="26"/>
          <w:szCs w:val="26"/>
          <w:lang w:val="uk-UA"/>
        </w:rPr>
        <w:t>минулого</w:t>
      </w:r>
      <w:r w:rsidRPr="00F009ED">
        <w:rPr>
          <w:sz w:val="26"/>
          <w:szCs w:val="26"/>
          <w:lang w:val="uk-UA"/>
        </w:rPr>
        <w:t xml:space="preserve"> року надходження збільшились майже на 40,0% або на 9,2 млн.грн., що насамперед пов’язано із наявністю попиту населення на отримання послуг у сфері оформлення біометричних закордонних паспортів через введення на початку літа минулого року в дію угоди про безвізовий режим України з ЄС. </w:t>
      </w:r>
    </w:p>
    <w:p w:rsidR="007B5E71" w:rsidRPr="00F009ED" w:rsidRDefault="007B5E71" w:rsidP="007B5E71">
      <w:pPr>
        <w:ind w:firstLine="709"/>
        <w:contextualSpacing/>
        <w:jc w:val="both"/>
        <w:rPr>
          <w:sz w:val="26"/>
          <w:szCs w:val="26"/>
          <w:lang w:val="uk-UA"/>
        </w:rPr>
      </w:pPr>
      <w:r w:rsidRPr="00F009ED">
        <w:rPr>
          <w:sz w:val="26"/>
          <w:szCs w:val="26"/>
          <w:lang w:val="uk-UA"/>
        </w:rPr>
        <w:t>Крім того, до загального фонду надійшло орендної плати за користування майном комунальної власності в сумі 22,2 млн.грн., податку на прибуток комунальних підприємств – 17,1 млн.грн., плати за розміщення тимчасово вільних бюджетних коштів – 6,6 млн.грн., частини чистого прибутку, що вилучається до бюджету – 3,0 млн.грн., адміністративного збору за проведення державної реєстрації юридичних осіб, фізичних осіб – підприємств та громадських формувань – 1,7 млн.грн., адміністративного збору за державну реєстрацію речових прав на нерухоме майно та їх обтяжень – 1,3 млн.грн. та інших податків, зборів і обов’язкових платежів на загальну суму 11,0 млн.грн.</w:t>
      </w:r>
    </w:p>
    <w:p w:rsidR="007B5E71" w:rsidRPr="00F009ED" w:rsidRDefault="00D222C5" w:rsidP="007B5E71">
      <w:pPr>
        <w:ind w:firstLine="709"/>
        <w:contextualSpacing/>
        <w:jc w:val="both"/>
        <w:rPr>
          <w:sz w:val="26"/>
          <w:szCs w:val="26"/>
          <w:lang w:val="uk-UA"/>
        </w:rPr>
      </w:pPr>
      <w:r w:rsidRPr="00F009ED">
        <w:rPr>
          <w:sz w:val="26"/>
          <w:szCs w:val="26"/>
          <w:lang w:val="uk-UA"/>
        </w:rPr>
        <w:t>Доходи спеціального фонду бюджету, в порівнянні з минулорічним показником, зросли на 19,4 млн.грн. п</w:t>
      </w:r>
      <w:r w:rsidR="00AB793C" w:rsidRPr="00F009ED">
        <w:rPr>
          <w:sz w:val="26"/>
          <w:szCs w:val="26"/>
          <w:lang w:val="uk-UA"/>
        </w:rPr>
        <w:t xml:space="preserve">ереважно </w:t>
      </w:r>
      <w:r w:rsidR="007B5E71" w:rsidRPr="00F009ED">
        <w:rPr>
          <w:sz w:val="26"/>
          <w:szCs w:val="26"/>
          <w:lang w:val="uk-UA"/>
        </w:rPr>
        <w:t xml:space="preserve">за рахунок </w:t>
      </w:r>
      <w:r w:rsidR="00AB793C" w:rsidRPr="00F009ED">
        <w:rPr>
          <w:sz w:val="26"/>
          <w:szCs w:val="26"/>
          <w:lang w:val="uk-UA"/>
        </w:rPr>
        <w:t xml:space="preserve">росту обсягу </w:t>
      </w:r>
      <w:r w:rsidR="007B5E71" w:rsidRPr="00F009ED">
        <w:rPr>
          <w:sz w:val="26"/>
          <w:szCs w:val="26"/>
          <w:lang w:val="uk-UA"/>
        </w:rPr>
        <w:t>власних надходжень бюджетних установ</w:t>
      </w:r>
      <w:r w:rsidR="00AB793C" w:rsidRPr="00F009ED">
        <w:rPr>
          <w:sz w:val="26"/>
          <w:szCs w:val="26"/>
          <w:lang w:val="uk-UA"/>
        </w:rPr>
        <w:t xml:space="preserve"> </w:t>
      </w:r>
      <w:r w:rsidR="007B5E71" w:rsidRPr="00F009ED">
        <w:rPr>
          <w:sz w:val="26"/>
          <w:szCs w:val="26"/>
          <w:lang w:val="uk-UA"/>
        </w:rPr>
        <w:t xml:space="preserve"> До бюджету розвитку надійшло 17,2 млн.грн., в тому числі кошти від відчуження майна комунальної власності – 7,3 млн.грн., від продажу землі – 5,8 млн.грн. та пайової участі у розвитку інфраструктури міста – 4,1 млн.грн.</w:t>
      </w:r>
    </w:p>
    <w:p w:rsidR="007B5E71" w:rsidRPr="00F009ED" w:rsidRDefault="00F009ED" w:rsidP="00F009ED">
      <w:pPr>
        <w:jc w:val="both"/>
        <w:rPr>
          <w:sz w:val="28"/>
          <w:szCs w:val="28"/>
          <w:lang w:val="uk-UA"/>
        </w:rPr>
      </w:pPr>
      <w:r w:rsidRPr="00F009ED">
        <w:rPr>
          <w:noProof/>
          <w:sz w:val="28"/>
          <w:szCs w:val="28"/>
          <w:lang w:val="uk-UA"/>
        </w:rPr>
        <w:drawing>
          <wp:inline distT="0" distB="0" distL="0" distR="0">
            <wp:extent cx="6120130" cy="3291822"/>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5E71" w:rsidRPr="00F009ED" w:rsidRDefault="007B5E71" w:rsidP="00F009ED">
      <w:pPr>
        <w:pStyle w:val="2"/>
        <w:spacing w:after="0" w:line="240" w:lineRule="auto"/>
        <w:ind w:left="0"/>
        <w:jc w:val="both"/>
        <w:rPr>
          <w:sz w:val="26"/>
          <w:szCs w:val="26"/>
          <w:lang w:val="uk-UA"/>
        </w:rPr>
      </w:pPr>
      <w:r w:rsidRPr="00F009ED">
        <w:rPr>
          <w:sz w:val="26"/>
          <w:szCs w:val="26"/>
          <w:lang w:val="uk-UA"/>
        </w:rPr>
        <w:t>За звітний період до бюджету міста надійшло офіційних трансфертів на загальну суму 2 621,4 млн.грн., в тому числі:</w:t>
      </w:r>
    </w:p>
    <w:p w:rsidR="007B5E71" w:rsidRPr="00F009ED" w:rsidRDefault="007B5E71" w:rsidP="007B5E71">
      <w:pPr>
        <w:pStyle w:val="2"/>
        <w:numPr>
          <w:ilvl w:val="0"/>
          <w:numId w:val="17"/>
        </w:numPr>
        <w:spacing w:after="0" w:line="240" w:lineRule="auto"/>
        <w:ind w:left="0" w:firstLine="709"/>
        <w:jc w:val="both"/>
        <w:rPr>
          <w:sz w:val="26"/>
          <w:szCs w:val="26"/>
          <w:lang w:val="uk-UA"/>
        </w:rPr>
      </w:pPr>
      <w:r w:rsidRPr="00F009ED">
        <w:rPr>
          <w:sz w:val="26"/>
          <w:szCs w:val="26"/>
          <w:lang w:val="uk-UA"/>
        </w:rPr>
        <w:t>субвенцій соціального характеру (надання державної допомоги сім’ям з дітьми, малозабезпеченим сім’ям, пільг на оплату комунальних послуг та енергоносіїв, житлових субсидій) – 1 486,5 млн.грн.;</w:t>
      </w:r>
    </w:p>
    <w:p w:rsidR="007B5E71" w:rsidRPr="00F009ED" w:rsidRDefault="007B5E71" w:rsidP="007B5E71">
      <w:pPr>
        <w:pStyle w:val="2"/>
        <w:numPr>
          <w:ilvl w:val="0"/>
          <w:numId w:val="17"/>
        </w:numPr>
        <w:spacing w:after="0" w:line="240" w:lineRule="auto"/>
        <w:ind w:left="0" w:firstLine="709"/>
        <w:jc w:val="both"/>
        <w:rPr>
          <w:sz w:val="26"/>
          <w:szCs w:val="26"/>
          <w:lang w:val="uk-UA"/>
        </w:rPr>
      </w:pPr>
      <w:r w:rsidRPr="00F009ED">
        <w:rPr>
          <w:sz w:val="26"/>
          <w:szCs w:val="26"/>
          <w:lang w:val="uk-UA"/>
        </w:rPr>
        <w:t>освітньої субвенції – 486,8 млн.грн.;</w:t>
      </w:r>
    </w:p>
    <w:p w:rsidR="007B5E71" w:rsidRPr="00F009ED" w:rsidRDefault="007B5E71" w:rsidP="007B5E71">
      <w:pPr>
        <w:pStyle w:val="2"/>
        <w:numPr>
          <w:ilvl w:val="0"/>
          <w:numId w:val="17"/>
        </w:numPr>
        <w:spacing w:after="0" w:line="240" w:lineRule="auto"/>
        <w:ind w:left="0" w:firstLine="709"/>
        <w:jc w:val="both"/>
        <w:rPr>
          <w:sz w:val="26"/>
          <w:szCs w:val="26"/>
          <w:lang w:val="uk-UA"/>
        </w:rPr>
      </w:pPr>
      <w:r w:rsidRPr="00F009ED">
        <w:rPr>
          <w:sz w:val="26"/>
          <w:szCs w:val="26"/>
          <w:lang w:val="uk-UA"/>
        </w:rPr>
        <w:t>медичної субвенції – 532,6 млн.грн.;</w:t>
      </w:r>
    </w:p>
    <w:p w:rsidR="007B5E71" w:rsidRPr="00F009ED" w:rsidRDefault="007E0C91" w:rsidP="007B5E71">
      <w:pPr>
        <w:pStyle w:val="2"/>
        <w:numPr>
          <w:ilvl w:val="0"/>
          <w:numId w:val="17"/>
        </w:numPr>
        <w:spacing w:after="0" w:line="240" w:lineRule="auto"/>
        <w:ind w:left="0" w:firstLine="709"/>
        <w:jc w:val="both"/>
        <w:rPr>
          <w:sz w:val="26"/>
          <w:szCs w:val="26"/>
          <w:lang w:val="uk-UA"/>
        </w:rPr>
      </w:pPr>
      <w:r w:rsidRPr="00F009ED">
        <w:rPr>
          <w:sz w:val="26"/>
          <w:szCs w:val="26"/>
          <w:lang w:val="uk-UA"/>
        </w:rPr>
        <w:lastRenderedPageBreak/>
        <w:t xml:space="preserve">додаткової дотації на здійснення переданих з державного бюджету видатків з утримання закладів освіти та охорони здоров'я та </w:t>
      </w:r>
      <w:r w:rsidR="007B5E71" w:rsidRPr="00F009ED">
        <w:rPr>
          <w:sz w:val="26"/>
          <w:szCs w:val="26"/>
          <w:lang w:val="uk-UA"/>
        </w:rPr>
        <w:t xml:space="preserve">субвенцій на виконання окремих заходів та державних програм у </w:t>
      </w:r>
      <w:r w:rsidRPr="00F009ED">
        <w:rPr>
          <w:sz w:val="26"/>
          <w:szCs w:val="26"/>
          <w:lang w:val="uk-UA"/>
        </w:rPr>
        <w:t xml:space="preserve">цих </w:t>
      </w:r>
      <w:r w:rsidR="007B5E71" w:rsidRPr="00F009ED">
        <w:rPr>
          <w:sz w:val="26"/>
          <w:szCs w:val="26"/>
          <w:lang w:val="uk-UA"/>
        </w:rPr>
        <w:t>сфер</w:t>
      </w:r>
      <w:r w:rsidRPr="00F009ED">
        <w:rPr>
          <w:sz w:val="26"/>
          <w:szCs w:val="26"/>
          <w:lang w:val="uk-UA"/>
        </w:rPr>
        <w:t>ах</w:t>
      </w:r>
      <w:r w:rsidR="007B5E71" w:rsidRPr="00F009ED">
        <w:rPr>
          <w:sz w:val="26"/>
          <w:szCs w:val="26"/>
          <w:lang w:val="uk-UA"/>
        </w:rPr>
        <w:t xml:space="preserve"> – 79,9 </w:t>
      </w:r>
      <w:proofErr w:type="spellStart"/>
      <w:r w:rsidR="007B5E71" w:rsidRPr="00F009ED">
        <w:rPr>
          <w:sz w:val="26"/>
          <w:szCs w:val="26"/>
          <w:lang w:val="uk-UA"/>
        </w:rPr>
        <w:t>млн.грн</w:t>
      </w:r>
      <w:proofErr w:type="spellEnd"/>
      <w:r w:rsidR="007B5E71" w:rsidRPr="00F009ED">
        <w:rPr>
          <w:sz w:val="26"/>
          <w:szCs w:val="26"/>
          <w:lang w:val="uk-UA"/>
        </w:rPr>
        <w:t>.;</w:t>
      </w:r>
    </w:p>
    <w:p w:rsidR="007B5E71" w:rsidRPr="00F009ED" w:rsidRDefault="007B5E71" w:rsidP="007B5E71">
      <w:pPr>
        <w:pStyle w:val="2"/>
        <w:numPr>
          <w:ilvl w:val="0"/>
          <w:numId w:val="17"/>
        </w:numPr>
        <w:spacing w:after="0" w:line="240" w:lineRule="auto"/>
        <w:ind w:left="0" w:firstLine="709"/>
        <w:jc w:val="both"/>
        <w:rPr>
          <w:sz w:val="26"/>
          <w:szCs w:val="26"/>
          <w:lang w:val="uk-UA"/>
        </w:rPr>
      </w:pPr>
      <w:r w:rsidRPr="00F009ED">
        <w:rPr>
          <w:sz w:val="26"/>
          <w:szCs w:val="26"/>
          <w:lang w:val="uk-UA"/>
        </w:rPr>
        <w:t>додаткової дотації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 8,8 млн.грн.;</w:t>
      </w:r>
    </w:p>
    <w:p w:rsidR="007B5E71" w:rsidRPr="00F009ED" w:rsidRDefault="007B5E71" w:rsidP="007B5E71">
      <w:pPr>
        <w:pStyle w:val="2"/>
        <w:numPr>
          <w:ilvl w:val="0"/>
          <w:numId w:val="17"/>
        </w:numPr>
        <w:spacing w:after="0" w:line="240" w:lineRule="auto"/>
        <w:ind w:left="0" w:firstLine="709"/>
        <w:jc w:val="both"/>
        <w:rPr>
          <w:sz w:val="26"/>
          <w:szCs w:val="26"/>
          <w:lang w:val="uk-UA"/>
        </w:rPr>
      </w:pPr>
      <w:r w:rsidRPr="00F009ED">
        <w:rPr>
          <w:sz w:val="26"/>
          <w:szCs w:val="26"/>
          <w:lang w:val="uk-UA"/>
        </w:rPr>
        <w:t xml:space="preserve">субвенції на здійснення заходів щодо соціально – економічного розвитку – 7,5 млн.грн.; </w:t>
      </w:r>
    </w:p>
    <w:p w:rsidR="007B5E71" w:rsidRPr="00F009ED" w:rsidRDefault="007B5E71" w:rsidP="007B5E71">
      <w:pPr>
        <w:pStyle w:val="2"/>
        <w:numPr>
          <w:ilvl w:val="0"/>
          <w:numId w:val="17"/>
        </w:numPr>
        <w:spacing w:after="0" w:line="240" w:lineRule="auto"/>
        <w:ind w:left="0" w:firstLine="709"/>
        <w:jc w:val="both"/>
        <w:rPr>
          <w:sz w:val="26"/>
          <w:szCs w:val="26"/>
          <w:lang w:val="uk-UA"/>
        </w:rPr>
      </w:pPr>
      <w:r w:rsidRPr="00F009ED">
        <w:rPr>
          <w:sz w:val="26"/>
          <w:szCs w:val="26"/>
          <w:lang w:val="uk-UA"/>
        </w:rPr>
        <w:t>субвенції на проектні, будівельно-ремонтні роботи, придбання житла та приміщень для розвитку сімейних та інших форм виховання, та забезпечення житлом дітей – сиріт – 5,5 млн.грн.;</w:t>
      </w:r>
    </w:p>
    <w:p w:rsidR="007B5E71" w:rsidRPr="00F009ED" w:rsidRDefault="007B5E71" w:rsidP="007B5E71">
      <w:pPr>
        <w:pStyle w:val="2"/>
        <w:numPr>
          <w:ilvl w:val="0"/>
          <w:numId w:val="17"/>
        </w:numPr>
        <w:spacing w:after="0" w:line="240" w:lineRule="auto"/>
        <w:ind w:left="0" w:firstLine="709"/>
        <w:jc w:val="both"/>
        <w:rPr>
          <w:sz w:val="26"/>
          <w:szCs w:val="26"/>
          <w:lang w:val="uk-UA"/>
        </w:rPr>
      </w:pPr>
      <w:r w:rsidRPr="00F009ED">
        <w:rPr>
          <w:sz w:val="26"/>
          <w:szCs w:val="26"/>
          <w:lang w:val="uk-UA"/>
        </w:rPr>
        <w:t xml:space="preserve">субвенції на модернізацію та оновлення матеріально – технічної бази професійно-технічних навчальних закладів – 4,8 млн.грн.; </w:t>
      </w:r>
    </w:p>
    <w:p w:rsidR="007B5E71" w:rsidRPr="00F009ED" w:rsidRDefault="007B5E71" w:rsidP="007B5E71">
      <w:pPr>
        <w:pStyle w:val="2"/>
        <w:numPr>
          <w:ilvl w:val="0"/>
          <w:numId w:val="17"/>
        </w:numPr>
        <w:spacing w:after="0" w:line="240" w:lineRule="auto"/>
        <w:ind w:left="0" w:firstLine="709"/>
        <w:jc w:val="both"/>
        <w:rPr>
          <w:sz w:val="26"/>
          <w:szCs w:val="26"/>
          <w:lang w:val="uk-UA"/>
        </w:rPr>
      </w:pPr>
      <w:r w:rsidRPr="00F009ED">
        <w:rPr>
          <w:sz w:val="26"/>
          <w:szCs w:val="26"/>
          <w:lang w:val="uk-UA"/>
        </w:rPr>
        <w:t>субвенції на виплату грошової компенсації для отримання житла та поліпшення житлових умов для сімей загиблих осіб, визначених законодавством – 2,3 млн.грн.</w:t>
      </w:r>
      <w:r w:rsidR="007E0C91" w:rsidRPr="00F009ED">
        <w:rPr>
          <w:sz w:val="26"/>
          <w:szCs w:val="26"/>
          <w:lang w:val="uk-UA"/>
        </w:rPr>
        <w:t>;</w:t>
      </w:r>
    </w:p>
    <w:p w:rsidR="007E0C91" w:rsidRPr="00F009ED" w:rsidRDefault="007E0C91" w:rsidP="007E0C91">
      <w:pPr>
        <w:pStyle w:val="2"/>
        <w:numPr>
          <w:ilvl w:val="0"/>
          <w:numId w:val="17"/>
        </w:numPr>
        <w:spacing w:after="0" w:line="240" w:lineRule="auto"/>
        <w:ind w:left="0" w:firstLine="709"/>
        <w:jc w:val="both"/>
        <w:rPr>
          <w:sz w:val="26"/>
          <w:szCs w:val="26"/>
          <w:lang w:val="uk-UA"/>
        </w:rPr>
      </w:pPr>
      <w:r w:rsidRPr="00F009ED">
        <w:rPr>
          <w:sz w:val="26"/>
          <w:szCs w:val="26"/>
          <w:lang w:val="uk-UA"/>
        </w:rPr>
        <w:t>іншої субвенції з обласного бюджету – 6,7 </w:t>
      </w:r>
      <w:proofErr w:type="spellStart"/>
      <w:r w:rsidRPr="00F009ED">
        <w:rPr>
          <w:sz w:val="26"/>
          <w:szCs w:val="26"/>
          <w:lang w:val="uk-UA"/>
        </w:rPr>
        <w:t>млн.грн</w:t>
      </w:r>
      <w:proofErr w:type="spellEnd"/>
      <w:r w:rsidRPr="00F009ED">
        <w:rPr>
          <w:sz w:val="26"/>
          <w:szCs w:val="26"/>
          <w:lang w:val="uk-UA"/>
        </w:rPr>
        <w:t>.</w:t>
      </w:r>
    </w:p>
    <w:p w:rsidR="00555251" w:rsidRPr="00F009ED" w:rsidRDefault="00555251" w:rsidP="00F009ED">
      <w:pPr>
        <w:pStyle w:val="a5"/>
        <w:rPr>
          <w:b/>
          <w:bCs/>
          <w:sz w:val="26"/>
          <w:szCs w:val="26"/>
        </w:rPr>
      </w:pPr>
    </w:p>
    <w:p w:rsidR="00372156" w:rsidRPr="00F06681" w:rsidRDefault="00372156" w:rsidP="00F670BB">
      <w:pPr>
        <w:pStyle w:val="a5"/>
        <w:ind w:firstLine="708"/>
        <w:jc w:val="center"/>
        <w:rPr>
          <w:b/>
          <w:bCs/>
          <w:szCs w:val="28"/>
        </w:rPr>
      </w:pPr>
      <w:r w:rsidRPr="00F06681">
        <w:rPr>
          <w:b/>
          <w:bCs/>
          <w:szCs w:val="28"/>
        </w:rPr>
        <w:t>Видатки</w:t>
      </w:r>
    </w:p>
    <w:p w:rsidR="00372156" w:rsidRPr="00F009ED" w:rsidRDefault="00372156" w:rsidP="00612A5A">
      <w:pPr>
        <w:ind w:firstLine="708"/>
        <w:jc w:val="both"/>
        <w:rPr>
          <w:sz w:val="26"/>
          <w:szCs w:val="26"/>
          <w:lang w:val="uk-UA"/>
        </w:rPr>
      </w:pPr>
      <w:r w:rsidRPr="00F009ED">
        <w:rPr>
          <w:sz w:val="26"/>
          <w:szCs w:val="26"/>
          <w:lang w:val="uk-UA"/>
        </w:rPr>
        <w:t>Видатки бю</w:t>
      </w:r>
      <w:r w:rsidR="00995DF8" w:rsidRPr="00F009ED">
        <w:rPr>
          <w:sz w:val="26"/>
          <w:szCs w:val="26"/>
          <w:lang w:val="uk-UA"/>
        </w:rPr>
        <w:t>джету міста проведено в обсязі 6 510</w:t>
      </w:r>
      <w:r w:rsidRPr="00F009ED">
        <w:rPr>
          <w:sz w:val="26"/>
          <w:szCs w:val="26"/>
          <w:lang w:val="uk-UA"/>
        </w:rPr>
        <w:t xml:space="preserve">,3 млн.грн., в тому числі по загальному фонду – </w:t>
      </w:r>
      <w:r w:rsidR="00995DF8" w:rsidRPr="00F009ED">
        <w:rPr>
          <w:sz w:val="26"/>
          <w:szCs w:val="26"/>
          <w:lang w:val="uk-UA"/>
        </w:rPr>
        <w:t>5</w:t>
      </w:r>
      <w:r w:rsidRPr="00F009ED">
        <w:rPr>
          <w:sz w:val="26"/>
          <w:szCs w:val="26"/>
          <w:lang w:val="uk-UA"/>
        </w:rPr>
        <w:t> </w:t>
      </w:r>
      <w:r w:rsidR="00995DF8" w:rsidRPr="00F009ED">
        <w:rPr>
          <w:sz w:val="26"/>
          <w:szCs w:val="26"/>
          <w:lang w:val="uk-UA"/>
        </w:rPr>
        <w:t>550</w:t>
      </w:r>
      <w:r w:rsidRPr="00F009ED">
        <w:rPr>
          <w:sz w:val="26"/>
          <w:szCs w:val="26"/>
          <w:lang w:val="uk-UA"/>
        </w:rPr>
        <w:t>,6</w:t>
      </w:r>
      <w:r w:rsidR="00995DF8" w:rsidRPr="00F009ED">
        <w:rPr>
          <w:sz w:val="26"/>
          <w:szCs w:val="26"/>
          <w:lang w:val="uk-UA"/>
        </w:rPr>
        <w:t>4 млн.грн. або 95</w:t>
      </w:r>
      <w:r w:rsidRPr="00F009ED">
        <w:rPr>
          <w:sz w:val="26"/>
          <w:szCs w:val="26"/>
          <w:lang w:val="uk-UA"/>
        </w:rPr>
        <w:t>,</w:t>
      </w:r>
      <w:r w:rsidR="00995DF8" w:rsidRPr="00F009ED">
        <w:rPr>
          <w:sz w:val="26"/>
          <w:szCs w:val="26"/>
          <w:lang w:val="uk-UA"/>
        </w:rPr>
        <w:t>4</w:t>
      </w:r>
      <w:r w:rsidRPr="00F009ED">
        <w:rPr>
          <w:sz w:val="26"/>
          <w:szCs w:val="26"/>
          <w:lang w:val="uk-UA"/>
        </w:rPr>
        <w:t xml:space="preserve">% планових показників на відповідний період, по спеціальному фонду – </w:t>
      </w:r>
      <w:r w:rsidR="00995DF8" w:rsidRPr="00F009ED">
        <w:rPr>
          <w:sz w:val="26"/>
          <w:szCs w:val="26"/>
          <w:lang w:val="uk-UA"/>
        </w:rPr>
        <w:t>959</w:t>
      </w:r>
      <w:r w:rsidRPr="00F009ED">
        <w:rPr>
          <w:sz w:val="26"/>
          <w:szCs w:val="26"/>
          <w:lang w:val="uk-UA"/>
        </w:rPr>
        <w:t>,</w:t>
      </w:r>
      <w:r w:rsidR="00995DF8" w:rsidRPr="00F009ED">
        <w:rPr>
          <w:sz w:val="26"/>
          <w:szCs w:val="26"/>
          <w:lang w:val="uk-UA"/>
        </w:rPr>
        <w:t>9</w:t>
      </w:r>
      <w:r w:rsidRPr="00F009ED">
        <w:rPr>
          <w:sz w:val="26"/>
          <w:szCs w:val="26"/>
          <w:lang w:val="uk-UA"/>
        </w:rPr>
        <w:t> млн.грн., з яки</w:t>
      </w:r>
      <w:r w:rsidR="00995DF8" w:rsidRPr="00F009ED">
        <w:rPr>
          <w:sz w:val="26"/>
          <w:szCs w:val="26"/>
          <w:lang w:val="uk-UA"/>
        </w:rPr>
        <w:t>х видатки бюджету розвитку – 795</w:t>
      </w:r>
      <w:r w:rsidRPr="00F009ED">
        <w:rPr>
          <w:sz w:val="26"/>
          <w:szCs w:val="26"/>
          <w:lang w:val="uk-UA"/>
        </w:rPr>
        <w:t>,</w:t>
      </w:r>
      <w:r w:rsidR="00995DF8" w:rsidRPr="00F009ED">
        <w:rPr>
          <w:sz w:val="26"/>
          <w:szCs w:val="26"/>
          <w:lang w:val="uk-UA"/>
        </w:rPr>
        <w:t>3 млн.грн., що становить 64,9</w:t>
      </w:r>
      <w:r w:rsidRPr="00F009ED">
        <w:rPr>
          <w:sz w:val="26"/>
          <w:szCs w:val="26"/>
          <w:lang w:val="uk-UA"/>
        </w:rPr>
        <w:t xml:space="preserve">% </w:t>
      </w:r>
      <w:r w:rsidR="009472DE" w:rsidRPr="00F009ED">
        <w:rPr>
          <w:sz w:val="26"/>
          <w:szCs w:val="26"/>
          <w:lang w:val="uk-UA"/>
        </w:rPr>
        <w:t xml:space="preserve">до </w:t>
      </w:r>
      <w:r w:rsidRPr="00F009ED">
        <w:rPr>
          <w:sz w:val="26"/>
          <w:szCs w:val="26"/>
          <w:lang w:val="uk-UA"/>
        </w:rPr>
        <w:t>план</w:t>
      </w:r>
      <w:r w:rsidR="009472DE" w:rsidRPr="00F009ED">
        <w:rPr>
          <w:sz w:val="26"/>
          <w:szCs w:val="26"/>
          <w:lang w:val="uk-UA"/>
        </w:rPr>
        <w:t>у</w:t>
      </w:r>
      <w:r w:rsidRPr="00F009ED">
        <w:rPr>
          <w:sz w:val="26"/>
          <w:szCs w:val="26"/>
          <w:lang w:val="uk-UA"/>
        </w:rPr>
        <w:t>. До державного бюджету перерахов</w:t>
      </w:r>
      <w:r w:rsidR="00995DF8" w:rsidRPr="00F009ED">
        <w:rPr>
          <w:sz w:val="26"/>
          <w:szCs w:val="26"/>
          <w:lang w:val="uk-UA"/>
        </w:rPr>
        <w:t>ано реверсної дотації в сумі 263</w:t>
      </w:r>
      <w:r w:rsidRPr="00F009ED">
        <w:rPr>
          <w:sz w:val="26"/>
          <w:szCs w:val="26"/>
          <w:lang w:val="uk-UA"/>
        </w:rPr>
        <w:t>,</w:t>
      </w:r>
      <w:r w:rsidR="00995DF8" w:rsidRPr="00F009ED">
        <w:rPr>
          <w:sz w:val="26"/>
          <w:szCs w:val="26"/>
          <w:lang w:val="uk-UA"/>
        </w:rPr>
        <w:t>5</w:t>
      </w:r>
      <w:r w:rsidRPr="00F009ED">
        <w:rPr>
          <w:sz w:val="26"/>
          <w:szCs w:val="26"/>
          <w:lang w:val="uk-UA"/>
        </w:rPr>
        <w:t> млн.грн., що дорівнює плановим показникам.</w:t>
      </w:r>
    </w:p>
    <w:p w:rsidR="00372156" w:rsidRPr="00F009ED" w:rsidRDefault="00FF6E0C" w:rsidP="00CC7BC9">
      <w:pPr>
        <w:ind w:firstLine="708"/>
        <w:jc w:val="both"/>
        <w:rPr>
          <w:sz w:val="26"/>
          <w:szCs w:val="26"/>
          <w:lang w:val="uk-UA"/>
        </w:rPr>
      </w:pPr>
      <w:r w:rsidRPr="00F009ED">
        <w:rPr>
          <w:sz w:val="26"/>
          <w:szCs w:val="26"/>
          <w:lang w:val="uk-UA"/>
        </w:rPr>
        <w:t>Більш ніж</w:t>
      </w:r>
      <w:r w:rsidR="00372156" w:rsidRPr="00F009ED">
        <w:rPr>
          <w:sz w:val="26"/>
          <w:szCs w:val="26"/>
          <w:lang w:val="uk-UA"/>
        </w:rPr>
        <w:t xml:space="preserve"> </w:t>
      </w:r>
      <w:r w:rsidRPr="00F009ED">
        <w:rPr>
          <w:sz w:val="26"/>
          <w:szCs w:val="26"/>
          <w:lang w:val="uk-UA"/>
        </w:rPr>
        <w:t>7</w:t>
      </w:r>
      <w:r w:rsidR="00372156" w:rsidRPr="00F009ED">
        <w:rPr>
          <w:sz w:val="26"/>
          <w:szCs w:val="26"/>
          <w:lang w:val="uk-UA"/>
        </w:rPr>
        <w:t xml:space="preserve">0,0% загального обсягу витрат склали захищені статті видатків, на які спрямовано </w:t>
      </w:r>
      <w:r w:rsidR="00995DF8" w:rsidRPr="00F009ED">
        <w:rPr>
          <w:sz w:val="26"/>
          <w:szCs w:val="26"/>
          <w:lang w:val="uk-UA"/>
        </w:rPr>
        <w:t>4</w:t>
      </w:r>
      <w:r w:rsidR="00372156" w:rsidRPr="00F009ED">
        <w:rPr>
          <w:sz w:val="26"/>
          <w:szCs w:val="26"/>
          <w:lang w:val="uk-UA"/>
        </w:rPr>
        <w:t> </w:t>
      </w:r>
      <w:r w:rsidR="00995DF8" w:rsidRPr="00F009ED">
        <w:rPr>
          <w:sz w:val="26"/>
          <w:szCs w:val="26"/>
          <w:lang w:val="uk-UA"/>
        </w:rPr>
        <w:t>600</w:t>
      </w:r>
      <w:r w:rsidR="00372156" w:rsidRPr="00F009ED">
        <w:rPr>
          <w:sz w:val="26"/>
          <w:szCs w:val="26"/>
          <w:lang w:val="uk-UA"/>
        </w:rPr>
        <w:t>,</w:t>
      </w:r>
      <w:r w:rsidR="00995DF8" w:rsidRPr="00F009ED">
        <w:rPr>
          <w:sz w:val="26"/>
          <w:szCs w:val="26"/>
          <w:lang w:val="uk-UA"/>
        </w:rPr>
        <w:t>0</w:t>
      </w:r>
      <w:r w:rsidR="00372156" w:rsidRPr="00F009ED">
        <w:rPr>
          <w:sz w:val="26"/>
          <w:szCs w:val="26"/>
          <w:lang w:val="uk-UA"/>
        </w:rPr>
        <w:t xml:space="preserve"> млн.грн. Виплата заробітної плати здійснювалась своєчасно та в повному обсязі, заборгованість перед працівниками бюджетних установ відсутня. </w:t>
      </w:r>
    </w:p>
    <w:p w:rsidR="00372156" w:rsidRPr="00324FD8" w:rsidRDefault="00372156" w:rsidP="00CC7BC9">
      <w:pPr>
        <w:ind w:firstLine="708"/>
        <w:jc w:val="both"/>
        <w:rPr>
          <w:sz w:val="20"/>
          <w:szCs w:val="20"/>
          <w:lang w:val="uk-UA"/>
        </w:rPr>
      </w:pPr>
    </w:p>
    <w:p w:rsidR="002B33DB" w:rsidRDefault="004203F9" w:rsidP="00DC719A">
      <w:pPr>
        <w:ind w:firstLine="709"/>
        <w:jc w:val="center"/>
        <w:rPr>
          <w:b/>
          <w:sz w:val="28"/>
          <w:szCs w:val="28"/>
          <w:lang w:val="uk-UA"/>
        </w:rPr>
      </w:pPr>
      <w:r w:rsidRPr="004203F9">
        <w:rPr>
          <w:b/>
          <w:sz w:val="28"/>
          <w:szCs w:val="28"/>
          <w:lang w:val="uk-UA"/>
        </w:rPr>
        <w:t xml:space="preserve">Порівняльний аналіз витрат по захищених статтях видатків за 9 </w:t>
      </w:r>
    </w:p>
    <w:p w:rsidR="002B33DB" w:rsidRPr="00C64F0E" w:rsidRDefault="002B33DB" w:rsidP="002B33DB">
      <w:pPr>
        <w:ind w:firstLine="709"/>
        <w:jc w:val="center"/>
        <w:rPr>
          <w:b/>
          <w:sz w:val="28"/>
          <w:szCs w:val="28"/>
          <w:lang w:val="uk-UA"/>
        </w:rPr>
      </w:pPr>
      <w:r w:rsidRPr="004203F9">
        <w:rPr>
          <w:b/>
          <w:sz w:val="28"/>
          <w:szCs w:val="28"/>
          <w:lang w:val="uk-UA"/>
        </w:rPr>
        <w:t>місяців 2018 року та 9 місяців 2017 року</w:t>
      </w:r>
    </w:p>
    <w:p w:rsidR="002B33DB" w:rsidRDefault="002B33DB" w:rsidP="007D719C">
      <w:pPr>
        <w:rPr>
          <w:b/>
          <w:sz w:val="28"/>
          <w:szCs w:val="28"/>
          <w:lang w:val="uk-UA"/>
        </w:rPr>
      </w:pPr>
    </w:p>
    <w:p w:rsidR="00372156" w:rsidRPr="00C64F0E" w:rsidRDefault="002850D8" w:rsidP="00DC719A">
      <w:pPr>
        <w:ind w:firstLine="709"/>
        <w:jc w:val="center"/>
        <w:rPr>
          <w:b/>
          <w:sz w:val="28"/>
          <w:szCs w:val="28"/>
          <w:lang w:val="uk-UA"/>
        </w:rPr>
      </w:pPr>
      <w:r w:rsidRPr="002850D8">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34.3pt;margin-top:9.4pt;width:111.95pt;height:64.95pt;z-index:251658240">
            <v:textbox style="mso-next-textbox:#_x0000_s1026">
              <w:txbxContent>
                <w:p w:rsidR="00F009ED" w:rsidRDefault="00F009ED">
                  <w:pPr>
                    <w:rPr>
                      <w:lang w:val="uk-UA"/>
                    </w:rPr>
                  </w:pPr>
                  <w:r>
                    <w:rPr>
                      <w:lang w:val="uk-UA"/>
                    </w:rPr>
                    <w:t>9 місяців 2018 р. – 4600,0 млн.грн.</w:t>
                  </w:r>
                </w:p>
                <w:p w:rsidR="00F009ED" w:rsidRPr="009472DE" w:rsidRDefault="00F009ED">
                  <w:pPr>
                    <w:rPr>
                      <w:lang w:val="uk-UA"/>
                    </w:rPr>
                  </w:pPr>
                  <w:r>
                    <w:rPr>
                      <w:lang w:val="uk-UA"/>
                    </w:rPr>
                    <w:t>9 місяців 2017 рік – 3957,3 млн.грн   млн..грн.</w:t>
                  </w:r>
                </w:p>
              </w:txbxContent>
            </v:textbox>
          </v:shape>
        </w:pict>
      </w:r>
      <w:r w:rsidR="00D25A51" w:rsidRPr="00D25A51">
        <w:rPr>
          <w:b/>
          <w:noProof/>
          <w:sz w:val="28"/>
          <w:szCs w:val="28"/>
        </w:rPr>
        <w:drawing>
          <wp:inline distT="0" distB="0" distL="0" distR="0">
            <wp:extent cx="5766803" cy="3326063"/>
            <wp:effectExtent l="19050" t="0" r="0"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5251" w:rsidRDefault="00555251" w:rsidP="00D25A51">
      <w:pPr>
        <w:jc w:val="both"/>
        <w:rPr>
          <w:sz w:val="27"/>
          <w:szCs w:val="27"/>
          <w:highlight w:val="yellow"/>
          <w:lang w:val="uk-UA"/>
        </w:rPr>
      </w:pPr>
    </w:p>
    <w:p w:rsidR="00372156" w:rsidRPr="00F009ED" w:rsidRDefault="00372156" w:rsidP="00CC7BC9">
      <w:pPr>
        <w:ind w:firstLine="708"/>
        <w:jc w:val="both"/>
        <w:rPr>
          <w:sz w:val="26"/>
          <w:szCs w:val="26"/>
          <w:lang w:val="uk-UA"/>
        </w:rPr>
      </w:pPr>
      <w:r w:rsidRPr="00F009ED">
        <w:rPr>
          <w:sz w:val="26"/>
          <w:szCs w:val="26"/>
          <w:lang w:val="uk-UA"/>
        </w:rPr>
        <w:lastRenderedPageBreak/>
        <w:t xml:space="preserve">У порівнянні з аналогічним періодом минулого року зростання видатків </w:t>
      </w:r>
      <w:r w:rsidR="006458CF" w:rsidRPr="00F009ED">
        <w:rPr>
          <w:sz w:val="26"/>
          <w:szCs w:val="26"/>
          <w:lang w:val="uk-UA"/>
        </w:rPr>
        <w:t>за</w:t>
      </w:r>
      <w:r w:rsidRPr="00F009ED">
        <w:rPr>
          <w:sz w:val="26"/>
          <w:szCs w:val="26"/>
          <w:lang w:val="uk-UA"/>
        </w:rPr>
        <w:t xml:space="preserve"> захищени</w:t>
      </w:r>
      <w:r w:rsidR="006458CF" w:rsidRPr="00F009ED">
        <w:rPr>
          <w:sz w:val="26"/>
          <w:szCs w:val="26"/>
          <w:lang w:val="uk-UA"/>
        </w:rPr>
        <w:t>ми</w:t>
      </w:r>
      <w:r w:rsidRPr="00F009ED">
        <w:rPr>
          <w:sz w:val="26"/>
          <w:szCs w:val="26"/>
          <w:lang w:val="uk-UA"/>
        </w:rPr>
        <w:t xml:space="preserve"> стаття</w:t>
      </w:r>
      <w:r w:rsidR="006458CF" w:rsidRPr="00F009ED">
        <w:rPr>
          <w:sz w:val="26"/>
          <w:szCs w:val="26"/>
          <w:lang w:val="uk-UA"/>
        </w:rPr>
        <w:t>ми</w:t>
      </w:r>
      <w:r w:rsidRPr="00F009ED">
        <w:rPr>
          <w:sz w:val="26"/>
          <w:szCs w:val="26"/>
          <w:lang w:val="uk-UA"/>
        </w:rPr>
        <w:t xml:space="preserve"> склало 1</w:t>
      </w:r>
      <w:r w:rsidR="007B66FD" w:rsidRPr="00F009ED">
        <w:rPr>
          <w:sz w:val="26"/>
          <w:szCs w:val="26"/>
          <w:lang w:val="uk-UA"/>
        </w:rPr>
        <w:t>16</w:t>
      </w:r>
      <w:r w:rsidRPr="00F009ED">
        <w:rPr>
          <w:sz w:val="26"/>
          <w:szCs w:val="26"/>
          <w:lang w:val="uk-UA"/>
        </w:rPr>
        <w:t>,</w:t>
      </w:r>
      <w:r w:rsidR="007B66FD" w:rsidRPr="00F009ED">
        <w:rPr>
          <w:sz w:val="26"/>
          <w:szCs w:val="26"/>
          <w:lang w:val="uk-UA"/>
        </w:rPr>
        <w:t>2</w:t>
      </w:r>
      <w:r w:rsidRPr="00F009ED">
        <w:rPr>
          <w:sz w:val="26"/>
          <w:szCs w:val="26"/>
          <w:lang w:val="uk-UA"/>
        </w:rPr>
        <w:t>%, що пов’язано зі зростанням соціальних стандартів, цін та тарифів на енергоносії</w:t>
      </w:r>
      <w:r w:rsidR="006458CF" w:rsidRPr="00F009ED">
        <w:rPr>
          <w:sz w:val="26"/>
          <w:szCs w:val="26"/>
          <w:lang w:val="uk-UA"/>
        </w:rPr>
        <w:t xml:space="preserve"> і комунальні послуги</w:t>
      </w:r>
      <w:r w:rsidRPr="00F009ED">
        <w:rPr>
          <w:sz w:val="26"/>
          <w:szCs w:val="26"/>
          <w:lang w:val="uk-UA"/>
        </w:rPr>
        <w:t xml:space="preserve">. </w:t>
      </w:r>
      <w:r w:rsidR="006458CF" w:rsidRPr="00F009ED">
        <w:rPr>
          <w:sz w:val="26"/>
          <w:szCs w:val="26"/>
          <w:lang w:val="uk-UA"/>
        </w:rPr>
        <w:t>Через зростання обсягу недофінансування видатків на оплату праці з нарахуваннями за рахунок відповідних субвенцій і дотацій з державного бюджету збільшується частка власних доходів бюджету міста, що спрямовуються на покриття цього дефіциту.</w:t>
      </w:r>
    </w:p>
    <w:p w:rsidR="00555251" w:rsidRDefault="00555251" w:rsidP="00F009ED">
      <w:pPr>
        <w:jc w:val="both"/>
        <w:rPr>
          <w:sz w:val="27"/>
          <w:szCs w:val="27"/>
          <w:lang w:val="uk-UA"/>
        </w:rPr>
      </w:pPr>
    </w:p>
    <w:p w:rsidR="00372156" w:rsidRPr="00C64F0E" w:rsidRDefault="004203F9" w:rsidP="00612A5A">
      <w:pPr>
        <w:ind w:firstLine="709"/>
        <w:jc w:val="center"/>
        <w:rPr>
          <w:b/>
          <w:sz w:val="28"/>
          <w:szCs w:val="28"/>
          <w:lang w:val="uk-UA"/>
        </w:rPr>
      </w:pPr>
      <w:r w:rsidRPr="004203F9">
        <w:rPr>
          <w:b/>
          <w:sz w:val="28"/>
          <w:szCs w:val="28"/>
          <w:lang w:val="uk-UA"/>
        </w:rPr>
        <w:t xml:space="preserve">Структура видатків бюджету міста за функціональною ознакою </w:t>
      </w:r>
    </w:p>
    <w:p w:rsidR="00372156" w:rsidRPr="00C64F0E" w:rsidRDefault="004203F9" w:rsidP="00612A5A">
      <w:pPr>
        <w:ind w:firstLine="709"/>
        <w:jc w:val="center"/>
        <w:rPr>
          <w:b/>
          <w:sz w:val="28"/>
          <w:szCs w:val="28"/>
          <w:lang w:val="uk-UA"/>
        </w:rPr>
      </w:pPr>
      <w:r w:rsidRPr="004203F9">
        <w:rPr>
          <w:b/>
          <w:sz w:val="28"/>
          <w:szCs w:val="28"/>
          <w:lang w:val="uk-UA"/>
        </w:rPr>
        <w:t>за 9 місяців 2018 року</w:t>
      </w:r>
    </w:p>
    <w:p w:rsidR="00372156" w:rsidRPr="00C901DE" w:rsidRDefault="00B50A0E" w:rsidP="005E396A">
      <w:pPr>
        <w:jc w:val="center"/>
        <w:rPr>
          <w:b/>
          <w:i/>
          <w:sz w:val="16"/>
          <w:szCs w:val="16"/>
          <w:lang w:val="uk-UA"/>
        </w:rPr>
      </w:pPr>
      <w:r w:rsidRPr="00B50A0E">
        <w:rPr>
          <w:b/>
          <w:i/>
          <w:noProof/>
          <w:sz w:val="16"/>
          <w:szCs w:val="16"/>
        </w:rPr>
        <w:drawing>
          <wp:inline distT="0" distB="0" distL="0" distR="0">
            <wp:extent cx="5638800" cy="3276600"/>
            <wp:effectExtent l="38100" t="1905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2156" w:rsidRPr="00A26031" w:rsidRDefault="00372156" w:rsidP="00B625FA">
      <w:pPr>
        <w:ind w:firstLine="708"/>
        <w:jc w:val="both"/>
        <w:rPr>
          <w:sz w:val="20"/>
          <w:szCs w:val="20"/>
          <w:lang w:val="uk-UA"/>
        </w:rPr>
      </w:pPr>
    </w:p>
    <w:p w:rsidR="00372156" w:rsidRPr="00F009ED" w:rsidRDefault="00372156" w:rsidP="00A92660">
      <w:pPr>
        <w:pStyle w:val="justifyfull"/>
        <w:numPr>
          <w:ilvl w:val="0"/>
          <w:numId w:val="15"/>
        </w:numPr>
        <w:spacing w:before="0" w:beforeAutospacing="0" w:after="0" w:afterAutospacing="0"/>
        <w:ind w:left="0" w:firstLine="708"/>
        <w:contextualSpacing/>
        <w:jc w:val="both"/>
        <w:rPr>
          <w:sz w:val="26"/>
          <w:szCs w:val="26"/>
          <w:lang w:val="uk-UA"/>
        </w:rPr>
      </w:pPr>
      <w:r w:rsidRPr="00F009ED">
        <w:rPr>
          <w:sz w:val="26"/>
          <w:szCs w:val="26"/>
          <w:lang w:val="uk-UA"/>
        </w:rPr>
        <w:t>На забезпечення функціонування та розвиток установ соціально-культурної сфери спрямовано 2 </w:t>
      </w:r>
      <w:r w:rsidR="00D250BF" w:rsidRPr="00F009ED">
        <w:rPr>
          <w:sz w:val="26"/>
          <w:szCs w:val="26"/>
          <w:lang w:val="uk-UA"/>
        </w:rPr>
        <w:t>863</w:t>
      </w:r>
      <w:r w:rsidRPr="00F009ED">
        <w:rPr>
          <w:sz w:val="26"/>
          <w:szCs w:val="26"/>
          <w:lang w:val="uk-UA"/>
        </w:rPr>
        <w:t>,</w:t>
      </w:r>
      <w:r w:rsidR="00D250BF" w:rsidRPr="00F009ED">
        <w:rPr>
          <w:sz w:val="26"/>
          <w:szCs w:val="26"/>
          <w:lang w:val="uk-UA"/>
        </w:rPr>
        <w:t>2</w:t>
      </w:r>
      <w:r w:rsidRPr="00F009ED">
        <w:rPr>
          <w:sz w:val="26"/>
          <w:szCs w:val="26"/>
          <w:lang w:val="uk-UA"/>
        </w:rPr>
        <w:t xml:space="preserve"> млн.грн., що становить </w:t>
      </w:r>
      <w:r w:rsidR="00D250BF" w:rsidRPr="00F009ED">
        <w:rPr>
          <w:sz w:val="26"/>
          <w:szCs w:val="26"/>
          <w:lang w:val="uk-UA"/>
        </w:rPr>
        <w:t xml:space="preserve">майже </w:t>
      </w:r>
      <w:r w:rsidRPr="00F009ED">
        <w:rPr>
          <w:sz w:val="26"/>
          <w:szCs w:val="26"/>
          <w:lang w:val="uk-UA"/>
        </w:rPr>
        <w:t>4</w:t>
      </w:r>
      <w:r w:rsidR="00D250BF" w:rsidRPr="00F009ED">
        <w:rPr>
          <w:sz w:val="26"/>
          <w:szCs w:val="26"/>
          <w:lang w:val="uk-UA"/>
        </w:rPr>
        <w:t>4</w:t>
      </w:r>
      <w:r w:rsidRPr="00F009ED">
        <w:rPr>
          <w:sz w:val="26"/>
          <w:szCs w:val="26"/>
          <w:lang w:val="uk-UA"/>
        </w:rPr>
        <w:t>,</w:t>
      </w:r>
      <w:r w:rsidR="00D250BF" w:rsidRPr="00F009ED">
        <w:rPr>
          <w:sz w:val="26"/>
          <w:szCs w:val="26"/>
          <w:lang w:val="uk-UA"/>
        </w:rPr>
        <w:t>0</w:t>
      </w:r>
      <w:r w:rsidRPr="00F009ED">
        <w:rPr>
          <w:sz w:val="26"/>
          <w:szCs w:val="26"/>
          <w:lang w:val="uk-UA"/>
        </w:rPr>
        <w:t xml:space="preserve">% загального обсягу витрат бюджету міста, в тому числі на освіту – </w:t>
      </w:r>
      <w:r w:rsidR="00D250BF" w:rsidRPr="00F009ED">
        <w:rPr>
          <w:sz w:val="26"/>
          <w:szCs w:val="26"/>
          <w:lang w:val="uk-UA"/>
        </w:rPr>
        <w:t>1 708,2</w:t>
      </w:r>
      <w:r w:rsidRPr="00F009ED">
        <w:rPr>
          <w:sz w:val="26"/>
          <w:szCs w:val="26"/>
          <w:lang w:val="uk-UA"/>
        </w:rPr>
        <w:t xml:space="preserve"> млн.грн. (за рахунок освітньої субвенції з державного бюджету – </w:t>
      </w:r>
      <w:r w:rsidR="00D250BF" w:rsidRPr="00F009ED">
        <w:rPr>
          <w:sz w:val="26"/>
          <w:szCs w:val="26"/>
          <w:lang w:val="uk-UA"/>
        </w:rPr>
        <w:t>529</w:t>
      </w:r>
      <w:r w:rsidRPr="00F009ED">
        <w:rPr>
          <w:sz w:val="26"/>
          <w:szCs w:val="26"/>
          <w:lang w:val="uk-UA"/>
        </w:rPr>
        <w:t>,</w:t>
      </w:r>
      <w:r w:rsidR="00D250BF" w:rsidRPr="00F009ED">
        <w:rPr>
          <w:sz w:val="26"/>
          <w:szCs w:val="26"/>
          <w:lang w:val="uk-UA"/>
        </w:rPr>
        <w:t>9</w:t>
      </w:r>
      <w:r w:rsidRPr="00F009ED">
        <w:rPr>
          <w:sz w:val="26"/>
          <w:szCs w:val="26"/>
          <w:lang w:val="uk-UA"/>
        </w:rPr>
        <w:t xml:space="preserve"> млн.грн.), охорону здоров'я – </w:t>
      </w:r>
      <w:r w:rsidR="00D250BF" w:rsidRPr="00F009ED">
        <w:rPr>
          <w:sz w:val="26"/>
          <w:szCs w:val="26"/>
          <w:lang w:val="uk-UA"/>
        </w:rPr>
        <w:t>994,9</w:t>
      </w:r>
      <w:r w:rsidRPr="00F009ED">
        <w:rPr>
          <w:sz w:val="26"/>
          <w:szCs w:val="26"/>
          <w:lang w:val="uk-UA"/>
        </w:rPr>
        <w:t> млн.грн. (за рахунок медичної та інших цільових субвенцій з державного бюджет</w:t>
      </w:r>
      <w:r w:rsidR="00D250BF" w:rsidRPr="00F009ED">
        <w:rPr>
          <w:sz w:val="26"/>
          <w:szCs w:val="26"/>
          <w:lang w:val="uk-UA"/>
        </w:rPr>
        <w:t>у – 546,4</w:t>
      </w:r>
      <w:r w:rsidRPr="00F009ED">
        <w:rPr>
          <w:sz w:val="26"/>
          <w:szCs w:val="26"/>
          <w:lang w:val="uk-UA"/>
        </w:rPr>
        <w:t> тис.грн.), культуру –</w:t>
      </w:r>
      <w:r w:rsidR="00D250BF" w:rsidRPr="00F009ED">
        <w:rPr>
          <w:sz w:val="26"/>
          <w:szCs w:val="26"/>
          <w:lang w:val="uk-UA"/>
        </w:rPr>
        <w:t>53,7</w:t>
      </w:r>
      <w:r w:rsidRPr="00F009ED">
        <w:rPr>
          <w:sz w:val="26"/>
          <w:szCs w:val="26"/>
          <w:lang w:val="uk-UA"/>
        </w:rPr>
        <w:t xml:space="preserve"> млн.грн., фізичну культуру і спорт – </w:t>
      </w:r>
      <w:r w:rsidR="00D250BF" w:rsidRPr="00F009ED">
        <w:rPr>
          <w:sz w:val="26"/>
          <w:szCs w:val="26"/>
          <w:lang w:val="uk-UA"/>
        </w:rPr>
        <w:t>68,6</w:t>
      </w:r>
      <w:r w:rsidRPr="00F009ED">
        <w:rPr>
          <w:sz w:val="26"/>
          <w:szCs w:val="26"/>
          <w:lang w:val="uk-UA"/>
        </w:rPr>
        <w:t xml:space="preserve"> млн.грн., установи соціального захисту – </w:t>
      </w:r>
      <w:r w:rsidR="00D250BF" w:rsidRPr="00F009ED">
        <w:rPr>
          <w:sz w:val="26"/>
          <w:szCs w:val="26"/>
          <w:lang w:val="uk-UA"/>
        </w:rPr>
        <w:t>37,8</w:t>
      </w:r>
      <w:r w:rsidRPr="00F009ED">
        <w:rPr>
          <w:sz w:val="26"/>
          <w:szCs w:val="26"/>
          <w:lang w:val="uk-UA"/>
        </w:rPr>
        <w:t> млн.грн.</w:t>
      </w:r>
    </w:p>
    <w:p w:rsidR="00F06681" w:rsidRPr="00F009ED" w:rsidRDefault="00F06681" w:rsidP="00A92660">
      <w:pPr>
        <w:pStyle w:val="justifyfull"/>
        <w:spacing w:before="0" w:beforeAutospacing="0" w:after="0" w:afterAutospacing="0"/>
        <w:ind w:firstLine="709"/>
        <w:contextualSpacing/>
        <w:jc w:val="both"/>
        <w:rPr>
          <w:sz w:val="26"/>
          <w:szCs w:val="26"/>
          <w:lang w:val="uk-UA"/>
        </w:rPr>
      </w:pPr>
      <w:r w:rsidRPr="00F009ED">
        <w:rPr>
          <w:sz w:val="26"/>
          <w:szCs w:val="26"/>
          <w:lang w:val="uk-UA"/>
        </w:rPr>
        <w:t>За звітний період забезпечено:</w:t>
      </w:r>
    </w:p>
    <w:p w:rsidR="00372156" w:rsidRPr="00F009ED" w:rsidRDefault="00372156" w:rsidP="00D56BE5">
      <w:pPr>
        <w:pStyle w:val="justifyfull"/>
        <w:spacing w:before="0" w:beforeAutospacing="0" w:after="0" w:afterAutospacing="0"/>
        <w:ind w:left="1353"/>
        <w:contextualSpacing/>
        <w:jc w:val="both"/>
        <w:rPr>
          <w:i/>
          <w:sz w:val="26"/>
          <w:szCs w:val="26"/>
          <w:lang w:val="uk-UA"/>
        </w:rPr>
      </w:pPr>
      <w:r w:rsidRPr="00F009ED">
        <w:rPr>
          <w:i/>
          <w:sz w:val="26"/>
          <w:szCs w:val="26"/>
          <w:lang w:val="uk-UA"/>
        </w:rPr>
        <w:t>У сфері освіти</w:t>
      </w:r>
    </w:p>
    <w:p w:rsidR="00372156" w:rsidRPr="00F009ED" w:rsidRDefault="00372156" w:rsidP="00A92660">
      <w:pPr>
        <w:pStyle w:val="justifyfull"/>
        <w:numPr>
          <w:ilvl w:val="0"/>
          <w:numId w:val="24"/>
        </w:numPr>
        <w:spacing w:before="0" w:beforeAutospacing="0" w:after="0" w:afterAutospacing="0"/>
        <w:ind w:left="0" w:firstLine="709"/>
        <w:contextualSpacing/>
        <w:jc w:val="both"/>
        <w:rPr>
          <w:sz w:val="26"/>
          <w:szCs w:val="26"/>
          <w:lang w:val="uk-UA"/>
        </w:rPr>
      </w:pPr>
      <w:r w:rsidRPr="00F009ED">
        <w:rPr>
          <w:sz w:val="26"/>
          <w:szCs w:val="26"/>
          <w:lang w:val="uk-UA"/>
        </w:rPr>
        <w:t>Придба</w:t>
      </w:r>
      <w:r w:rsidR="009D56E0" w:rsidRPr="00F009ED">
        <w:rPr>
          <w:sz w:val="26"/>
          <w:szCs w:val="26"/>
          <w:lang w:val="uk-UA"/>
        </w:rPr>
        <w:t>н</w:t>
      </w:r>
      <w:r w:rsidRPr="00F009ED">
        <w:rPr>
          <w:sz w:val="26"/>
          <w:szCs w:val="26"/>
          <w:lang w:val="uk-UA"/>
        </w:rPr>
        <w:t>н</w:t>
      </w:r>
      <w:r w:rsidR="009D56E0" w:rsidRPr="00F009ED">
        <w:rPr>
          <w:sz w:val="26"/>
          <w:szCs w:val="26"/>
          <w:lang w:val="uk-UA"/>
        </w:rPr>
        <w:t>я</w:t>
      </w:r>
      <w:r w:rsidRPr="00F009ED">
        <w:rPr>
          <w:sz w:val="26"/>
          <w:szCs w:val="26"/>
          <w:lang w:val="uk-UA"/>
        </w:rPr>
        <w:t xml:space="preserve"> комплект</w:t>
      </w:r>
      <w:r w:rsidR="009D56E0" w:rsidRPr="00F009ED">
        <w:rPr>
          <w:sz w:val="26"/>
          <w:szCs w:val="26"/>
          <w:lang w:val="uk-UA"/>
        </w:rPr>
        <w:t>ів</w:t>
      </w:r>
      <w:r w:rsidRPr="00F009ED">
        <w:rPr>
          <w:sz w:val="26"/>
          <w:szCs w:val="26"/>
          <w:lang w:val="uk-UA"/>
        </w:rPr>
        <w:t xml:space="preserve"> пристроїв для проведення зовнішнього незалежного оцінювання для восьми загальноосвітніх шкіл, обладнання для облаштування </w:t>
      </w:r>
      <w:proofErr w:type="spellStart"/>
      <w:r w:rsidRPr="00F009ED">
        <w:rPr>
          <w:sz w:val="26"/>
          <w:szCs w:val="26"/>
          <w:lang w:val="uk-UA"/>
        </w:rPr>
        <w:t>медіатеки</w:t>
      </w:r>
      <w:proofErr w:type="spellEnd"/>
      <w:r w:rsidRPr="00F009ED">
        <w:rPr>
          <w:sz w:val="26"/>
          <w:szCs w:val="26"/>
          <w:lang w:val="uk-UA"/>
        </w:rPr>
        <w:t xml:space="preserve"> ЗОШ №97</w:t>
      </w:r>
      <w:r w:rsidR="00BE4A74" w:rsidRPr="00F009ED">
        <w:rPr>
          <w:sz w:val="26"/>
          <w:szCs w:val="26"/>
          <w:lang w:val="uk-UA"/>
        </w:rPr>
        <w:t>,  ноутбук</w:t>
      </w:r>
      <w:r w:rsidR="009D56E0" w:rsidRPr="00F009ED">
        <w:rPr>
          <w:sz w:val="26"/>
          <w:szCs w:val="26"/>
          <w:lang w:val="uk-UA"/>
        </w:rPr>
        <w:t>ів</w:t>
      </w:r>
      <w:r w:rsidR="005A339A" w:rsidRPr="00F009ED">
        <w:rPr>
          <w:sz w:val="26"/>
          <w:szCs w:val="26"/>
          <w:lang w:val="uk-UA"/>
        </w:rPr>
        <w:t xml:space="preserve"> у кількості 270 шт.</w:t>
      </w:r>
      <w:r w:rsidR="00BE4A74" w:rsidRPr="00F009ED">
        <w:rPr>
          <w:sz w:val="26"/>
          <w:szCs w:val="26"/>
          <w:lang w:val="uk-UA"/>
        </w:rPr>
        <w:t xml:space="preserve"> для</w:t>
      </w:r>
      <w:r w:rsidR="005A339A" w:rsidRPr="00F009ED">
        <w:rPr>
          <w:sz w:val="26"/>
          <w:szCs w:val="26"/>
          <w:lang w:val="uk-UA"/>
        </w:rPr>
        <w:t xml:space="preserve"> реалізації заходів</w:t>
      </w:r>
      <w:r w:rsidR="00BE4A74" w:rsidRPr="00F009ED">
        <w:rPr>
          <w:sz w:val="26"/>
          <w:szCs w:val="26"/>
          <w:lang w:val="uk-UA"/>
        </w:rPr>
        <w:t xml:space="preserve"> нової української школи, музичн</w:t>
      </w:r>
      <w:r w:rsidR="009D56E0" w:rsidRPr="00F009ED">
        <w:rPr>
          <w:sz w:val="26"/>
          <w:szCs w:val="26"/>
          <w:lang w:val="uk-UA"/>
        </w:rPr>
        <w:t>их</w:t>
      </w:r>
      <w:r w:rsidR="00BE4A74" w:rsidRPr="00F009ED">
        <w:rPr>
          <w:sz w:val="26"/>
          <w:szCs w:val="26"/>
          <w:lang w:val="uk-UA"/>
        </w:rPr>
        <w:t xml:space="preserve"> інструмент</w:t>
      </w:r>
      <w:r w:rsidR="009D56E0" w:rsidRPr="00F009ED">
        <w:rPr>
          <w:sz w:val="26"/>
          <w:szCs w:val="26"/>
          <w:lang w:val="uk-UA"/>
        </w:rPr>
        <w:t>ів</w:t>
      </w:r>
      <w:r w:rsidR="00BE4A74" w:rsidRPr="00F009ED">
        <w:rPr>
          <w:sz w:val="26"/>
          <w:szCs w:val="26"/>
          <w:lang w:val="uk-UA"/>
        </w:rPr>
        <w:t xml:space="preserve"> для шкіл естетичного вихо</w:t>
      </w:r>
      <w:r w:rsidR="00956A40" w:rsidRPr="00F009ED">
        <w:rPr>
          <w:sz w:val="26"/>
          <w:szCs w:val="26"/>
          <w:lang w:val="uk-UA"/>
        </w:rPr>
        <w:t>вання, інтерактивн</w:t>
      </w:r>
      <w:r w:rsidR="009D56E0" w:rsidRPr="00F009ED">
        <w:rPr>
          <w:sz w:val="26"/>
          <w:szCs w:val="26"/>
          <w:lang w:val="uk-UA"/>
        </w:rPr>
        <w:t>их</w:t>
      </w:r>
      <w:r w:rsidR="00956A40" w:rsidRPr="00F009ED">
        <w:rPr>
          <w:sz w:val="26"/>
          <w:szCs w:val="26"/>
          <w:lang w:val="uk-UA"/>
        </w:rPr>
        <w:t xml:space="preserve"> комплекс</w:t>
      </w:r>
      <w:r w:rsidR="009D56E0" w:rsidRPr="00F009ED">
        <w:rPr>
          <w:sz w:val="26"/>
          <w:szCs w:val="26"/>
          <w:lang w:val="uk-UA"/>
        </w:rPr>
        <w:t>ів</w:t>
      </w:r>
      <w:r w:rsidR="00956A40" w:rsidRPr="00F009ED">
        <w:rPr>
          <w:sz w:val="26"/>
          <w:szCs w:val="26"/>
          <w:lang w:val="uk-UA"/>
        </w:rPr>
        <w:t xml:space="preserve"> для учнів загальноосвітніх шкіл </w:t>
      </w:r>
      <w:r w:rsidRPr="00F009ED">
        <w:rPr>
          <w:sz w:val="26"/>
          <w:szCs w:val="26"/>
          <w:lang w:val="uk-UA"/>
        </w:rPr>
        <w:t xml:space="preserve">тощо на суму </w:t>
      </w:r>
      <w:r w:rsidR="00BE4A74" w:rsidRPr="00F009ED">
        <w:rPr>
          <w:sz w:val="26"/>
          <w:szCs w:val="26"/>
          <w:lang w:val="uk-UA"/>
        </w:rPr>
        <w:t>10,5</w:t>
      </w:r>
      <w:r w:rsidRPr="00F009ED">
        <w:rPr>
          <w:sz w:val="26"/>
          <w:szCs w:val="26"/>
          <w:lang w:val="uk-UA"/>
        </w:rPr>
        <w:t> млн.грн.</w:t>
      </w:r>
    </w:p>
    <w:p w:rsidR="009D56E0" w:rsidRPr="00F009ED" w:rsidRDefault="00372156" w:rsidP="00AE21FC">
      <w:pPr>
        <w:pStyle w:val="af1"/>
        <w:numPr>
          <w:ilvl w:val="0"/>
          <w:numId w:val="24"/>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Проведен</w:t>
      </w:r>
      <w:r w:rsidR="009D56E0" w:rsidRPr="00F009ED">
        <w:rPr>
          <w:rFonts w:ascii="Times New Roman" w:hAnsi="Times New Roman"/>
          <w:sz w:val="26"/>
          <w:szCs w:val="26"/>
          <w:lang w:val="uk-UA" w:eastAsia="ru-RU"/>
        </w:rPr>
        <w:t>ня</w:t>
      </w:r>
      <w:r w:rsidRPr="00F009ED">
        <w:rPr>
          <w:rFonts w:ascii="Times New Roman" w:hAnsi="Times New Roman"/>
          <w:sz w:val="26"/>
          <w:szCs w:val="26"/>
          <w:lang w:val="uk-UA" w:eastAsia="ru-RU"/>
        </w:rPr>
        <w:t xml:space="preserve"> поточних ремонтів на суму </w:t>
      </w:r>
      <w:r w:rsidR="00AE21FC" w:rsidRPr="00F009ED">
        <w:rPr>
          <w:rFonts w:ascii="Times New Roman" w:hAnsi="Times New Roman"/>
          <w:sz w:val="26"/>
          <w:szCs w:val="26"/>
          <w:lang w:val="uk-UA" w:eastAsia="ru-RU"/>
        </w:rPr>
        <w:t>12,7</w:t>
      </w:r>
      <w:r w:rsidRPr="00F009ED">
        <w:rPr>
          <w:rFonts w:ascii="Times New Roman" w:hAnsi="Times New Roman"/>
          <w:sz w:val="26"/>
          <w:szCs w:val="26"/>
          <w:lang w:val="uk-UA" w:eastAsia="ru-RU"/>
        </w:rPr>
        <w:t xml:space="preserve"> млн.грн., з яких ремонти </w:t>
      </w:r>
      <w:r w:rsidR="00956A40" w:rsidRPr="00F009ED">
        <w:rPr>
          <w:rFonts w:ascii="Times New Roman" w:hAnsi="Times New Roman"/>
          <w:sz w:val="26"/>
          <w:szCs w:val="26"/>
          <w:lang w:val="uk-UA" w:eastAsia="ru-RU"/>
        </w:rPr>
        <w:t>приміщень та інженерних мереж – 7,0 </w:t>
      </w:r>
      <w:r w:rsidRPr="00F009ED">
        <w:rPr>
          <w:rFonts w:ascii="Times New Roman" w:hAnsi="Times New Roman"/>
          <w:sz w:val="26"/>
          <w:szCs w:val="26"/>
          <w:lang w:val="uk-UA" w:eastAsia="ru-RU"/>
        </w:rPr>
        <w:t>млн.грн. (</w:t>
      </w:r>
      <w:r w:rsidR="00AE21FC" w:rsidRPr="00F009ED">
        <w:rPr>
          <w:rFonts w:ascii="Times New Roman" w:hAnsi="Times New Roman"/>
          <w:sz w:val="26"/>
          <w:szCs w:val="26"/>
          <w:lang w:val="uk-UA" w:eastAsia="ru-RU"/>
        </w:rPr>
        <w:t>8</w:t>
      </w:r>
      <w:r w:rsidR="00587F56" w:rsidRPr="00F009ED">
        <w:rPr>
          <w:rFonts w:ascii="Times New Roman" w:hAnsi="Times New Roman"/>
          <w:sz w:val="26"/>
          <w:szCs w:val="26"/>
          <w:lang w:val="uk-UA" w:eastAsia="ru-RU"/>
        </w:rPr>
        <w:t>8</w:t>
      </w:r>
      <w:r w:rsidR="00AE21FC" w:rsidRPr="00F009ED">
        <w:rPr>
          <w:rFonts w:ascii="Times New Roman" w:hAnsi="Times New Roman"/>
          <w:sz w:val="26"/>
          <w:szCs w:val="26"/>
          <w:lang w:val="uk-UA" w:eastAsia="ru-RU"/>
        </w:rPr>
        <w:t xml:space="preserve"> закладів</w:t>
      </w:r>
      <w:r w:rsidRPr="00F009ED">
        <w:rPr>
          <w:rFonts w:ascii="Times New Roman" w:hAnsi="Times New Roman"/>
          <w:sz w:val="26"/>
          <w:szCs w:val="26"/>
          <w:lang w:val="uk-UA" w:eastAsia="ru-RU"/>
        </w:rPr>
        <w:t xml:space="preserve">), покрівель – </w:t>
      </w:r>
      <w:r w:rsidR="00AE21FC" w:rsidRPr="00F009ED">
        <w:rPr>
          <w:rFonts w:ascii="Times New Roman" w:hAnsi="Times New Roman"/>
          <w:sz w:val="26"/>
          <w:szCs w:val="26"/>
          <w:lang w:val="uk-UA" w:eastAsia="ru-RU"/>
        </w:rPr>
        <w:t>5,7</w:t>
      </w:r>
      <w:r w:rsidRPr="00F009ED">
        <w:rPr>
          <w:rFonts w:ascii="Times New Roman" w:hAnsi="Times New Roman"/>
          <w:sz w:val="26"/>
          <w:szCs w:val="26"/>
          <w:lang w:val="uk-UA" w:eastAsia="ru-RU"/>
        </w:rPr>
        <w:t> млн.грн. (</w:t>
      </w:r>
      <w:r w:rsidR="00AE21FC" w:rsidRPr="00F009ED">
        <w:rPr>
          <w:rFonts w:ascii="Times New Roman" w:hAnsi="Times New Roman"/>
          <w:sz w:val="26"/>
          <w:szCs w:val="26"/>
          <w:lang w:val="uk-UA" w:eastAsia="ru-RU"/>
        </w:rPr>
        <w:t>67</w:t>
      </w:r>
      <w:r w:rsidRPr="00F009ED">
        <w:rPr>
          <w:rFonts w:ascii="Times New Roman" w:hAnsi="Times New Roman"/>
          <w:sz w:val="26"/>
          <w:szCs w:val="26"/>
          <w:lang w:val="uk-UA" w:eastAsia="ru-RU"/>
        </w:rPr>
        <w:t xml:space="preserve"> закладів). </w:t>
      </w:r>
    </w:p>
    <w:p w:rsidR="00372156" w:rsidRPr="00F009ED" w:rsidRDefault="009D56E0" w:rsidP="00AE21FC">
      <w:pPr>
        <w:pStyle w:val="af1"/>
        <w:numPr>
          <w:ilvl w:val="0"/>
          <w:numId w:val="24"/>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Виконання </w:t>
      </w:r>
      <w:r w:rsidR="00372156" w:rsidRPr="00F009ED">
        <w:rPr>
          <w:rFonts w:ascii="Times New Roman" w:hAnsi="Times New Roman"/>
          <w:sz w:val="26"/>
          <w:szCs w:val="26"/>
          <w:lang w:val="uk-UA" w:eastAsia="ru-RU"/>
        </w:rPr>
        <w:t>роб</w:t>
      </w:r>
      <w:r w:rsidR="007D719C" w:rsidRPr="00F009ED">
        <w:rPr>
          <w:rFonts w:ascii="Times New Roman" w:hAnsi="Times New Roman"/>
          <w:sz w:val="26"/>
          <w:szCs w:val="26"/>
          <w:lang w:val="uk-UA" w:eastAsia="ru-RU"/>
        </w:rPr>
        <w:t>і</w:t>
      </w:r>
      <w:r w:rsidR="00372156" w:rsidRPr="00F009ED">
        <w:rPr>
          <w:rFonts w:ascii="Times New Roman" w:hAnsi="Times New Roman"/>
          <w:sz w:val="26"/>
          <w:szCs w:val="26"/>
          <w:lang w:val="uk-UA" w:eastAsia="ru-RU"/>
        </w:rPr>
        <w:t xml:space="preserve">т з капітального ремонту на суму </w:t>
      </w:r>
      <w:r w:rsidR="009166E4" w:rsidRPr="00F009ED">
        <w:rPr>
          <w:rFonts w:ascii="Times New Roman" w:hAnsi="Times New Roman"/>
          <w:sz w:val="26"/>
          <w:szCs w:val="26"/>
          <w:lang w:val="uk-UA" w:eastAsia="ru-RU"/>
        </w:rPr>
        <w:t>7,4</w:t>
      </w:r>
      <w:r w:rsidR="00372156" w:rsidRPr="00F009ED">
        <w:rPr>
          <w:rFonts w:ascii="Times New Roman" w:hAnsi="Times New Roman"/>
          <w:sz w:val="26"/>
          <w:szCs w:val="26"/>
          <w:lang w:val="uk-UA" w:eastAsia="ru-RU"/>
        </w:rPr>
        <w:t xml:space="preserve"> млн.грн., будівництва і реконструкції – </w:t>
      </w:r>
      <w:r w:rsidR="009166E4" w:rsidRPr="00F009ED">
        <w:rPr>
          <w:rFonts w:ascii="Times New Roman" w:hAnsi="Times New Roman"/>
          <w:sz w:val="26"/>
          <w:szCs w:val="26"/>
          <w:lang w:val="uk-UA" w:eastAsia="ru-RU"/>
        </w:rPr>
        <w:t>7,6</w:t>
      </w:r>
      <w:r w:rsidR="00372156" w:rsidRPr="00F009ED">
        <w:rPr>
          <w:rFonts w:ascii="Times New Roman" w:hAnsi="Times New Roman"/>
          <w:sz w:val="26"/>
          <w:szCs w:val="26"/>
          <w:lang w:val="uk-UA" w:eastAsia="ru-RU"/>
        </w:rPr>
        <w:t> </w:t>
      </w:r>
      <w:proofErr w:type="spellStart"/>
      <w:r w:rsidR="00372156" w:rsidRPr="00F009ED">
        <w:rPr>
          <w:rFonts w:ascii="Times New Roman" w:hAnsi="Times New Roman"/>
          <w:sz w:val="26"/>
          <w:szCs w:val="26"/>
          <w:lang w:val="uk-UA" w:eastAsia="ru-RU"/>
        </w:rPr>
        <w:t>млн.грн</w:t>
      </w:r>
      <w:proofErr w:type="spellEnd"/>
      <w:r w:rsidR="00372156" w:rsidRPr="00F009ED">
        <w:rPr>
          <w:rFonts w:ascii="Times New Roman" w:hAnsi="Times New Roman"/>
          <w:sz w:val="26"/>
          <w:szCs w:val="26"/>
          <w:lang w:val="uk-UA" w:eastAsia="ru-RU"/>
        </w:rPr>
        <w:t xml:space="preserve">. </w:t>
      </w:r>
      <w:r w:rsidRPr="00F009ED">
        <w:rPr>
          <w:rFonts w:ascii="Times New Roman" w:hAnsi="Times New Roman"/>
          <w:sz w:val="26"/>
          <w:szCs w:val="26"/>
          <w:lang w:val="uk-UA" w:eastAsia="ru-RU"/>
        </w:rPr>
        <w:t xml:space="preserve">Роботи тривали у </w:t>
      </w:r>
      <w:r w:rsidR="006D14A7" w:rsidRPr="00F009ED">
        <w:rPr>
          <w:rFonts w:ascii="Times New Roman" w:hAnsi="Times New Roman"/>
          <w:sz w:val="26"/>
          <w:szCs w:val="26"/>
          <w:lang w:val="uk-UA" w:eastAsia="ru-RU"/>
        </w:rPr>
        <w:t xml:space="preserve">36 </w:t>
      </w:r>
      <w:r w:rsidRPr="00F009ED">
        <w:rPr>
          <w:rFonts w:ascii="Times New Roman" w:hAnsi="Times New Roman"/>
          <w:sz w:val="26"/>
          <w:szCs w:val="26"/>
          <w:lang w:val="uk-UA" w:eastAsia="ru-RU"/>
        </w:rPr>
        <w:t xml:space="preserve">закладах </w:t>
      </w:r>
    </w:p>
    <w:p w:rsidR="00372156" w:rsidRPr="00F009ED" w:rsidRDefault="00372156" w:rsidP="00D25A51">
      <w:pPr>
        <w:pStyle w:val="justifyfull"/>
        <w:spacing w:before="0" w:beforeAutospacing="0" w:after="0" w:afterAutospacing="0"/>
        <w:ind w:left="1353"/>
        <w:contextualSpacing/>
        <w:jc w:val="both"/>
        <w:rPr>
          <w:i/>
          <w:sz w:val="26"/>
          <w:szCs w:val="26"/>
          <w:lang w:val="uk-UA"/>
        </w:rPr>
      </w:pPr>
      <w:r w:rsidRPr="00F009ED">
        <w:rPr>
          <w:i/>
          <w:sz w:val="26"/>
          <w:szCs w:val="26"/>
          <w:lang w:val="uk-UA"/>
        </w:rPr>
        <w:t>У сфері охорони здоров’я</w:t>
      </w:r>
    </w:p>
    <w:p w:rsidR="00974027" w:rsidRPr="00F009ED" w:rsidRDefault="009D56E0" w:rsidP="009C308C">
      <w:pPr>
        <w:pStyle w:val="justifyfull"/>
        <w:numPr>
          <w:ilvl w:val="0"/>
          <w:numId w:val="24"/>
        </w:numPr>
        <w:spacing w:before="0" w:beforeAutospacing="0" w:after="0" w:afterAutospacing="0"/>
        <w:ind w:left="0" w:firstLine="709"/>
        <w:contextualSpacing/>
        <w:jc w:val="both"/>
        <w:rPr>
          <w:sz w:val="26"/>
          <w:szCs w:val="26"/>
          <w:lang w:val="uk-UA"/>
        </w:rPr>
      </w:pPr>
      <w:r w:rsidRPr="00F009ED">
        <w:rPr>
          <w:sz w:val="26"/>
          <w:szCs w:val="26"/>
          <w:lang w:val="uk-UA"/>
        </w:rPr>
        <w:t xml:space="preserve">відшкодування вартості лікарських засобів для осіб, що страждають на серцево-судинні захворювання, цукровий діабет II типу, бронхіальну астму </w:t>
      </w:r>
      <w:r w:rsidR="00974027" w:rsidRPr="00F009ED">
        <w:rPr>
          <w:sz w:val="26"/>
          <w:szCs w:val="26"/>
          <w:lang w:val="uk-UA"/>
        </w:rPr>
        <w:t xml:space="preserve">За </w:t>
      </w:r>
      <w:r w:rsidR="00974027" w:rsidRPr="00F009ED">
        <w:rPr>
          <w:sz w:val="26"/>
          <w:szCs w:val="26"/>
          <w:lang w:val="uk-UA"/>
        </w:rPr>
        <w:lastRenderedPageBreak/>
        <w:t>програмою «Доступні ліки» за рахунок відповідної субвенції з державного бюджету на загальну суму 13,3 </w:t>
      </w:r>
      <w:proofErr w:type="spellStart"/>
      <w:r w:rsidR="00974027" w:rsidRPr="00F009ED">
        <w:rPr>
          <w:sz w:val="26"/>
          <w:szCs w:val="26"/>
          <w:lang w:val="uk-UA"/>
        </w:rPr>
        <w:t>млн.грн</w:t>
      </w:r>
      <w:proofErr w:type="spellEnd"/>
      <w:r w:rsidR="00974027" w:rsidRPr="00F009ED">
        <w:rPr>
          <w:sz w:val="26"/>
          <w:szCs w:val="26"/>
          <w:lang w:val="uk-UA"/>
        </w:rPr>
        <w:t>. (понад 196,0 </w:t>
      </w:r>
      <w:proofErr w:type="spellStart"/>
      <w:r w:rsidR="00974027" w:rsidRPr="00F009ED">
        <w:rPr>
          <w:sz w:val="26"/>
          <w:szCs w:val="26"/>
          <w:lang w:val="uk-UA"/>
        </w:rPr>
        <w:t>тис.рецептів</w:t>
      </w:r>
      <w:proofErr w:type="spellEnd"/>
      <w:r w:rsidR="00974027" w:rsidRPr="00F009ED">
        <w:rPr>
          <w:sz w:val="26"/>
          <w:szCs w:val="26"/>
          <w:lang w:val="uk-UA"/>
        </w:rPr>
        <w:t xml:space="preserve">). </w:t>
      </w:r>
      <w:r w:rsidRPr="00F009ED">
        <w:rPr>
          <w:sz w:val="26"/>
          <w:szCs w:val="26"/>
          <w:lang w:val="uk-UA"/>
        </w:rPr>
        <w:t>Майже 4</w:t>
      </w:r>
      <w:r w:rsidR="007D719C" w:rsidRPr="00F009ED">
        <w:rPr>
          <w:sz w:val="26"/>
          <w:szCs w:val="26"/>
          <w:lang w:val="uk-UA"/>
        </w:rPr>
        <w:t> </w:t>
      </w:r>
      <w:r w:rsidRPr="00F009ED">
        <w:rPr>
          <w:sz w:val="26"/>
          <w:szCs w:val="26"/>
          <w:lang w:val="uk-UA"/>
        </w:rPr>
        <w:t>тис.</w:t>
      </w:r>
      <w:r w:rsidR="00974027" w:rsidRPr="00F009ED">
        <w:rPr>
          <w:sz w:val="26"/>
          <w:szCs w:val="26"/>
          <w:lang w:val="uk-UA"/>
        </w:rPr>
        <w:t xml:space="preserve"> хворих на цукровий діабет I типу забезпечені інсулінами, на що витрачено 16,3 млн.грн., з яких за рахунок коштів бюджету міста – 7,2 млн.грн.</w:t>
      </w:r>
    </w:p>
    <w:p w:rsidR="00974027" w:rsidRPr="00F009ED" w:rsidRDefault="009D56E0" w:rsidP="00974027">
      <w:pPr>
        <w:pStyle w:val="justifyfull"/>
        <w:numPr>
          <w:ilvl w:val="0"/>
          <w:numId w:val="24"/>
        </w:numPr>
        <w:spacing w:before="0" w:beforeAutospacing="0" w:after="0" w:afterAutospacing="0"/>
        <w:ind w:left="0" w:firstLine="709"/>
        <w:contextualSpacing/>
        <w:jc w:val="both"/>
        <w:rPr>
          <w:sz w:val="26"/>
          <w:szCs w:val="26"/>
          <w:lang w:val="uk-UA"/>
        </w:rPr>
      </w:pPr>
      <w:r w:rsidRPr="00F009ED">
        <w:rPr>
          <w:sz w:val="26"/>
          <w:szCs w:val="26"/>
          <w:lang w:val="uk-UA"/>
        </w:rPr>
        <w:t>забезпечення виробами медичного призначення б</w:t>
      </w:r>
      <w:r w:rsidR="00974027" w:rsidRPr="00F009ED">
        <w:rPr>
          <w:sz w:val="26"/>
          <w:szCs w:val="26"/>
          <w:lang w:val="uk-UA"/>
        </w:rPr>
        <w:t>ільше тисячі мешканців міста з числа інвалідів з ураженням опорно-рухового апарату та центральної і периферичної нервової системи та інших</w:t>
      </w:r>
      <w:r w:rsidR="00083774" w:rsidRPr="00F009ED">
        <w:rPr>
          <w:sz w:val="26"/>
          <w:szCs w:val="26"/>
          <w:lang w:val="uk-UA"/>
        </w:rPr>
        <w:t xml:space="preserve"> на</w:t>
      </w:r>
      <w:r w:rsidR="00974027" w:rsidRPr="00F009ED">
        <w:rPr>
          <w:sz w:val="26"/>
          <w:szCs w:val="26"/>
          <w:lang w:val="uk-UA"/>
        </w:rPr>
        <w:t xml:space="preserve"> загальну суму 6,9 </w:t>
      </w:r>
      <w:proofErr w:type="spellStart"/>
      <w:r w:rsidR="00974027" w:rsidRPr="00F009ED">
        <w:rPr>
          <w:sz w:val="26"/>
          <w:szCs w:val="26"/>
          <w:lang w:val="uk-UA"/>
        </w:rPr>
        <w:t>млн.грн</w:t>
      </w:r>
      <w:proofErr w:type="spellEnd"/>
      <w:r w:rsidR="00974027" w:rsidRPr="00F009ED">
        <w:rPr>
          <w:sz w:val="26"/>
          <w:szCs w:val="26"/>
          <w:lang w:val="uk-UA"/>
        </w:rPr>
        <w:t>. Зубопротезуванням на пільгових умовах охоплен</w:t>
      </w:r>
      <w:r w:rsidR="00642877" w:rsidRPr="00F009ED">
        <w:rPr>
          <w:sz w:val="26"/>
          <w:szCs w:val="26"/>
          <w:lang w:val="uk-UA"/>
        </w:rPr>
        <w:t>о</w:t>
      </w:r>
      <w:r w:rsidR="00974027" w:rsidRPr="00F009ED">
        <w:rPr>
          <w:sz w:val="26"/>
          <w:szCs w:val="26"/>
          <w:lang w:val="uk-UA"/>
        </w:rPr>
        <w:t xml:space="preserve"> 761 особ</w:t>
      </w:r>
      <w:r w:rsidR="00642877" w:rsidRPr="00F009ED">
        <w:rPr>
          <w:sz w:val="26"/>
          <w:szCs w:val="26"/>
          <w:lang w:val="uk-UA"/>
        </w:rPr>
        <w:t>у</w:t>
      </w:r>
      <w:r w:rsidR="00A81878" w:rsidRPr="00F009ED">
        <w:rPr>
          <w:sz w:val="26"/>
          <w:szCs w:val="26"/>
          <w:lang w:val="uk-UA"/>
        </w:rPr>
        <w:t xml:space="preserve"> з числа</w:t>
      </w:r>
      <w:r w:rsidR="00974027" w:rsidRPr="00F009ED">
        <w:rPr>
          <w:sz w:val="26"/>
          <w:szCs w:val="26"/>
          <w:lang w:val="uk-UA"/>
        </w:rPr>
        <w:t xml:space="preserve"> пільгових категорій (інваліди війни, учасники бойових дій та ін.).</w:t>
      </w:r>
    </w:p>
    <w:p w:rsidR="00974027" w:rsidRPr="00F009ED" w:rsidRDefault="00642877" w:rsidP="00974027">
      <w:pPr>
        <w:pStyle w:val="justifyfull"/>
        <w:numPr>
          <w:ilvl w:val="0"/>
          <w:numId w:val="24"/>
        </w:numPr>
        <w:spacing w:before="0" w:beforeAutospacing="0" w:after="0" w:afterAutospacing="0"/>
        <w:ind w:left="0" w:firstLine="709"/>
        <w:contextualSpacing/>
        <w:jc w:val="both"/>
        <w:rPr>
          <w:sz w:val="26"/>
          <w:szCs w:val="26"/>
          <w:lang w:val="uk-UA"/>
        </w:rPr>
      </w:pPr>
      <w:r w:rsidRPr="00F009ED">
        <w:rPr>
          <w:sz w:val="26"/>
          <w:szCs w:val="26"/>
          <w:lang w:val="uk-UA"/>
        </w:rPr>
        <w:t>придбання</w:t>
      </w:r>
      <w:r w:rsidR="00974027" w:rsidRPr="00F009ED">
        <w:rPr>
          <w:sz w:val="26"/>
          <w:szCs w:val="26"/>
          <w:lang w:val="uk-UA"/>
        </w:rPr>
        <w:t xml:space="preserve"> медичного обладнання на загальну суму 15,0 млн.грн., в тому числі </w:t>
      </w:r>
      <w:proofErr w:type="spellStart"/>
      <w:r w:rsidR="00974027" w:rsidRPr="00F009ED">
        <w:rPr>
          <w:sz w:val="26"/>
          <w:szCs w:val="26"/>
          <w:lang w:val="uk-UA"/>
        </w:rPr>
        <w:t>відеоендоскопічн</w:t>
      </w:r>
      <w:r w:rsidRPr="00F009ED">
        <w:rPr>
          <w:sz w:val="26"/>
          <w:szCs w:val="26"/>
          <w:lang w:val="uk-UA"/>
        </w:rPr>
        <w:t>ого</w:t>
      </w:r>
      <w:proofErr w:type="spellEnd"/>
      <w:r w:rsidR="00974027" w:rsidRPr="00F009ED">
        <w:rPr>
          <w:sz w:val="26"/>
          <w:szCs w:val="26"/>
          <w:lang w:val="uk-UA"/>
        </w:rPr>
        <w:t xml:space="preserve"> комплекс</w:t>
      </w:r>
      <w:r w:rsidRPr="00F009ED">
        <w:rPr>
          <w:sz w:val="26"/>
          <w:szCs w:val="26"/>
          <w:lang w:val="uk-UA"/>
        </w:rPr>
        <w:t>у</w:t>
      </w:r>
      <w:r w:rsidR="00974027" w:rsidRPr="00F009ED">
        <w:rPr>
          <w:sz w:val="26"/>
          <w:szCs w:val="26"/>
          <w:lang w:val="uk-UA"/>
        </w:rPr>
        <w:t xml:space="preserve"> для </w:t>
      </w:r>
      <w:proofErr w:type="spellStart"/>
      <w:r w:rsidR="00974027" w:rsidRPr="00F009ED">
        <w:rPr>
          <w:sz w:val="26"/>
          <w:szCs w:val="26"/>
          <w:lang w:val="uk-UA"/>
        </w:rPr>
        <w:t>малоінвазивних</w:t>
      </w:r>
      <w:proofErr w:type="spellEnd"/>
      <w:r w:rsidR="00974027" w:rsidRPr="00F009ED">
        <w:rPr>
          <w:sz w:val="26"/>
          <w:szCs w:val="26"/>
          <w:lang w:val="uk-UA"/>
        </w:rPr>
        <w:t xml:space="preserve"> операцій в урології</w:t>
      </w:r>
      <w:r w:rsidRPr="00F009ED">
        <w:rPr>
          <w:sz w:val="26"/>
          <w:szCs w:val="26"/>
          <w:lang w:val="uk-UA"/>
        </w:rPr>
        <w:t>,</w:t>
      </w:r>
      <w:r w:rsidR="00974027" w:rsidRPr="00F009ED">
        <w:rPr>
          <w:sz w:val="26"/>
          <w:szCs w:val="26"/>
          <w:lang w:val="uk-UA"/>
        </w:rPr>
        <w:t xml:space="preserve"> апарат</w:t>
      </w:r>
      <w:r w:rsidRPr="00F009ED">
        <w:rPr>
          <w:sz w:val="26"/>
          <w:szCs w:val="26"/>
          <w:lang w:val="uk-UA"/>
        </w:rPr>
        <w:t>у</w:t>
      </w:r>
      <w:r w:rsidR="00974027" w:rsidRPr="00F009ED">
        <w:rPr>
          <w:sz w:val="26"/>
          <w:szCs w:val="26"/>
          <w:lang w:val="uk-UA"/>
        </w:rPr>
        <w:t xml:space="preserve"> ультразвуковий діагностичний з </w:t>
      </w:r>
      <w:proofErr w:type="spellStart"/>
      <w:r w:rsidR="00974027" w:rsidRPr="00F009ED">
        <w:rPr>
          <w:sz w:val="26"/>
          <w:szCs w:val="26"/>
          <w:lang w:val="uk-UA"/>
        </w:rPr>
        <w:t>доплерівським</w:t>
      </w:r>
      <w:proofErr w:type="spellEnd"/>
      <w:r w:rsidR="00974027" w:rsidRPr="00F009ED">
        <w:rPr>
          <w:sz w:val="26"/>
          <w:szCs w:val="26"/>
          <w:lang w:val="uk-UA"/>
        </w:rPr>
        <w:t xml:space="preserve"> каналом, </w:t>
      </w:r>
      <w:proofErr w:type="spellStart"/>
      <w:r w:rsidR="00974027" w:rsidRPr="00F009ED">
        <w:rPr>
          <w:sz w:val="26"/>
          <w:szCs w:val="26"/>
          <w:lang w:val="uk-UA"/>
        </w:rPr>
        <w:t>комп’ютерн</w:t>
      </w:r>
      <w:r w:rsidRPr="00F009ED">
        <w:rPr>
          <w:sz w:val="26"/>
          <w:szCs w:val="26"/>
          <w:lang w:val="uk-UA"/>
        </w:rPr>
        <w:t>ого</w:t>
      </w:r>
      <w:r w:rsidR="00974027" w:rsidRPr="00F009ED">
        <w:rPr>
          <w:sz w:val="26"/>
          <w:szCs w:val="26"/>
          <w:lang w:val="uk-UA"/>
        </w:rPr>
        <w:t>томограф</w:t>
      </w:r>
      <w:r w:rsidRPr="00F009ED">
        <w:rPr>
          <w:sz w:val="26"/>
          <w:szCs w:val="26"/>
          <w:lang w:val="uk-UA"/>
        </w:rPr>
        <w:t>у</w:t>
      </w:r>
      <w:proofErr w:type="spellEnd"/>
      <w:r w:rsidR="00974027" w:rsidRPr="00F009ED">
        <w:rPr>
          <w:sz w:val="26"/>
          <w:szCs w:val="26"/>
          <w:lang w:val="uk-UA"/>
        </w:rPr>
        <w:t>, інкубатор</w:t>
      </w:r>
      <w:r w:rsidRPr="00F009ED">
        <w:rPr>
          <w:sz w:val="26"/>
          <w:szCs w:val="26"/>
          <w:lang w:val="uk-UA"/>
        </w:rPr>
        <w:t>у</w:t>
      </w:r>
      <w:r w:rsidR="00974027" w:rsidRPr="00F009ED">
        <w:rPr>
          <w:sz w:val="26"/>
          <w:szCs w:val="26"/>
          <w:lang w:val="uk-UA"/>
        </w:rPr>
        <w:t xml:space="preserve"> для новонароджених.</w:t>
      </w:r>
    </w:p>
    <w:p w:rsidR="00974027" w:rsidRPr="00F009ED" w:rsidRDefault="00642877" w:rsidP="00974027">
      <w:pPr>
        <w:pStyle w:val="justifyfull"/>
        <w:numPr>
          <w:ilvl w:val="0"/>
          <w:numId w:val="24"/>
        </w:numPr>
        <w:spacing w:before="0" w:beforeAutospacing="0" w:after="0" w:afterAutospacing="0"/>
        <w:ind w:left="0" w:firstLine="709"/>
        <w:contextualSpacing/>
        <w:jc w:val="both"/>
        <w:rPr>
          <w:sz w:val="26"/>
          <w:szCs w:val="26"/>
          <w:lang w:val="uk-UA"/>
        </w:rPr>
      </w:pPr>
      <w:r w:rsidRPr="00F009ED">
        <w:rPr>
          <w:sz w:val="26"/>
          <w:szCs w:val="26"/>
          <w:lang w:val="uk-UA"/>
        </w:rPr>
        <w:t xml:space="preserve">проведення </w:t>
      </w:r>
      <w:r w:rsidR="00974027" w:rsidRPr="00F009ED">
        <w:rPr>
          <w:sz w:val="26"/>
          <w:szCs w:val="26"/>
          <w:lang w:val="uk-UA"/>
        </w:rPr>
        <w:t>роб</w:t>
      </w:r>
      <w:r w:rsidRPr="00F009ED">
        <w:rPr>
          <w:sz w:val="26"/>
          <w:szCs w:val="26"/>
          <w:lang w:val="uk-UA"/>
        </w:rPr>
        <w:t>іт</w:t>
      </w:r>
      <w:r w:rsidR="00974027" w:rsidRPr="00F009ED">
        <w:rPr>
          <w:sz w:val="26"/>
          <w:szCs w:val="26"/>
          <w:lang w:val="uk-UA"/>
        </w:rPr>
        <w:t xml:space="preserve"> з капітального ремонту у 8-ми та робіт з реконструкції у 6-ти лікувально-профілактичних закладах, з яких завершені роботи з капітального ремонту приміщень амбулаторій </w:t>
      </w:r>
      <w:proofErr w:type="spellStart"/>
      <w:r w:rsidR="00974027" w:rsidRPr="00F009ED">
        <w:rPr>
          <w:sz w:val="26"/>
          <w:szCs w:val="26"/>
          <w:lang w:val="uk-UA"/>
        </w:rPr>
        <w:t>КЗ</w:t>
      </w:r>
      <w:proofErr w:type="spellEnd"/>
      <w:r w:rsidR="00974027" w:rsidRPr="00F009ED">
        <w:rPr>
          <w:sz w:val="26"/>
          <w:szCs w:val="26"/>
          <w:lang w:val="uk-UA"/>
        </w:rPr>
        <w:t xml:space="preserve"> "Центр первинної медико-санітарної допомоги №9", реконструкції </w:t>
      </w:r>
      <w:proofErr w:type="spellStart"/>
      <w:r w:rsidR="00974027" w:rsidRPr="00F009ED">
        <w:rPr>
          <w:sz w:val="26"/>
          <w:szCs w:val="26"/>
          <w:lang w:val="uk-UA"/>
        </w:rPr>
        <w:t>КЗ</w:t>
      </w:r>
      <w:proofErr w:type="spellEnd"/>
      <w:r w:rsidR="00974027" w:rsidRPr="00F009ED">
        <w:rPr>
          <w:sz w:val="26"/>
          <w:szCs w:val="26"/>
          <w:lang w:val="uk-UA"/>
        </w:rPr>
        <w:t xml:space="preserve"> "Амбулаторія сімейного лікаря з вбудованою квартирою у селищі Тепличне в Шевченківському районі". У 7-ми закладах проводились коригування проектної документації та експертиза проектів.</w:t>
      </w:r>
    </w:p>
    <w:p w:rsidR="00590320" w:rsidRPr="00F009ED" w:rsidRDefault="00590320" w:rsidP="00590320">
      <w:pPr>
        <w:pStyle w:val="justifyfull"/>
        <w:numPr>
          <w:ilvl w:val="0"/>
          <w:numId w:val="15"/>
        </w:numPr>
        <w:spacing w:before="0" w:beforeAutospacing="0" w:after="0" w:afterAutospacing="0"/>
        <w:ind w:left="0" w:firstLine="708"/>
        <w:jc w:val="both"/>
        <w:rPr>
          <w:sz w:val="26"/>
          <w:szCs w:val="26"/>
          <w:lang w:val="uk-UA"/>
        </w:rPr>
      </w:pPr>
      <w:r w:rsidRPr="00F009ED">
        <w:rPr>
          <w:sz w:val="26"/>
          <w:szCs w:val="26"/>
          <w:lang w:val="uk-UA"/>
        </w:rPr>
        <w:t>На реалізацію державних та міських програм соціального захисту з бюджету міста направлено кошти у розмірі 1 631,1 млн.грн. або 74,5% до плану на звітний період, з яких за рахунок відповідних субвенцій з державного бюджету – 1 488,6 млн.грн.</w:t>
      </w:r>
      <w:r w:rsidR="00642877" w:rsidRPr="00F009ED">
        <w:rPr>
          <w:sz w:val="26"/>
          <w:szCs w:val="26"/>
          <w:lang w:val="uk-UA"/>
        </w:rPr>
        <w:t xml:space="preserve"> або </w:t>
      </w:r>
      <w:r w:rsidR="007D719C" w:rsidRPr="00F009ED">
        <w:rPr>
          <w:sz w:val="26"/>
          <w:szCs w:val="26"/>
          <w:lang w:val="uk-UA"/>
        </w:rPr>
        <w:t xml:space="preserve">94,9 </w:t>
      </w:r>
      <w:r w:rsidR="00642877" w:rsidRPr="00F009ED">
        <w:rPr>
          <w:sz w:val="26"/>
          <w:szCs w:val="26"/>
          <w:lang w:val="uk-UA"/>
        </w:rPr>
        <w:t>% плану.</w:t>
      </w:r>
    </w:p>
    <w:p w:rsidR="00590320" w:rsidRPr="00F009ED" w:rsidRDefault="00590320" w:rsidP="00D25A51">
      <w:pPr>
        <w:pStyle w:val="justifyfull"/>
        <w:spacing w:before="0" w:beforeAutospacing="0" w:after="0" w:afterAutospacing="0"/>
        <w:ind w:firstLine="708"/>
        <w:jc w:val="both"/>
        <w:rPr>
          <w:sz w:val="26"/>
          <w:szCs w:val="26"/>
          <w:lang w:val="uk-UA"/>
        </w:rPr>
      </w:pPr>
      <w:r w:rsidRPr="00F009ED">
        <w:rPr>
          <w:sz w:val="26"/>
          <w:szCs w:val="26"/>
          <w:lang w:val="uk-UA"/>
        </w:rPr>
        <w:t xml:space="preserve">Кошти субвенцій спрямовані на надання пільг і субсидій населенню при оплаті електроенергії, природного газу, послуг </w:t>
      </w:r>
      <w:proofErr w:type="spellStart"/>
      <w:r w:rsidRPr="00F009ED">
        <w:rPr>
          <w:sz w:val="26"/>
          <w:szCs w:val="26"/>
          <w:lang w:val="uk-UA"/>
        </w:rPr>
        <w:t>тепло-</w:t>
      </w:r>
      <w:proofErr w:type="spellEnd"/>
      <w:r w:rsidRPr="00F009ED">
        <w:rPr>
          <w:sz w:val="26"/>
          <w:szCs w:val="26"/>
          <w:lang w:val="uk-UA"/>
        </w:rPr>
        <w:t>, водопостачання і водовідведення, квартирної плати, вивезення побутового сміття та рідких нечистот, твердого та рідкого пічного побутового палива і скрапленого газу – 950,4 млн.грн., надання допомоги сім’ям з дітьми, малозабезпеченим сім’ям, інвалідам з дитинства, дітям-інвалідам, тимчасової державної допомоги дітям у сумі 533,6 млн.грн., виплату державної соціальної допомоги на дітей-сиріт та дітей, позбавлених батьківського піклування в рамках програми «Гроші ходять за дитиною» - 2,4 </w:t>
      </w:r>
      <w:proofErr w:type="spellStart"/>
      <w:r w:rsidRPr="00F009ED">
        <w:rPr>
          <w:sz w:val="26"/>
          <w:szCs w:val="26"/>
          <w:lang w:val="uk-UA"/>
        </w:rPr>
        <w:t>млн.грн</w:t>
      </w:r>
      <w:proofErr w:type="spellEnd"/>
      <w:r w:rsidRPr="00F009ED">
        <w:rPr>
          <w:sz w:val="26"/>
          <w:szCs w:val="26"/>
          <w:lang w:val="uk-UA"/>
        </w:rPr>
        <w:t>.,</w:t>
      </w:r>
      <w:r w:rsidR="00D25A51" w:rsidRPr="00F009ED">
        <w:rPr>
          <w:sz w:val="26"/>
          <w:szCs w:val="26"/>
          <w:lang w:val="uk-UA"/>
        </w:rPr>
        <w:t xml:space="preserve">на придбання квартир: для сім’ї особи з інвалідністю, яка брала участь у бойових діях на території іншої держави та сім’ї загиблого військовослужбовця, який брав безпосередню участь в антитерористичній </w:t>
      </w:r>
      <w:proofErr w:type="spellStart"/>
      <w:r w:rsidR="00D25A51" w:rsidRPr="00F009ED">
        <w:rPr>
          <w:sz w:val="26"/>
          <w:szCs w:val="26"/>
          <w:lang w:val="uk-UA"/>
        </w:rPr>
        <w:t>аперації</w:t>
      </w:r>
      <w:proofErr w:type="spellEnd"/>
      <w:r w:rsidRPr="00F009ED">
        <w:rPr>
          <w:sz w:val="26"/>
          <w:szCs w:val="26"/>
          <w:lang w:val="uk-UA"/>
        </w:rPr>
        <w:t xml:space="preserve"> – 2,2 </w:t>
      </w:r>
      <w:proofErr w:type="spellStart"/>
      <w:r w:rsidRPr="00F009ED">
        <w:rPr>
          <w:sz w:val="26"/>
          <w:szCs w:val="26"/>
          <w:lang w:val="uk-UA"/>
        </w:rPr>
        <w:t>млн.грн</w:t>
      </w:r>
      <w:proofErr w:type="spellEnd"/>
      <w:r w:rsidRPr="00F009ED">
        <w:rPr>
          <w:sz w:val="26"/>
          <w:szCs w:val="26"/>
          <w:lang w:val="uk-UA"/>
        </w:rPr>
        <w:t>.</w:t>
      </w:r>
    </w:p>
    <w:p w:rsidR="00590320" w:rsidRPr="00F009ED" w:rsidRDefault="00590320" w:rsidP="00590320">
      <w:pPr>
        <w:pStyle w:val="justifyfull"/>
        <w:spacing w:before="0" w:beforeAutospacing="0" w:after="0" w:afterAutospacing="0"/>
        <w:ind w:firstLine="708"/>
        <w:jc w:val="both"/>
        <w:rPr>
          <w:sz w:val="26"/>
          <w:szCs w:val="26"/>
          <w:lang w:val="uk-UA"/>
        </w:rPr>
      </w:pPr>
      <w:r w:rsidRPr="00F009ED">
        <w:rPr>
          <w:sz w:val="26"/>
          <w:szCs w:val="26"/>
          <w:lang w:val="uk-UA"/>
        </w:rPr>
        <w:t xml:space="preserve">Вагомою статтею видатків на соціальний захист населення міста є компенсаційні виплати перевізникам за пільговий проїзд громадян різними видами транспорту. За </w:t>
      </w:r>
      <w:r w:rsidR="00642877" w:rsidRPr="00F009ED">
        <w:rPr>
          <w:sz w:val="26"/>
          <w:szCs w:val="26"/>
          <w:lang w:val="uk-UA"/>
        </w:rPr>
        <w:t>звітний період</w:t>
      </w:r>
      <w:r w:rsidRPr="00F009ED">
        <w:rPr>
          <w:sz w:val="26"/>
          <w:szCs w:val="26"/>
          <w:lang w:val="uk-UA"/>
        </w:rPr>
        <w:t xml:space="preserve"> видатки бюджету міста на вказані цілі склали 102,0 млн.грн. </w:t>
      </w:r>
    </w:p>
    <w:p w:rsidR="00642877" w:rsidRPr="00F009ED" w:rsidRDefault="00642877" w:rsidP="00642877">
      <w:pPr>
        <w:pStyle w:val="justifyfull"/>
        <w:spacing w:before="0" w:beforeAutospacing="0" w:after="0" w:afterAutospacing="0"/>
        <w:ind w:firstLine="708"/>
        <w:jc w:val="both"/>
        <w:rPr>
          <w:sz w:val="26"/>
          <w:szCs w:val="26"/>
          <w:lang w:val="uk-UA"/>
        </w:rPr>
      </w:pPr>
      <w:r w:rsidRPr="00F009ED">
        <w:rPr>
          <w:sz w:val="26"/>
          <w:szCs w:val="26"/>
          <w:lang w:val="uk-UA"/>
        </w:rPr>
        <w:t>Також, на надання пільг на послуги зв’язку та інших, передбачених законодавством пільг з бюджету міста спрямовано 2,6 млн.грн. Цими пільгами скористалося понад 4,0 </w:t>
      </w:r>
      <w:proofErr w:type="spellStart"/>
      <w:r w:rsidRPr="00F009ED">
        <w:rPr>
          <w:sz w:val="26"/>
          <w:szCs w:val="26"/>
          <w:lang w:val="uk-UA"/>
        </w:rPr>
        <w:t>тис.чол</w:t>
      </w:r>
      <w:proofErr w:type="spellEnd"/>
      <w:r w:rsidRPr="00F009ED">
        <w:rPr>
          <w:sz w:val="26"/>
          <w:szCs w:val="26"/>
          <w:lang w:val="uk-UA"/>
        </w:rPr>
        <w:t xml:space="preserve">. </w:t>
      </w:r>
    </w:p>
    <w:p w:rsidR="00590320" w:rsidRPr="00F009ED" w:rsidRDefault="00590320" w:rsidP="00590320">
      <w:pPr>
        <w:pStyle w:val="justifyfull"/>
        <w:spacing w:before="0" w:beforeAutospacing="0" w:after="0" w:afterAutospacing="0"/>
        <w:ind w:firstLine="708"/>
        <w:jc w:val="both"/>
        <w:rPr>
          <w:sz w:val="26"/>
          <w:szCs w:val="26"/>
          <w:lang w:val="uk-UA"/>
        </w:rPr>
      </w:pPr>
      <w:r w:rsidRPr="00F009ED">
        <w:rPr>
          <w:sz w:val="26"/>
          <w:szCs w:val="26"/>
          <w:lang w:val="uk-UA"/>
        </w:rPr>
        <w:t>В ході реалізації Міської комплексної програми соціального захисту населення міста Запоріжжя матеріальну допомогу отримали 26,6 тис.</w:t>
      </w:r>
      <w:r w:rsidR="00D56BE5" w:rsidRPr="00F009ED">
        <w:rPr>
          <w:sz w:val="26"/>
          <w:szCs w:val="26"/>
          <w:lang w:val="uk-UA"/>
        </w:rPr>
        <w:t> </w:t>
      </w:r>
      <w:r w:rsidRPr="00F009ED">
        <w:rPr>
          <w:sz w:val="26"/>
          <w:szCs w:val="26"/>
          <w:lang w:val="uk-UA"/>
        </w:rPr>
        <w:t>мешканців міста</w:t>
      </w:r>
      <w:r w:rsidR="00D67331" w:rsidRPr="00F009ED">
        <w:rPr>
          <w:sz w:val="26"/>
          <w:szCs w:val="26"/>
          <w:lang w:val="uk-UA"/>
        </w:rPr>
        <w:t xml:space="preserve"> на загальну суму 33,2 </w:t>
      </w:r>
      <w:r w:rsidRPr="00F009ED">
        <w:rPr>
          <w:sz w:val="26"/>
          <w:szCs w:val="26"/>
          <w:lang w:val="uk-UA"/>
        </w:rPr>
        <w:t>млн.грн.</w:t>
      </w:r>
      <w:r w:rsidR="00D414B4" w:rsidRPr="00F009ED">
        <w:rPr>
          <w:sz w:val="26"/>
          <w:szCs w:val="26"/>
          <w:lang w:val="uk-UA"/>
        </w:rPr>
        <w:t xml:space="preserve">, з яких за рахунок коштів депутатського фонду </w:t>
      </w:r>
      <w:r w:rsidR="00822F54" w:rsidRPr="00F009ED">
        <w:rPr>
          <w:sz w:val="26"/>
          <w:szCs w:val="26"/>
          <w:lang w:val="uk-UA"/>
        </w:rPr>
        <w:t>–</w:t>
      </w:r>
      <w:r w:rsidR="00D414B4" w:rsidRPr="00F009ED">
        <w:rPr>
          <w:sz w:val="26"/>
          <w:szCs w:val="26"/>
          <w:lang w:val="uk-UA"/>
        </w:rPr>
        <w:t xml:space="preserve"> </w:t>
      </w:r>
      <w:r w:rsidR="00822F54" w:rsidRPr="00F009ED">
        <w:rPr>
          <w:sz w:val="26"/>
          <w:szCs w:val="26"/>
          <w:lang w:val="uk-UA"/>
        </w:rPr>
        <w:t>15,5 млн.грн.</w:t>
      </w:r>
      <w:r w:rsidRPr="00F009ED">
        <w:rPr>
          <w:sz w:val="26"/>
          <w:szCs w:val="26"/>
          <w:lang w:val="uk-UA"/>
        </w:rPr>
        <w:t xml:space="preserve"> </w:t>
      </w:r>
    </w:p>
    <w:p w:rsidR="00590320" w:rsidRPr="00F009ED" w:rsidRDefault="00590320" w:rsidP="00590320">
      <w:pPr>
        <w:pStyle w:val="justifyfull"/>
        <w:spacing w:before="0" w:beforeAutospacing="0" w:after="0" w:afterAutospacing="0"/>
        <w:ind w:firstLine="708"/>
        <w:jc w:val="both"/>
        <w:rPr>
          <w:sz w:val="26"/>
          <w:szCs w:val="26"/>
          <w:lang w:val="uk-UA"/>
        </w:rPr>
      </w:pPr>
      <w:r w:rsidRPr="00F009ED">
        <w:rPr>
          <w:sz w:val="26"/>
          <w:szCs w:val="26"/>
          <w:lang w:val="uk-UA"/>
        </w:rPr>
        <w:t>Виплати грошової компенсації фізичним особам, які надають соціальні послуги громадянам похилого віку, інвалідам, хворим, які не здатні до самообслуговування та потребують сторонньої допомоги, склали 2,9 млн.грн</w:t>
      </w:r>
      <w:r w:rsidR="00D56BE5" w:rsidRPr="00F009ED">
        <w:rPr>
          <w:sz w:val="26"/>
          <w:szCs w:val="26"/>
          <w:lang w:val="uk-UA"/>
        </w:rPr>
        <w:t>.</w:t>
      </w:r>
    </w:p>
    <w:p w:rsidR="00590320" w:rsidRPr="00F009ED" w:rsidRDefault="00590320" w:rsidP="00590320">
      <w:pPr>
        <w:pStyle w:val="justifyfull"/>
        <w:spacing w:before="0" w:beforeAutospacing="0" w:after="0" w:afterAutospacing="0"/>
        <w:ind w:firstLine="708"/>
        <w:jc w:val="both"/>
        <w:rPr>
          <w:sz w:val="26"/>
          <w:szCs w:val="26"/>
          <w:lang w:val="uk-UA"/>
        </w:rPr>
      </w:pPr>
      <w:r w:rsidRPr="00F009ED">
        <w:rPr>
          <w:sz w:val="26"/>
          <w:szCs w:val="26"/>
          <w:lang w:val="uk-UA"/>
        </w:rPr>
        <w:lastRenderedPageBreak/>
        <w:t xml:space="preserve">На підтримку </w:t>
      </w:r>
      <w:r w:rsidR="002B33DB" w:rsidRPr="00F009ED">
        <w:rPr>
          <w:sz w:val="26"/>
          <w:szCs w:val="26"/>
          <w:lang w:val="uk-UA"/>
        </w:rPr>
        <w:t>6 міських та 19 районних організацій осіб з інвалідністю та ветеранів</w:t>
      </w:r>
      <w:r w:rsidR="002B33DB" w:rsidRPr="00F009ED" w:rsidDel="006F24D3">
        <w:rPr>
          <w:sz w:val="26"/>
          <w:szCs w:val="26"/>
          <w:lang w:val="uk-UA"/>
        </w:rPr>
        <w:t xml:space="preserve"> </w:t>
      </w:r>
      <w:r w:rsidR="002B33DB" w:rsidRPr="00F009ED">
        <w:rPr>
          <w:sz w:val="26"/>
          <w:szCs w:val="26"/>
          <w:lang w:val="uk-UA"/>
        </w:rPr>
        <w:t>спрямовано 1,8 </w:t>
      </w:r>
      <w:proofErr w:type="spellStart"/>
      <w:r w:rsidR="002B33DB" w:rsidRPr="00F009ED">
        <w:rPr>
          <w:sz w:val="26"/>
          <w:szCs w:val="26"/>
          <w:lang w:val="uk-UA"/>
        </w:rPr>
        <w:t>млн.грн</w:t>
      </w:r>
      <w:proofErr w:type="spellEnd"/>
      <w:r w:rsidR="002B33DB" w:rsidRPr="00F009ED">
        <w:rPr>
          <w:sz w:val="26"/>
          <w:szCs w:val="26"/>
          <w:lang w:val="uk-UA"/>
        </w:rPr>
        <w:t xml:space="preserve">., чим забезпечено їх статутну діяльність </w:t>
      </w:r>
      <w:r w:rsidRPr="00F009ED">
        <w:rPr>
          <w:sz w:val="26"/>
          <w:szCs w:val="26"/>
          <w:lang w:val="uk-UA"/>
        </w:rPr>
        <w:t xml:space="preserve">ветеранських організацій міста витрачено 1,8 млн.грн. </w:t>
      </w:r>
    </w:p>
    <w:p w:rsidR="00534DA1" w:rsidRPr="00F009ED" w:rsidRDefault="00534DA1" w:rsidP="00534DA1">
      <w:pPr>
        <w:pStyle w:val="justifyfull"/>
        <w:numPr>
          <w:ilvl w:val="0"/>
          <w:numId w:val="15"/>
        </w:numPr>
        <w:spacing w:before="0" w:beforeAutospacing="0" w:after="0" w:afterAutospacing="0"/>
        <w:ind w:left="0" w:firstLine="708"/>
        <w:jc w:val="both"/>
        <w:rPr>
          <w:sz w:val="26"/>
          <w:szCs w:val="26"/>
          <w:lang w:val="uk-UA"/>
        </w:rPr>
      </w:pPr>
      <w:r w:rsidRPr="00F009ED">
        <w:rPr>
          <w:sz w:val="26"/>
          <w:szCs w:val="26"/>
          <w:lang w:val="uk-UA"/>
        </w:rPr>
        <w:t>Видатки на житлово-комунальне та дорожнє господарство склали 973,0 </w:t>
      </w:r>
      <w:proofErr w:type="spellStart"/>
      <w:r w:rsidRPr="00F009ED">
        <w:rPr>
          <w:sz w:val="26"/>
          <w:szCs w:val="26"/>
          <w:lang w:val="uk-UA"/>
        </w:rPr>
        <w:t>млн</w:t>
      </w:r>
      <w:proofErr w:type="spellEnd"/>
      <w:r w:rsidRPr="00F009ED">
        <w:rPr>
          <w:sz w:val="26"/>
          <w:szCs w:val="26"/>
          <w:lang w:val="uk-UA"/>
        </w:rPr>
        <w:t xml:space="preserve"> </w:t>
      </w:r>
      <w:proofErr w:type="spellStart"/>
      <w:r w:rsidRPr="00F009ED">
        <w:rPr>
          <w:sz w:val="26"/>
          <w:szCs w:val="26"/>
          <w:lang w:val="uk-UA"/>
        </w:rPr>
        <w:t>грн</w:t>
      </w:r>
      <w:proofErr w:type="spellEnd"/>
      <w:r w:rsidRPr="00F009ED">
        <w:rPr>
          <w:sz w:val="26"/>
          <w:szCs w:val="26"/>
          <w:lang w:val="uk-UA"/>
        </w:rPr>
        <w:t xml:space="preserve">, планові показники відповідного періоду виконані на 74,4%. </w:t>
      </w:r>
    </w:p>
    <w:p w:rsidR="00D56BE5" w:rsidRPr="00F009ED" w:rsidRDefault="00D56BE5" w:rsidP="00534DA1">
      <w:pPr>
        <w:pStyle w:val="justifyfull"/>
        <w:spacing w:before="0" w:beforeAutospacing="0" w:after="0" w:afterAutospacing="0"/>
        <w:ind w:firstLine="708"/>
        <w:jc w:val="both"/>
        <w:rPr>
          <w:rFonts w:eastAsia="Calibri"/>
          <w:sz w:val="26"/>
          <w:szCs w:val="26"/>
          <w:lang w:val="uk-UA"/>
        </w:rPr>
      </w:pPr>
      <w:r w:rsidRPr="00F009ED">
        <w:rPr>
          <w:rFonts w:eastAsia="Calibri"/>
          <w:sz w:val="26"/>
          <w:szCs w:val="26"/>
          <w:lang w:val="uk-UA"/>
        </w:rPr>
        <w:t>За рахунок зазначених коштів:</w:t>
      </w:r>
    </w:p>
    <w:p w:rsidR="004203F9" w:rsidRPr="00F009ED" w:rsidRDefault="00534DA1" w:rsidP="002B33DB">
      <w:pPr>
        <w:pStyle w:val="justifyfull"/>
        <w:spacing w:before="0" w:beforeAutospacing="0" w:after="0" w:afterAutospacing="0"/>
        <w:ind w:left="426"/>
        <w:contextualSpacing/>
        <w:jc w:val="both"/>
        <w:rPr>
          <w:i/>
          <w:sz w:val="26"/>
          <w:szCs w:val="26"/>
          <w:lang w:val="uk-UA"/>
        </w:rPr>
      </w:pPr>
      <w:r w:rsidRPr="00F009ED">
        <w:rPr>
          <w:i/>
          <w:sz w:val="26"/>
          <w:szCs w:val="26"/>
          <w:lang w:val="uk-UA"/>
        </w:rPr>
        <w:t>У сфері житлово-комунального господарства</w:t>
      </w:r>
      <w:r w:rsidR="00B927CC" w:rsidRPr="00F009ED">
        <w:rPr>
          <w:i/>
          <w:sz w:val="26"/>
          <w:szCs w:val="26"/>
          <w:lang w:val="uk-UA"/>
        </w:rPr>
        <w:t xml:space="preserve"> (витрачено 548,2 млн.грн.)</w:t>
      </w:r>
    </w:p>
    <w:p w:rsidR="00D414B4" w:rsidRPr="00F009ED" w:rsidRDefault="00D414B4" w:rsidP="00D414B4">
      <w:pPr>
        <w:pStyle w:val="af1"/>
        <w:numPr>
          <w:ilvl w:val="0"/>
          <w:numId w:val="20"/>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Проведено капітальний ремонт житлового фонду комунальної власності міста та об’єднань співвласників багатоквартирних будинків на суму 211,6 млн.грн. Завершено вибірковий капітальний ремонт 105 житлових будинків, проведено заміну інженерних мереж в 44 будинках, виконано роботи з капітального ремонту</w:t>
      </w:r>
      <w:r w:rsidR="002B33DB" w:rsidRPr="00F009ED">
        <w:rPr>
          <w:rFonts w:ascii="Times New Roman" w:hAnsi="Times New Roman"/>
          <w:sz w:val="26"/>
          <w:szCs w:val="26"/>
          <w:lang w:val="uk-UA" w:eastAsia="ru-RU"/>
        </w:rPr>
        <w:t xml:space="preserve"> </w:t>
      </w:r>
      <w:r w:rsidRPr="00F009ED">
        <w:rPr>
          <w:rFonts w:ascii="Times New Roman" w:hAnsi="Times New Roman"/>
          <w:sz w:val="26"/>
          <w:szCs w:val="26"/>
          <w:lang w:val="uk-UA" w:eastAsia="ru-RU"/>
        </w:rPr>
        <w:t xml:space="preserve">покрівлі на 36 будинках, модернізовано 32 </w:t>
      </w:r>
      <w:r w:rsidR="00956A40" w:rsidRPr="00F009ED">
        <w:rPr>
          <w:rFonts w:ascii="Times New Roman" w:hAnsi="Times New Roman"/>
          <w:sz w:val="26"/>
          <w:szCs w:val="26"/>
          <w:lang w:val="uk-UA" w:eastAsia="ru-RU"/>
        </w:rPr>
        <w:t>та замінено на нові 19 ліфтів</w:t>
      </w:r>
      <w:r w:rsidR="00BA6E78" w:rsidRPr="00F009ED">
        <w:rPr>
          <w:rFonts w:ascii="Times New Roman" w:hAnsi="Times New Roman"/>
          <w:sz w:val="26"/>
          <w:szCs w:val="26"/>
          <w:lang w:val="uk-UA" w:eastAsia="ru-RU"/>
        </w:rPr>
        <w:t xml:space="preserve">, проведено малий </w:t>
      </w:r>
      <w:r w:rsidRPr="00F009ED">
        <w:rPr>
          <w:rFonts w:ascii="Times New Roman" w:hAnsi="Times New Roman"/>
          <w:sz w:val="26"/>
          <w:szCs w:val="26"/>
          <w:lang w:val="uk-UA" w:eastAsia="ru-RU"/>
        </w:rPr>
        <w:t>капітальний ремонт 59 ліфтів. Продовжуються роботи з капітального ремонту в 5 гуртожитках міста, здійснено інструментальне обстеження по деформації житлових будинків на 43</w:t>
      </w:r>
      <w:r w:rsidR="007D719C" w:rsidRPr="00F009ED">
        <w:rPr>
          <w:rFonts w:ascii="Times New Roman" w:hAnsi="Times New Roman"/>
          <w:sz w:val="26"/>
          <w:szCs w:val="26"/>
          <w:lang w:val="uk-UA" w:eastAsia="ru-RU"/>
        </w:rPr>
        <w:t> </w:t>
      </w:r>
      <w:r w:rsidRPr="00F009ED">
        <w:rPr>
          <w:rFonts w:ascii="Times New Roman" w:hAnsi="Times New Roman"/>
          <w:sz w:val="26"/>
          <w:szCs w:val="26"/>
          <w:lang w:val="uk-UA" w:eastAsia="ru-RU"/>
        </w:rPr>
        <w:t xml:space="preserve">об’єктах. </w:t>
      </w:r>
    </w:p>
    <w:p w:rsidR="00D414B4" w:rsidRPr="00F009ED" w:rsidRDefault="00D414B4" w:rsidP="00D414B4">
      <w:pPr>
        <w:pStyle w:val="af1"/>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З метою підтримання ефективного власника житла за рахунок коштів бюджету міста продовжено роботи з капітального ремонту будинків ОСББ. На 22 з 58 запланованих роботи виконано в повному обсязі, в тому числі в рамках Порядку проведення капітальних ремонтів спільного майна у багатоквартирних будинках на умовах </w:t>
      </w:r>
      <w:proofErr w:type="spellStart"/>
      <w:r w:rsidRPr="00F009ED">
        <w:rPr>
          <w:rFonts w:ascii="Times New Roman" w:hAnsi="Times New Roman"/>
          <w:sz w:val="26"/>
          <w:szCs w:val="26"/>
          <w:lang w:val="uk-UA" w:eastAsia="ru-RU"/>
        </w:rPr>
        <w:t>співфінансування</w:t>
      </w:r>
      <w:proofErr w:type="spellEnd"/>
      <w:r w:rsidRPr="00F009ED">
        <w:rPr>
          <w:rFonts w:ascii="Times New Roman" w:hAnsi="Times New Roman"/>
          <w:sz w:val="26"/>
          <w:szCs w:val="26"/>
          <w:lang w:val="uk-UA" w:eastAsia="ru-RU"/>
        </w:rPr>
        <w:t xml:space="preserve"> у 2018 році з запланованих 88 будинків в 15 виконано роботи в повному обсязі. Виготовлено технічну документацію для подальшої передачі будинків до ОСББ на 73 житлові будинки.</w:t>
      </w:r>
    </w:p>
    <w:p w:rsidR="00D414B4" w:rsidRPr="00F009ED" w:rsidRDefault="00D414B4" w:rsidP="00D414B4">
      <w:pPr>
        <w:pStyle w:val="af1"/>
        <w:numPr>
          <w:ilvl w:val="0"/>
          <w:numId w:val="20"/>
        </w:numPr>
        <w:spacing w:after="0" w:line="240" w:lineRule="auto"/>
        <w:ind w:left="0" w:firstLine="708"/>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Надано фінансову підтримку комунальним підприємствам галузі та здійснено внески у їх статутні капітали на суму 208,3 млн.грн. Кошти використано на забезпечення функціонування комунальних підприємств, що надають житлово-комунальні послуги населенню міста та придбання спеціальної техніки. </w:t>
      </w:r>
    </w:p>
    <w:p w:rsidR="00D414B4" w:rsidRPr="00F009ED" w:rsidRDefault="00D414B4" w:rsidP="00D414B4">
      <w:pPr>
        <w:pStyle w:val="af1"/>
        <w:numPr>
          <w:ilvl w:val="0"/>
          <w:numId w:val="20"/>
        </w:numPr>
        <w:spacing w:after="0" w:line="240" w:lineRule="auto"/>
        <w:ind w:left="0" w:firstLine="708"/>
        <w:jc w:val="both"/>
        <w:rPr>
          <w:rFonts w:ascii="Times New Roman" w:hAnsi="Times New Roman"/>
          <w:sz w:val="26"/>
          <w:szCs w:val="26"/>
          <w:lang w:val="uk-UA" w:eastAsia="ru-RU"/>
        </w:rPr>
      </w:pPr>
      <w:r w:rsidRPr="00F009ED">
        <w:rPr>
          <w:rFonts w:ascii="Times New Roman" w:hAnsi="Times New Roman"/>
          <w:sz w:val="26"/>
          <w:szCs w:val="26"/>
          <w:lang w:val="uk-UA" w:eastAsia="ru-RU"/>
        </w:rPr>
        <w:t>Забезпечено функціонування Муніципальної аварійної служби та служби диспетчеризації ліфтів, на що направлено 59,0</w:t>
      </w:r>
      <w:r w:rsidR="002B33DB" w:rsidRPr="00F009ED">
        <w:rPr>
          <w:rFonts w:ascii="Times New Roman" w:hAnsi="Times New Roman"/>
          <w:sz w:val="26"/>
          <w:szCs w:val="26"/>
          <w:lang w:val="uk-UA" w:eastAsia="ru-RU"/>
        </w:rPr>
        <w:t> </w:t>
      </w:r>
      <w:proofErr w:type="spellStart"/>
      <w:r w:rsidRPr="00F009ED">
        <w:rPr>
          <w:rFonts w:ascii="Times New Roman" w:hAnsi="Times New Roman"/>
          <w:sz w:val="26"/>
          <w:szCs w:val="26"/>
          <w:lang w:val="uk-UA" w:eastAsia="ru-RU"/>
        </w:rPr>
        <w:t>млн.грн</w:t>
      </w:r>
      <w:proofErr w:type="spellEnd"/>
      <w:r w:rsidRPr="00F009ED">
        <w:rPr>
          <w:rFonts w:ascii="Times New Roman" w:hAnsi="Times New Roman"/>
          <w:sz w:val="26"/>
          <w:szCs w:val="26"/>
          <w:lang w:val="uk-UA" w:eastAsia="ru-RU"/>
        </w:rPr>
        <w:t xml:space="preserve">. </w:t>
      </w:r>
      <w:r w:rsidR="00D157D4" w:rsidRPr="00F009ED">
        <w:rPr>
          <w:rFonts w:ascii="Times New Roman" w:hAnsi="Times New Roman"/>
          <w:sz w:val="26"/>
          <w:szCs w:val="26"/>
          <w:lang w:val="uk-UA" w:eastAsia="ru-RU"/>
        </w:rPr>
        <w:t>О</w:t>
      </w:r>
      <w:r w:rsidRPr="00F009ED">
        <w:rPr>
          <w:rFonts w:ascii="Times New Roman" w:hAnsi="Times New Roman"/>
          <w:sz w:val="26"/>
          <w:szCs w:val="26"/>
          <w:lang w:val="uk-UA" w:eastAsia="ru-RU"/>
        </w:rPr>
        <w:t>бслуговування</w:t>
      </w:r>
      <w:r w:rsidR="00D157D4" w:rsidRPr="00F009ED">
        <w:rPr>
          <w:rFonts w:ascii="Times New Roman" w:hAnsi="Times New Roman"/>
          <w:sz w:val="26"/>
          <w:szCs w:val="26"/>
          <w:lang w:val="uk-UA" w:eastAsia="ru-RU"/>
        </w:rPr>
        <w:t>м охоплено</w:t>
      </w:r>
      <w:r w:rsidRPr="00F009ED">
        <w:rPr>
          <w:rFonts w:ascii="Times New Roman" w:hAnsi="Times New Roman"/>
          <w:sz w:val="26"/>
          <w:szCs w:val="26"/>
          <w:lang w:val="uk-UA" w:eastAsia="ru-RU"/>
        </w:rPr>
        <w:t xml:space="preserve"> 3798 ліфтів, Муніципальною аварійною службою </w:t>
      </w:r>
      <w:r w:rsidR="00D157D4" w:rsidRPr="00F009ED">
        <w:rPr>
          <w:rFonts w:ascii="Times New Roman" w:hAnsi="Times New Roman"/>
          <w:sz w:val="26"/>
          <w:szCs w:val="26"/>
          <w:lang w:val="uk-UA" w:eastAsia="ru-RU"/>
        </w:rPr>
        <w:t xml:space="preserve">ліквідовані аварійні ситуації відповідно до </w:t>
      </w:r>
      <w:r w:rsidRPr="00F009ED">
        <w:rPr>
          <w:rFonts w:ascii="Times New Roman" w:hAnsi="Times New Roman"/>
          <w:sz w:val="26"/>
          <w:szCs w:val="26"/>
          <w:lang w:val="uk-UA" w:eastAsia="ru-RU"/>
        </w:rPr>
        <w:t xml:space="preserve">53,6 тис. заявок від мешканців міста. </w:t>
      </w:r>
    </w:p>
    <w:p w:rsidR="00D414B4" w:rsidRPr="00F009ED" w:rsidRDefault="00D414B4" w:rsidP="00D414B4">
      <w:pPr>
        <w:pStyle w:val="af1"/>
        <w:numPr>
          <w:ilvl w:val="0"/>
          <w:numId w:val="20"/>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Виконано роботи з відновлення асфальтного покриття прибудинкових територій та </w:t>
      </w:r>
      <w:proofErr w:type="spellStart"/>
      <w:r w:rsidRPr="00F009ED">
        <w:rPr>
          <w:rFonts w:ascii="Times New Roman" w:hAnsi="Times New Roman"/>
          <w:sz w:val="26"/>
          <w:szCs w:val="26"/>
          <w:lang w:val="uk-UA" w:eastAsia="ru-RU"/>
        </w:rPr>
        <w:t>внутрішньоквартальних</w:t>
      </w:r>
      <w:proofErr w:type="spellEnd"/>
      <w:r w:rsidRPr="00F009ED">
        <w:rPr>
          <w:rFonts w:ascii="Times New Roman" w:hAnsi="Times New Roman"/>
          <w:sz w:val="26"/>
          <w:szCs w:val="26"/>
          <w:lang w:val="uk-UA" w:eastAsia="ru-RU"/>
        </w:rPr>
        <w:t xml:space="preserve"> проїздів</w:t>
      </w:r>
      <w:r w:rsidR="007D719C" w:rsidRPr="00F009ED">
        <w:rPr>
          <w:rFonts w:ascii="Times New Roman" w:hAnsi="Times New Roman"/>
          <w:sz w:val="26"/>
          <w:szCs w:val="26"/>
          <w:lang w:val="uk-UA" w:eastAsia="ru-RU"/>
        </w:rPr>
        <w:t xml:space="preserve"> </w:t>
      </w:r>
      <w:r w:rsidRPr="00F009ED">
        <w:rPr>
          <w:rFonts w:ascii="Times New Roman" w:hAnsi="Times New Roman"/>
          <w:sz w:val="26"/>
          <w:szCs w:val="26"/>
          <w:lang w:val="uk-UA" w:eastAsia="ru-RU"/>
        </w:rPr>
        <w:t>на загальну суму 35,4 </w:t>
      </w:r>
      <w:proofErr w:type="spellStart"/>
      <w:r w:rsidRPr="00F009ED">
        <w:rPr>
          <w:rFonts w:ascii="Times New Roman" w:hAnsi="Times New Roman"/>
          <w:sz w:val="26"/>
          <w:szCs w:val="26"/>
          <w:lang w:val="uk-UA" w:eastAsia="ru-RU"/>
        </w:rPr>
        <w:t>млн.грн</w:t>
      </w:r>
      <w:proofErr w:type="spellEnd"/>
      <w:r w:rsidRPr="00F009ED">
        <w:rPr>
          <w:rFonts w:ascii="Times New Roman" w:hAnsi="Times New Roman"/>
          <w:sz w:val="26"/>
          <w:szCs w:val="26"/>
          <w:lang w:val="uk-UA" w:eastAsia="ru-RU"/>
        </w:rPr>
        <w:t>.</w:t>
      </w:r>
    </w:p>
    <w:p w:rsidR="00D414B4" w:rsidRPr="00F009ED" w:rsidRDefault="00D414B4" w:rsidP="00D414B4">
      <w:pPr>
        <w:pStyle w:val="af1"/>
        <w:numPr>
          <w:ilvl w:val="0"/>
          <w:numId w:val="25"/>
        </w:numPr>
        <w:suppressAutoHyphens/>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Забезпечено ефективну експлуатацію об’єктів житлово-комунального господарств</w:t>
      </w:r>
      <w:r w:rsidR="00D157D4" w:rsidRPr="00F009ED">
        <w:rPr>
          <w:rFonts w:ascii="Times New Roman" w:hAnsi="Times New Roman"/>
          <w:sz w:val="26"/>
          <w:szCs w:val="26"/>
          <w:lang w:val="uk-UA" w:eastAsia="ru-RU"/>
        </w:rPr>
        <w:t>а</w:t>
      </w:r>
      <w:r w:rsidRPr="00F009ED">
        <w:rPr>
          <w:rFonts w:ascii="Times New Roman" w:hAnsi="Times New Roman"/>
          <w:sz w:val="26"/>
          <w:szCs w:val="26"/>
          <w:lang w:val="uk-UA" w:eastAsia="ru-RU"/>
        </w:rPr>
        <w:t xml:space="preserve"> на суму 17,9 </w:t>
      </w:r>
      <w:proofErr w:type="spellStart"/>
      <w:r w:rsidRPr="00F009ED">
        <w:rPr>
          <w:rFonts w:ascii="Times New Roman" w:hAnsi="Times New Roman"/>
          <w:sz w:val="26"/>
          <w:szCs w:val="26"/>
          <w:lang w:val="uk-UA" w:eastAsia="ru-RU"/>
        </w:rPr>
        <w:t>млн.грн</w:t>
      </w:r>
      <w:proofErr w:type="spellEnd"/>
      <w:r w:rsidRPr="00F009ED">
        <w:rPr>
          <w:rFonts w:ascii="Times New Roman" w:hAnsi="Times New Roman"/>
          <w:sz w:val="26"/>
          <w:szCs w:val="26"/>
          <w:lang w:val="uk-UA" w:eastAsia="ru-RU"/>
        </w:rPr>
        <w:t>. В зимовий період виконано роботи з прибирання снігу та посипання п</w:t>
      </w:r>
      <w:r w:rsidR="00956A40" w:rsidRPr="00F009ED">
        <w:rPr>
          <w:rFonts w:ascii="Times New Roman" w:hAnsi="Times New Roman"/>
          <w:sz w:val="26"/>
          <w:szCs w:val="26"/>
          <w:lang w:val="uk-UA" w:eastAsia="ru-RU"/>
        </w:rPr>
        <w:t>рибудинкової території</w:t>
      </w:r>
      <w:r w:rsidR="007D719C" w:rsidRPr="00F009ED">
        <w:rPr>
          <w:rFonts w:ascii="Times New Roman" w:hAnsi="Times New Roman"/>
          <w:sz w:val="26"/>
          <w:szCs w:val="26"/>
          <w:lang w:val="uk-UA" w:eastAsia="ru-RU"/>
        </w:rPr>
        <w:t> </w:t>
      </w:r>
      <w:r w:rsidRPr="00F009ED">
        <w:rPr>
          <w:rFonts w:ascii="Times New Roman" w:hAnsi="Times New Roman"/>
          <w:sz w:val="26"/>
          <w:szCs w:val="26"/>
          <w:lang w:val="uk-UA" w:eastAsia="ru-RU"/>
        </w:rPr>
        <w:t xml:space="preserve">, проведено звалювання 167 аварійних та сухостійних дерев, санітарне обрізування 557 дерев, вивезено листя та гілля </w:t>
      </w:r>
      <w:r w:rsidR="00BA6E78" w:rsidRPr="00F009ED">
        <w:rPr>
          <w:rFonts w:ascii="Times New Roman" w:hAnsi="Times New Roman"/>
          <w:sz w:val="26"/>
          <w:szCs w:val="26"/>
          <w:lang w:val="uk-UA" w:eastAsia="ru-RU"/>
        </w:rPr>
        <w:t>після прибирання території</w:t>
      </w:r>
      <w:r w:rsidRPr="00F009ED">
        <w:rPr>
          <w:rFonts w:ascii="Times New Roman" w:hAnsi="Times New Roman"/>
          <w:sz w:val="26"/>
          <w:szCs w:val="26"/>
          <w:lang w:val="uk-UA" w:eastAsia="ru-RU"/>
        </w:rPr>
        <w:t>, проведено роботи з покосу</w:t>
      </w:r>
      <w:r w:rsidR="00BA6E78" w:rsidRPr="00F009ED">
        <w:rPr>
          <w:rFonts w:ascii="Times New Roman" w:hAnsi="Times New Roman"/>
          <w:sz w:val="26"/>
          <w:szCs w:val="26"/>
          <w:lang w:val="uk-UA" w:eastAsia="ru-RU"/>
        </w:rPr>
        <w:t xml:space="preserve"> трави </w:t>
      </w:r>
      <w:r w:rsidR="004203F9" w:rsidRPr="00F009ED">
        <w:rPr>
          <w:rFonts w:ascii="Times New Roman" w:hAnsi="Times New Roman"/>
          <w:sz w:val="26"/>
          <w:szCs w:val="26"/>
          <w:lang w:val="uk-UA" w:eastAsia="ru-RU"/>
        </w:rPr>
        <w:t xml:space="preserve">на площі 1,344 </w:t>
      </w:r>
      <w:proofErr w:type="spellStart"/>
      <w:r w:rsidR="004203F9" w:rsidRPr="00F009ED">
        <w:rPr>
          <w:rFonts w:ascii="Times New Roman" w:hAnsi="Times New Roman"/>
          <w:sz w:val="26"/>
          <w:szCs w:val="26"/>
          <w:lang w:val="uk-UA" w:eastAsia="ru-RU"/>
        </w:rPr>
        <w:t>тис.кв.м</w:t>
      </w:r>
      <w:proofErr w:type="spellEnd"/>
      <w:r w:rsidRPr="00F009ED">
        <w:rPr>
          <w:rFonts w:ascii="Times New Roman" w:hAnsi="Times New Roman"/>
          <w:sz w:val="26"/>
          <w:szCs w:val="26"/>
          <w:lang w:val="uk-UA" w:eastAsia="ru-RU"/>
        </w:rPr>
        <w:t>, відновлено після крадіжок 126</w:t>
      </w:r>
      <w:r w:rsidR="007D719C" w:rsidRPr="00F009ED">
        <w:rPr>
          <w:rFonts w:ascii="Times New Roman" w:hAnsi="Times New Roman"/>
          <w:sz w:val="26"/>
          <w:szCs w:val="26"/>
          <w:lang w:val="uk-UA" w:eastAsia="ru-RU"/>
        </w:rPr>
        <w:t> </w:t>
      </w:r>
      <w:r w:rsidRPr="00F009ED">
        <w:rPr>
          <w:rFonts w:ascii="Times New Roman" w:hAnsi="Times New Roman"/>
          <w:sz w:val="26"/>
          <w:szCs w:val="26"/>
          <w:lang w:val="uk-UA" w:eastAsia="ru-RU"/>
        </w:rPr>
        <w:t>кришок оглядових колодязів</w:t>
      </w:r>
      <w:r w:rsidR="00956A40" w:rsidRPr="00F009ED">
        <w:rPr>
          <w:rFonts w:ascii="Times New Roman" w:hAnsi="Times New Roman"/>
          <w:sz w:val="26"/>
          <w:szCs w:val="26"/>
          <w:lang w:val="uk-UA" w:eastAsia="ru-RU"/>
        </w:rPr>
        <w:t xml:space="preserve">, </w:t>
      </w:r>
      <w:r w:rsidRPr="00F009ED">
        <w:rPr>
          <w:rFonts w:ascii="Times New Roman" w:hAnsi="Times New Roman"/>
          <w:sz w:val="26"/>
          <w:szCs w:val="26"/>
          <w:lang w:val="uk-UA" w:eastAsia="ru-RU"/>
        </w:rPr>
        <w:t>забезпечено безперебійне функціонування архітектурно-декоративного обладнання на баштах 7 житлових будинків та ін.</w:t>
      </w:r>
    </w:p>
    <w:p w:rsidR="00D414B4" w:rsidRPr="00F009ED" w:rsidRDefault="00D414B4" w:rsidP="00D414B4">
      <w:pPr>
        <w:pStyle w:val="af1"/>
        <w:numPr>
          <w:ilvl w:val="0"/>
          <w:numId w:val="20"/>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Проведено реконструкцію та будівництво об’єктів житлового фонду, </w:t>
      </w:r>
      <w:proofErr w:type="spellStart"/>
      <w:r w:rsidRPr="00F009ED">
        <w:rPr>
          <w:rFonts w:ascii="Times New Roman" w:hAnsi="Times New Roman"/>
          <w:sz w:val="26"/>
          <w:szCs w:val="26"/>
          <w:lang w:val="uk-UA" w:eastAsia="ru-RU"/>
        </w:rPr>
        <w:t>водо</w:t>
      </w:r>
      <w:r w:rsidR="005E5BF2" w:rsidRPr="00F009ED">
        <w:rPr>
          <w:rFonts w:ascii="Times New Roman" w:hAnsi="Times New Roman"/>
          <w:sz w:val="26"/>
          <w:szCs w:val="26"/>
          <w:lang w:val="uk-UA" w:eastAsia="ru-RU"/>
        </w:rPr>
        <w:t>-</w:t>
      </w:r>
      <w:proofErr w:type="spellEnd"/>
      <w:r w:rsidRPr="00F009ED">
        <w:rPr>
          <w:rFonts w:ascii="Times New Roman" w:hAnsi="Times New Roman"/>
          <w:sz w:val="26"/>
          <w:szCs w:val="26"/>
          <w:lang w:val="uk-UA" w:eastAsia="ru-RU"/>
        </w:rPr>
        <w:t>, теплопостачання на суму 10,5 млн.грн. Завершено проектно-вишукувальні роботи на 2</w:t>
      </w:r>
      <w:r w:rsidR="00D157D4" w:rsidRPr="00F009ED">
        <w:rPr>
          <w:rFonts w:ascii="Times New Roman" w:hAnsi="Times New Roman"/>
          <w:sz w:val="26"/>
          <w:szCs w:val="26"/>
          <w:lang w:val="uk-UA" w:eastAsia="ru-RU"/>
        </w:rPr>
        <w:t>-х</w:t>
      </w:r>
      <w:r w:rsidRPr="00F009ED">
        <w:rPr>
          <w:rFonts w:ascii="Times New Roman" w:hAnsi="Times New Roman"/>
          <w:sz w:val="26"/>
          <w:szCs w:val="26"/>
          <w:lang w:val="uk-UA" w:eastAsia="ru-RU"/>
        </w:rPr>
        <w:t xml:space="preserve"> </w:t>
      </w:r>
      <w:r w:rsidR="00D157D4" w:rsidRPr="00F009ED">
        <w:rPr>
          <w:rFonts w:ascii="Times New Roman" w:hAnsi="Times New Roman"/>
          <w:sz w:val="26"/>
          <w:szCs w:val="26"/>
          <w:lang w:val="uk-UA" w:eastAsia="ru-RU"/>
        </w:rPr>
        <w:t>і</w:t>
      </w:r>
      <w:r w:rsidRPr="00F009ED">
        <w:rPr>
          <w:rFonts w:ascii="Times New Roman" w:hAnsi="Times New Roman"/>
          <w:sz w:val="26"/>
          <w:szCs w:val="26"/>
          <w:lang w:val="uk-UA" w:eastAsia="ru-RU"/>
        </w:rPr>
        <w:t>з 3</w:t>
      </w:r>
      <w:r w:rsidR="00D157D4" w:rsidRPr="00F009ED">
        <w:rPr>
          <w:rFonts w:ascii="Times New Roman" w:hAnsi="Times New Roman"/>
          <w:sz w:val="26"/>
          <w:szCs w:val="26"/>
          <w:lang w:val="uk-UA" w:eastAsia="ru-RU"/>
        </w:rPr>
        <w:t>-х</w:t>
      </w:r>
      <w:r w:rsidRPr="00F009ED">
        <w:rPr>
          <w:rFonts w:ascii="Times New Roman" w:hAnsi="Times New Roman"/>
          <w:sz w:val="26"/>
          <w:szCs w:val="26"/>
          <w:lang w:val="uk-UA" w:eastAsia="ru-RU"/>
        </w:rPr>
        <w:t xml:space="preserve"> запланованих об’єктах,  реконстру</w:t>
      </w:r>
      <w:r w:rsidR="00D157D4" w:rsidRPr="00F009ED">
        <w:rPr>
          <w:rFonts w:ascii="Times New Roman" w:hAnsi="Times New Roman"/>
          <w:sz w:val="26"/>
          <w:szCs w:val="26"/>
          <w:lang w:val="uk-UA" w:eastAsia="ru-RU"/>
        </w:rPr>
        <w:t xml:space="preserve">йовано </w:t>
      </w:r>
      <w:r w:rsidRPr="00F009ED">
        <w:rPr>
          <w:rFonts w:ascii="Times New Roman" w:hAnsi="Times New Roman"/>
          <w:sz w:val="26"/>
          <w:szCs w:val="26"/>
          <w:lang w:val="uk-UA" w:eastAsia="ru-RU"/>
        </w:rPr>
        <w:t>нежитлов</w:t>
      </w:r>
      <w:r w:rsidR="00D157D4" w:rsidRPr="00F009ED">
        <w:rPr>
          <w:rFonts w:ascii="Times New Roman" w:hAnsi="Times New Roman"/>
          <w:sz w:val="26"/>
          <w:szCs w:val="26"/>
          <w:lang w:val="uk-UA" w:eastAsia="ru-RU"/>
        </w:rPr>
        <w:t>і</w:t>
      </w:r>
      <w:r w:rsidRPr="00F009ED">
        <w:rPr>
          <w:rFonts w:ascii="Times New Roman" w:hAnsi="Times New Roman"/>
          <w:sz w:val="26"/>
          <w:szCs w:val="26"/>
          <w:lang w:val="uk-UA" w:eastAsia="ru-RU"/>
        </w:rPr>
        <w:t xml:space="preserve"> приміщен</w:t>
      </w:r>
      <w:r w:rsidR="00D157D4" w:rsidRPr="00F009ED">
        <w:rPr>
          <w:rFonts w:ascii="Times New Roman" w:hAnsi="Times New Roman"/>
          <w:sz w:val="26"/>
          <w:szCs w:val="26"/>
          <w:lang w:val="uk-UA" w:eastAsia="ru-RU"/>
        </w:rPr>
        <w:t>ня</w:t>
      </w:r>
      <w:r w:rsidRPr="00F009ED">
        <w:rPr>
          <w:rFonts w:ascii="Times New Roman" w:hAnsi="Times New Roman"/>
          <w:sz w:val="26"/>
          <w:szCs w:val="26"/>
          <w:lang w:val="uk-UA" w:eastAsia="ru-RU"/>
        </w:rPr>
        <w:t xml:space="preserve"> під житлові по пр. Інженера Преображенського, 3 та по</w:t>
      </w:r>
      <w:r w:rsidR="005E5BF2" w:rsidRPr="00F009ED">
        <w:rPr>
          <w:rFonts w:ascii="Times New Roman" w:hAnsi="Times New Roman"/>
          <w:sz w:val="26"/>
          <w:szCs w:val="26"/>
          <w:lang w:val="uk-UA" w:eastAsia="ru-RU"/>
        </w:rPr>
        <w:t xml:space="preserve"> </w:t>
      </w:r>
      <w:proofErr w:type="spellStart"/>
      <w:r w:rsidR="005E5BF2" w:rsidRPr="00F009ED">
        <w:rPr>
          <w:rFonts w:ascii="Times New Roman" w:hAnsi="Times New Roman"/>
          <w:sz w:val="26"/>
          <w:szCs w:val="26"/>
          <w:lang w:val="uk-UA" w:eastAsia="ru-RU"/>
        </w:rPr>
        <w:t>вул.Патріотичній</w:t>
      </w:r>
      <w:proofErr w:type="spellEnd"/>
      <w:r w:rsidR="005E5BF2" w:rsidRPr="00F009ED">
        <w:rPr>
          <w:rFonts w:ascii="Times New Roman" w:hAnsi="Times New Roman"/>
          <w:sz w:val="26"/>
          <w:szCs w:val="26"/>
          <w:lang w:val="uk-UA" w:eastAsia="ru-RU"/>
        </w:rPr>
        <w:t>,</w:t>
      </w:r>
      <w:r w:rsidR="00D157D4" w:rsidRPr="00F009ED">
        <w:rPr>
          <w:rFonts w:ascii="Times New Roman" w:hAnsi="Times New Roman"/>
          <w:sz w:val="26"/>
          <w:szCs w:val="26"/>
          <w:lang w:val="uk-UA" w:eastAsia="ru-RU"/>
        </w:rPr>
        <w:t> </w:t>
      </w:r>
      <w:r w:rsidRPr="00F009ED">
        <w:rPr>
          <w:rFonts w:ascii="Times New Roman" w:hAnsi="Times New Roman"/>
          <w:sz w:val="26"/>
          <w:szCs w:val="26"/>
          <w:lang w:val="uk-UA" w:eastAsia="ru-RU"/>
        </w:rPr>
        <w:t>64, на 6</w:t>
      </w:r>
      <w:r w:rsidR="00D157D4" w:rsidRPr="00F009ED">
        <w:rPr>
          <w:rFonts w:ascii="Times New Roman" w:hAnsi="Times New Roman"/>
          <w:sz w:val="26"/>
          <w:szCs w:val="26"/>
          <w:lang w:val="uk-UA" w:eastAsia="ru-RU"/>
        </w:rPr>
        <w:t>-ти</w:t>
      </w:r>
      <w:r w:rsidRPr="00F009ED">
        <w:rPr>
          <w:rFonts w:ascii="Times New Roman" w:hAnsi="Times New Roman"/>
          <w:sz w:val="26"/>
          <w:szCs w:val="26"/>
          <w:lang w:val="uk-UA" w:eastAsia="ru-RU"/>
        </w:rPr>
        <w:t xml:space="preserve"> об’єктах роботи з реконструкції продовжуються. Розпочато будівництво диспетчерських систем зв’язку типу GSM для ліфтового господарства у 56</w:t>
      </w:r>
      <w:r w:rsidR="00D157D4" w:rsidRPr="00F009ED">
        <w:rPr>
          <w:rFonts w:ascii="Times New Roman" w:hAnsi="Times New Roman"/>
          <w:sz w:val="26"/>
          <w:szCs w:val="26"/>
          <w:lang w:val="uk-UA" w:eastAsia="ru-RU"/>
        </w:rPr>
        <w:t>-ти</w:t>
      </w:r>
      <w:r w:rsidRPr="00F009ED">
        <w:rPr>
          <w:rFonts w:ascii="Times New Roman" w:hAnsi="Times New Roman"/>
          <w:sz w:val="26"/>
          <w:szCs w:val="26"/>
          <w:lang w:val="uk-UA" w:eastAsia="ru-RU"/>
        </w:rPr>
        <w:t xml:space="preserve"> житлових будинках міста. Планується модернізувати 167</w:t>
      </w:r>
      <w:r w:rsidR="005E5BF2" w:rsidRPr="00F009ED">
        <w:rPr>
          <w:rFonts w:ascii="Times New Roman" w:hAnsi="Times New Roman"/>
          <w:sz w:val="26"/>
          <w:szCs w:val="26"/>
          <w:lang w:val="uk-UA" w:eastAsia="ru-RU"/>
        </w:rPr>
        <w:t> </w:t>
      </w:r>
      <w:r w:rsidRPr="00F009ED">
        <w:rPr>
          <w:rFonts w:ascii="Times New Roman" w:hAnsi="Times New Roman"/>
          <w:sz w:val="26"/>
          <w:szCs w:val="26"/>
          <w:lang w:val="uk-UA" w:eastAsia="ru-RU"/>
        </w:rPr>
        <w:t>ліфтів.</w:t>
      </w:r>
    </w:p>
    <w:p w:rsidR="00D414B4" w:rsidRPr="00F009ED" w:rsidRDefault="00D414B4" w:rsidP="00D414B4">
      <w:pPr>
        <w:pStyle w:val="af1"/>
        <w:numPr>
          <w:ilvl w:val="0"/>
          <w:numId w:val="20"/>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Придбано 5 квартир для надання житла дітям-сиротам та особам з їх числа на загальну суму 2,2</w:t>
      </w:r>
      <w:r w:rsidR="002B33DB" w:rsidRPr="00F009ED">
        <w:rPr>
          <w:rFonts w:ascii="Times New Roman" w:hAnsi="Times New Roman"/>
          <w:sz w:val="26"/>
          <w:szCs w:val="26"/>
          <w:lang w:val="uk-UA" w:eastAsia="ru-RU"/>
        </w:rPr>
        <w:t> </w:t>
      </w:r>
      <w:proofErr w:type="spellStart"/>
      <w:r w:rsidRPr="00F009ED">
        <w:rPr>
          <w:rFonts w:ascii="Times New Roman" w:hAnsi="Times New Roman"/>
          <w:sz w:val="26"/>
          <w:szCs w:val="26"/>
          <w:lang w:val="uk-UA" w:eastAsia="ru-RU"/>
        </w:rPr>
        <w:t>млн.грн</w:t>
      </w:r>
      <w:proofErr w:type="spellEnd"/>
      <w:r w:rsidRPr="00F009ED">
        <w:rPr>
          <w:rFonts w:ascii="Times New Roman" w:hAnsi="Times New Roman"/>
          <w:sz w:val="26"/>
          <w:szCs w:val="26"/>
          <w:lang w:val="uk-UA" w:eastAsia="ru-RU"/>
        </w:rPr>
        <w:t xml:space="preserve">. за рахунок </w:t>
      </w:r>
      <w:r w:rsidR="00D157D4" w:rsidRPr="00F009ED">
        <w:rPr>
          <w:rFonts w:ascii="Times New Roman" w:hAnsi="Times New Roman"/>
          <w:sz w:val="26"/>
          <w:szCs w:val="26"/>
          <w:lang w:val="uk-UA" w:eastAsia="ru-RU"/>
        </w:rPr>
        <w:t xml:space="preserve">відповідної </w:t>
      </w:r>
      <w:r w:rsidRPr="00F009ED">
        <w:rPr>
          <w:rFonts w:ascii="Times New Roman" w:hAnsi="Times New Roman"/>
          <w:sz w:val="26"/>
          <w:szCs w:val="26"/>
          <w:lang w:val="uk-UA" w:eastAsia="ru-RU"/>
        </w:rPr>
        <w:t>субвенції з державного бюджету.</w:t>
      </w:r>
    </w:p>
    <w:p w:rsidR="00D414B4" w:rsidRPr="00F009ED" w:rsidRDefault="00D414B4" w:rsidP="00D414B4">
      <w:pPr>
        <w:pStyle w:val="af1"/>
        <w:numPr>
          <w:ilvl w:val="0"/>
          <w:numId w:val="20"/>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lastRenderedPageBreak/>
        <w:t xml:space="preserve">Відшкодовано відсоткові ставки за залученими в кредитно-фінансових установах короткостроковими кредитами на реалізацію енергозберігаючих та </w:t>
      </w:r>
      <w:proofErr w:type="spellStart"/>
      <w:r w:rsidRPr="00F009ED">
        <w:rPr>
          <w:rFonts w:ascii="Times New Roman" w:hAnsi="Times New Roman"/>
          <w:sz w:val="26"/>
          <w:szCs w:val="26"/>
          <w:lang w:val="uk-UA" w:eastAsia="ru-RU"/>
        </w:rPr>
        <w:t>енергоефективних</w:t>
      </w:r>
      <w:proofErr w:type="spellEnd"/>
      <w:r w:rsidRPr="00F009ED">
        <w:rPr>
          <w:rFonts w:ascii="Times New Roman" w:hAnsi="Times New Roman"/>
          <w:sz w:val="26"/>
          <w:szCs w:val="26"/>
          <w:lang w:val="uk-UA" w:eastAsia="ru-RU"/>
        </w:rPr>
        <w:t xml:space="preserve"> проектів 138</w:t>
      </w:r>
      <w:r w:rsidR="00D157D4" w:rsidRPr="00F009ED">
        <w:rPr>
          <w:rFonts w:ascii="Times New Roman" w:hAnsi="Times New Roman"/>
          <w:sz w:val="26"/>
          <w:szCs w:val="26"/>
          <w:lang w:val="uk-UA" w:eastAsia="ru-RU"/>
        </w:rPr>
        <w:t>-ми</w:t>
      </w:r>
      <w:r w:rsidRPr="00F009ED">
        <w:rPr>
          <w:rFonts w:ascii="Times New Roman" w:hAnsi="Times New Roman"/>
          <w:sz w:val="26"/>
          <w:szCs w:val="26"/>
          <w:lang w:val="uk-UA" w:eastAsia="ru-RU"/>
        </w:rPr>
        <w:t xml:space="preserve"> будинкам ОСББ та ЖБК (1,8 млн.грн.) </w:t>
      </w:r>
    </w:p>
    <w:p w:rsidR="00D414B4" w:rsidRPr="00F009ED" w:rsidRDefault="00D414B4" w:rsidP="00D414B4">
      <w:pPr>
        <w:pStyle w:val="af1"/>
        <w:numPr>
          <w:ilvl w:val="0"/>
          <w:numId w:val="20"/>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Оснащено приладами обліку те</w:t>
      </w:r>
      <w:r w:rsidR="00B927CC" w:rsidRPr="00F009ED">
        <w:rPr>
          <w:rFonts w:ascii="Times New Roman" w:hAnsi="Times New Roman"/>
          <w:sz w:val="26"/>
          <w:szCs w:val="26"/>
          <w:lang w:val="uk-UA" w:eastAsia="ru-RU"/>
        </w:rPr>
        <w:t xml:space="preserve">плової енергії інженерні вводи </w:t>
      </w:r>
      <w:r w:rsidRPr="00F009ED">
        <w:rPr>
          <w:rFonts w:ascii="Times New Roman" w:hAnsi="Times New Roman"/>
          <w:sz w:val="26"/>
          <w:szCs w:val="26"/>
          <w:lang w:val="uk-UA" w:eastAsia="ru-RU"/>
        </w:rPr>
        <w:t>багатоквартирних будинків на суму 0,9 млн.грн.</w:t>
      </w:r>
    </w:p>
    <w:p w:rsidR="00D414B4" w:rsidRPr="00F009ED" w:rsidRDefault="00D414B4" w:rsidP="00D414B4">
      <w:pPr>
        <w:pStyle w:val="af1"/>
        <w:numPr>
          <w:ilvl w:val="0"/>
          <w:numId w:val="20"/>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Придбано 2-х кімнатну квартиру для відселення сім’ї з аварійного будинку на суму 0,6 млн.грн.</w:t>
      </w:r>
    </w:p>
    <w:p w:rsidR="00B927CC" w:rsidRPr="00F009ED" w:rsidRDefault="00372156" w:rsidP="00B927CC">
      <w:pPr>
        <w:ind w:firstLine="708"/>
        <w:jc w:val="both"/>
        <w:rPr>
          <w:i/>
          <w:sz w:val="26"/>
          <w:szCs w:val="26"/>
          <w:lang w:val="uk-UA"/>
        </w:rPr>
      </w:pPr>
      <w:r w:rsidRPr="00F009ED">
        <w:rPr>
          <w:i/>
          <w:sz w:val="26"/>
          <w:szCs w:val="26"/>
          <w:lang w:val="uk-UA"/>
        </w:rPr>
        <w:t>У сфері міської інфраструктури та благоустрою</w:t>
      </w:r>
      <w:r w:rsidR="00B927CC" w:rsidRPr="00F009ED">
        <w:rPr>
          <w:i/>
          <w:sz w:val="26"/>
          <w:szCs w:val="26"/>
          <w:lang w:val="uk-UA"/>
        </w:rPr>
        <w:t xml:space="preserve"> (витрачено 424,8 млн.грн.)</w:t>
      </w:r>
    </w:p>
    <w:p w:rsidR="00534DA1" w:rsidRPr="00F009ED" w:rsidRDefault="00534DA1" w:rsidP="00534DA1">
      <w:pPr>
        <w:pStyle w:val="af1"/>
        <w:numPr>
          <w:ilvl w:val="0"/>
          <w:numId w:val="21"/>
        </w:numPr>
        <w:suppressAutoHyphens/>
        <w:spacing w:after="0" w:line="240" w:lineRule="auto"/>
        <w:ind w:left="0" w:firstLine="851"/>
        <w:jc w:val="both"/>
        <w:rPr>
          <w:rFonts w:ascii="Times New Roman" w:hAnsi="Times New Roman"/>
          <w:sz w:val="26"/>
          <w:szCs w:val="26"/>
          <w:lang w:val="uk-UA" w:eastAsia="ru-RU"/>
        </w:rPr>
      </w:pPr>
      <w:r w:rsidRPr="00F009ED">
        <w:rPr>
          <w:rFonts w:ascii="Times New Roman" w:hAnsi="Times New Roman"/>
          <w:sz w:val="26"/>
          <w:szCs w:val="26"/>
          <w:lang w:val="uk-UA" w:eastAsia="ru-RU"/>
        </w:rPr>
        <w:t>Проведено роботи, пов’язані із ремонтом та утриманням автомобільних доріг міста на загальну суму 243,2 млн.грн., з яких на утримання і експлуатацію доріг та мостів – 82,6 млн.грн., поточний ремонт доріг, в</w:t>
      </w:r>
      <w:r w:rsidR="00D157D4" w:rsidRPr="00F009ED">
        <w:rPr>
          <w:rFonts w:ascii="Times New Roman" w:hAnsi="Times New Roman"/>
          <w:sz w:val="26"/>
          <w:szCs w:val="26"/>
          <w:lang w:val="uk-UA" w:eastAsia="ru-RU"/>
        </w:rPr>
        <w:t>ключаючи</w:t>
      </w:r>
      <w:r w:rsidRPr="00F009ED">
        <w:rPr>
          <w:rFonts w:ascii="Times New Roman" w:hAnsi="Times New Roman"/>
          <w:sz w:val="26"/>
          <w:szCs w:val="26"/>
          <w:lang w:val="uk-UA" w:eastAsia="ru-RU"/>
        </w:rPr>
        <w:t xml:space="preserve"> дор</w:t>
      </w:r>
      <w:r w:rsidR="00D157D4" w:rsidRPr="00F009ED">
        <w:rPr>
          <w:rFonts w:ascii="Times New Roman" w:hAnsi="Times New Roman"/>
          <w:sz w:val="26"/>
          <w:szCs w:val="26"/>
          <w:lang w:val="uk-UA" w:eastAsia="ru-RU"/>
        </w:rPr>
        <w:t>оги</w:t>
      </w:r>
      <w:r w:rsidRPr="00F009ED">
        <w:rPr>
          <w:rFonts w:ascii="Times New Roman" w:hAnsi="Times New Roman"/>
          <w:sz w:val="26"/>
          <w:szCs w:val="26"/>
          <w:lang w:val="uk-UA" w:eastAsia="ru-RU"/>
        </w:rPr>
        <w:t xml:space="preserve"> приватного сектору, тротуарів – 103,2 млн.грн., реконструкцію та капітальний ремонт доріг – 57,4 млн.грн. </w:t>
      </w:r>
    </w:p>
    <w:p w:rsidR="00534DA1" w:rsidRPr="00F009ED" w:rsidRDefault="00534DA1" w:rsidP="00534DA1">
      <w:pPr>
        <w:pStyle w:val="af1"/>
        <w:suppressAutoHyphens/>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Станом на звітну дату проведено поточний ремонт доріг на площі 194,1 </w:t>
      </w:r>
      <w:proofErr w:type="spellStart"/>
      <w:r w:rsidRPr="00F009ED">
        <w:rPr>
          <w:rFonts w:ascii="Times New Roman" w:hAnsi="Times New Roman"/>
          <w:sz w:val="26"/>
          <w:szCs w:val="26"/>
          <w:lang w:val="uk-UA" w:eastAsia="ru-RU"/>
        </w:rPr>
        <w:t>тис.кв.м</w:t>
      </w:r>
      <w:proofErr w:type="spellEnd"/>
      <w:r w:rsidRPr="00F009ED">
        <w:rPr>
          <w:rFonts w:ascii="Times New Roman" w:hAnsi="Times New Roman"/>
          <w:sz w:val="26"/>
          <w:szCs w:val="26"/>
          <w:lang w:val="uk-UA" w:eastAsia="ru-RU"/>
        </w:rPr>
        <w:t>, доріг приватного сектору – 40,9 </w:t>
      </w:r>
      <w:proofErr w:type="spellStart"/>
      <w:r w:rsidRPr="00F009ED">
        <w:rPr>
          <w:rFonts w:ascii="Times New Roman" w:hAnsi="Times New Roman"/>
          <w:sz w:val="26"/>
          <w:szCs w:val="26"/>
          <w:lang w:val="uk-UA" w:eastAsia="ru-RU"/>
        </w:rPr>
        <w:t>тис.кв.м</w:t>
      </w:r>
      <w:proofErr w:type="spellEnd"/>
      <w:r w:rsidRPr="00F009ED">
        <w:rPr>
          <w:rFonts w:ascii="Times New Roman" w:hAnsi="Times New Roman"/>
          <w:sz w:val="26"/>
          <w:szCs w:val="26"/>
          <w:lang w:val="uk-UA" w:eastAsia="ru-RU"/>
        </w:rPr>
        <w:t>, тротуарів – 14,1 </w:t>
      </w:r>
      <w:proofErr w:type="spellStart"/>
      <w:r w:rsidRPr="00F009ED">
        <w:rPr>
          <w:rFonts w:ascii="Times New Roman" w:hAnsi="Times New Roman"/>
          <w:sz w:val="26"/>
          <w:szCs w:val="26"/>
          <w:lang w:val="uk-UA" w:eastAsia="ru-RU"/>
        </w:rPr>
        <w:t>тис.кв.м</w:t>
      </w:r>
      <w:proofErr w:type="spellEnd"/>
      <w:r w:rsidRPr="00F009ED">
        <w:rPr>
          <w:rFonts w:ascii="Times New Roman" w:hAnsi="Times New Roman"/>
          <w:sz w:val="26"/>
          <w:szCs w:val="26"/>
          <w:lang w:val="uk-UA" w:eastAsia="ru-RU"/>
        </w:rPr>
        <w:t>. Завершено роботи з реконструкції вул. Земського лікаря Лукашевича від пр. Соборний до вул. Жуковського, капітального ремонту дорожнього покриття трамвайного переїзду по вул. 8 Березня - вул. Верещагіна та ремонту дороги приватного сектору по вул. Піонерській. Продовжуються роботи по таким масштабним проектам як реконструкція автодороги по вул. Тиражній та автомобільної дороги, яка з'єднує автодорогу Н-08 Бориспіль-Дніпропетровськ-Запоріжжя. Роз</w:t>
      </w:r>
      <w:r w:rsidR="00A96B76" w:rsidRPr="00F009ED">
        <w:rPr>
          <w:rFonts w:ascii="Times New Roman" w:hAnsi="Times New Roman"/>
          <w:sz w:val="26"/>
          <w:szCs w:val="26"/>
          <w:lang w:val="uk-UA" w:eastAsia="ru-RU"/>
        </w:rPr>
        <w:t>почато реконструкцію вул. </w:t>
      </w:r>
      <w:r w:rsidRPr="00F009ED">
        <w:rPr>
          <w:rFonts w:ascii="Times New Roman" w:hAnsi="Times New Roman"/>
          <w:sz w:val="26"/>
          <w:szCs w:val="26"/>
          <w:lang w:val="uk-UA" w:eastAsia="ru-RU"/>
        </w:rPr>
        <w:t>Фергансько</w:t>
      </w:r>
      <w:r w:rsidR="00956A40" w:rsidRPr="00F009ED">
        <w:rPr>
          <w:rFonts w:ascii="Times New Roman" w:hAnsi="Times New Roman"/>
          <w:sz w:val="26"/>
          <w:szCs w:val="26"/>
          <w:lang w:val="uk-UA" w:eastAsia="ru-RU"/>
        </w:rPr>
        <w:t xml:space="preserve">ї, </w:t>
      </w:r>
      <w:r w:rsidR="00A96B76" w:rsidRPr="00F009ED">
        <w:rPr>
          <w:rFonts w:ascii="Times New Roman" w:hAnsi="Times New Roman"/>
          <w:sz w:val="26"/>
          <w:szCs w:val="26"/>
          <w:lang w:val="uk-UA" w:eastAsia="ru-RU"/>
        </w:rPr>
        <w:t>вул. </w:t>
      </w:r>
      <w:r w:rsidRPr="00F009ED">
        <w:rPr>
          <w:rFonts w:ascii="Times New Roman" w:hAnsi="Times New Roman"/>
          <w:sz w:val="26"/>
          <w:szCs w:val="26"/>
          <w:lang w:val="uk-UA" w:eastAsia="ru-RU"/>
        </w:rPr>
        <w:t>Шкільної від вул.</w:t>
      </w:r>
      <w:r w:rsidR="00A96B76" w:rsidRPr="00F009ED">
        <w:rPr>
          <w:rFonts w:ascii="Times New Roman" w:hAnsi="Times New Roman"/>
          <w:sz w:val="26"/>
          <w:szCs w:val="26"/>
          <w:lang w:val="uk-UA" w:eastAsia="ru-RU"/>
        </w:rPr>
        <w:t> Фортечної до вул. </w:t>
      </w:r>
      <w:r w:rsidRPr="00F009ED">
        <w:rPr>
          <w:rFonts w:ascii="Times New Roman" w:hAnsi="Times New Roman"/>
          <w:sz w:val="26"/>
          <w:szCs w:val="26"/>
          <w:lang w:val="uk-UA" w:eastAsia="ru-RU"/>
        </w:rPr>
        <w:t>Першої ливарної, пішохідного мосту по пр.</w:t>
      </w:r>
      <w:r w:rsidR="00A96B76" w:rsidRPr="00F009ED">
        <w:rPr>
          <w:rFonts w:ascii="Times New Roman" w:hAnsi="Times New Roman"/>
          <w:sz w:val="26"/>
          <w:szCs w:val="26"/>
          <w:lang w:val="uk-UA" w:eastAsia="ru-RU"/>
        </w:rPr>
        <w:t> </w:t>
      </w:r>
      <w:r w:rsidRPr="00F009ED">
        <w:rPr>
          <w:rFonts w:ascii="Times New Roman" w:hAnsi="Times New Roman"/>
          <w:sz w:val="26"/>
          <w:szCs w:val="26"/>
          <w:lang w:val="uk-UA" w:eastAsia="ru-RU"/>
        </w:rPr>
        <w:t>Металургів та шляхопроводу №1 по вул.</w:t>
      </w:r>
      <w:r w:rsidR="00A96B76" w:rsidRPr="00F009ED">
        <w:rPr>
          <w:rFonts w:ascii="Times New Roman" w:hAnsi="Times New Roman"/>
          <w:sz w:val="26"/>
          <w:szCs w:val="26"/>
          <w:lang w:val="uk-UA" w:eastAsia="ru-RU"/>
        </w:rPr>
        <w:t> К</w:t>
      </w:r>
      <w:r w:rsidRPr="00F009ED">
        <w:rPr>
          <w:rFonts w:ascii="Times New Roman" w:hAnsi="Times New Roman"/>
          <w:sz w:val="26"/>
          <w:szCs w:val="26"/>
          <w:lang w:val="uk-UA" w:eastAsia="ru-RU"/>
        </w:rPr>
        <w:t>алібровій. Крім того</w:t>
      </w:r>
      <w:r w:rsidR="00A96B76" w:rsidRPr="00F009ED">
        <w:rPr>
          <w:rFonts w:ascii="Times New Roman" w:hAnsi="Times New Roman"/>
          <w:sz w:val="26"/>
          <w:szCs w:val="26"/>
          <w:lang w:val="uk-UA" w:eastAsia="ru-RU"/>
        </w:rPr>
        <w:t>,</w:t>
      </w:r>
      <w:r w:rsidRPr="00F009ED">
        <w:rPr>
          <w:rFonts w:ascii="Times New Roman" w:hAnsi="Times New Roman"/>
          <w:sz w:val="26"/>
          <w:szCs w:val="26"/>
          <w:lang w:val="uk-UA" w:eastAsia="ru-RU"/>
        </w:rPr>
        <w:t xml:space="preserve"> тривають проектно-вишукувальні та будівельні роботи по іншим дорогам місцевого значення.</w:t>
      </w:r>
    </w:p>
    <w:p w:rsidR="00534DA1" w:rsidRPr="00F009ED" w:rsidRDefault="00534DA1" w:rsidP="00534DA1">
      <w:pPr>
        <w:pStyle w:val="af1"/>
        <w:numPr>
          <w:ilvl w:val="0"/>
          <w:numId w:val="21"/>
        </w:numPr>
        <w:suppressAutoHyphens/>
        <w:spacing w:after="0" w:line="240" w:lineRule="auto"/>
        <w:ind w:left="0" w:firstLine="851"/>
        <w:jc w:val="both"/>
        <w:rPr>
          <w:rFonts w:ascii="Times New Roman" w:hAnsi="Times New Roman"/>
          <w:sz w:val="26"/>
          <w:szCs w:val="26"/>
          <w:lang w:val="uk-UA" w:eastAsia="ru-RU"/>
        </w:rPr>
      </w:pPr>
      <w:r w:rsidRPr="00F009ED">
        <w:rPr>
          <w:rFonts w:ascii="Times New Roman" w:hAnsi="Times New Roman"/>
          <w:sz w:val="26"/>
          <w:szCs w:val="26"/>
          <w:lang w:val="uk-UA" w:eastAsia="ru-RU"/>
        </w:rPr>
        <w:t>Проведено заходи з благоустрою міста на суму 134,3 </w:t>
      </w:r>
      <w:proofErr w:type="spellStart"/>
      <w:r w:rsidRPr="00F009ED">
        <w:rPr>
          <w:rFonts w:ascii="Times New Roman" w:hAnsi="Times New Roman"/>
          <w:sz w:val="26"/>
          <w:szCs w:val="26"/>
          <w:lang w:val="uk-UA" w:eastAsia="ru-RU"/>
        </w:rPr>
        <w:t>млн.грн</w:t>
      </w:r>
      <w:proofErr w:type="spellEnd"/>
      <w:r w:rsidRPr="00F009ED">
        <w:rPr>
          <w:rFonts w:ascii="Times New Roman" w:hAnsi="Times New Roman"/>
          <w:sz w:val="26"/>
          <w:szCs w:val="26"/>
          <w:lang w:val="uk-UA" w:eastAsia="ru-RU"/>
        </w:rPr>
        <w:t>.</w:t>
      </w:r>
      <w:r w:rsidR="006D14A7" w:rsidRPr="00F009ED">
        <w:rPr>
          <w:rFonts w:ascii="Times New Roman" w:hAnsi="Times New Roman"/>
          <w:sz w:val="26"/>
          <w:szCs w:val="26"/>
          <w:lang w:val="uk-UA" w:eastAsia="ru-RU"/>
        </w:rPr>
        <w:t>,</w:t>
      </w:r>
      <w:r w:rsidRPr="00F009ED">
        <w:rPr>
          <w:rFonts w:ascii="Times New Roman" w:hAnsi="Times New Roman"/>
          <w:sz w:val="26"/>
          <w:szCs w:val="26"/>
          <w:lang w:val="uk-UA" w:eastAsia="ru-RU"/>
        </w:rPr>
        <w:t xml:space="preserve"> а саме: забезпечено зовнішнє освітлення міста, догляд за зе</w:t>
      </w:r>
      <w:r w:rsidR="00956A40" w:rsidRPr="00F009ED">
        <w:rPr>
          <w:rFonts w:ascii="Times New Roman" w:hAnsi="Times New Roman"/>
          <w:sz w:val="26"/>
          <w:szCs w:val="26"/>
          <w:lang w:val="uk-UA" w:eastAsia="ru-RU"/>
        </w:rPr>
        <w:t>леними насадженнями міста</w:t>
      </w:r>
      <w:r w:rsidRPr="00F009ED">
        <w:rPr>
          <w:rFonts w:ascii="Times New Roman" w:hAnsi="Times New Roman"/>
          <w:sz w:val="26"/>
          <w:szCs w:val="26"/>
          <w:lang w:val="uk-UA" w:eastAsia="ru-RU"/>
        </w:rPr>
        <w:t xml:space="preserve">, утримання, </w:t>
      </w:r>
      <w:proofErr w:type="spellStart"/>
      <w:r w:rsidRPr="00F009ED">
        <w:rPr>
          <w:rFonts w:ascii="Times New Roman" w:hAnsi="Times New Roman"/>
          <w:sz w:val="26"/>
          <w:szCs w:val="26"/>
          <w:lang w:val="uk-UA" w:eastAsia="ru-RU"/>
        </w:rPr>
        <w:t>енерго</w:t>
      </w:r>
      <w:r w:rsidR="00727C82" w:rsidRPr="00F009ED">
        <w:rPr>
          <w:rFonts w:ascii="Times New Roman" w:hAnsi="Times New Roman"/>
          <w:sz w:val="26"/>
          <w:szCs w:val="26"/>
          <w:lang w:val="uk-UA" w:eastAsia="ru-RU"/>
        </w:rPr>
        <w:t>-</w:t>
      </w:r>
      <w:proofErr w:type="spellEnd"/>
      <w:r w:rsidRPr="00F009ED">
        <w:rPr>
          <w:rFonts w:ascii="Times New Roman" w:hAnsi="Times New Roman"/>
          <w:sz w:val="26"/>
          <w:szCs w:val="26"/>
          <w:lang w:val="uk-UA" w:eastAsia="ru-RU"/>
        </w:rPr>
        <w:t>, водопостачання парків, пляжів, фонтанів, громадських вбиралень та поточний ремонт їх елементів, утримання, поточний ремонт кладовищ та перевезення експертних трупів, утримання, енергопостачання, поточний ремонт та заміна засобів регулювання дорожнього руху, ліквідація стихійних звалищ та утримання міста в належному санітарному стані, нанесення дорожньої розмітки ліквідація карантинних рослин та ін</w:t>
      </w:r>
      <w:r w:rsidR="006D14A7" w:rsidRPr="00F009ED">
        <w:rPr>
          <w:rFonts w:ascii="Times New Roman" w:hAnsi="Times New Roman"/>
          <w:sz w:val="26"/>
          <w:szCs w:val="26"/>
          <w:lang w:val="uk-UA" w:eastAsia="ru-RU"/>
        </w:rPr>
        <w:t>ше</w:t>
      </w:r>
      <w:r w:rsidRPr="00F009ED">
        <w:rPr>
          <w:rFonts w:ascii="Times New Roman" w:hAnsi="Times New Roman"/>
          <w:sz w:val="26"/>
          <w:szCs w:val="26"/>
          <w:lang w:val="uk-UA" w:eastAsia="ru-RU"/>
        </w:rPr>
        <w:t xml:space="preserve">. </w:t>
      </w:r>
    </w:p>
    <w:p w:rsidR="006D14A7" w:rsidRPr="00F009ED" w:rsidRDefault="00534DA1" w:rsidP="006D14A7">
      <w:pPr>
        <w:pStyle w:val="af1"/>
        <w:numPr>
          <w:ilvl w:val="0"/>
          <w:numId w:val="21"/>
        </w:numPr>
        <w:suppressAutoHyphens/>
        <w:spacing w:after="0" w:line="240" w:lineRule="auto"/>
        <w:ind w:left="0" w:firstLine="709"/>
        <w:jc w:val="both"/>
        <w:rPr>
          <w:sz w:val="26"/>
          <w:szCs w:val="26"/>
          <w:lang w:val="uk-UA"/>
        </w:rPr>
      </w:pPr>
      <w:r w:rsidRPr="00F009ED">
        <w:rPr>
          <w:rFonts w:ascii="Times New Roman" w:hAnsi="Times New Roman"/>
          <w:sz w:val="26"/>
          <w:szCs w:val="26"/>
          <w:lang w:val="uk-UA" w:eastAsia="ru-RU"/>
        </w:rPr>
        <w:t>Проведено будівництво та реконструкцію мереж зовнішнього освітлення скверів, парків, площ міста та пляжів</w:t>
      </w:r>
      <w:r w:rsidR="002B33DB" w:rsidRPr="00F009ED">
        <w:rPr>
          <w:rFonts w:ascii="Times New Roman" w:hAnsi="Times New Roman"/>
          <w:sz w:val="26"/>
          <w:szCs w:val="26"/>
          <w:lang w:val="uk-UA" w:eastAsia="ru-RU"/>
        </w:rPr>
        <w:t xml:space="preserve">, </w:t>
      </w:r>
      <w:r w:rsidRPr="00F009ED">
        <w:rPr>
          <w:rFonts w:ascii="Times New Roman" w:hAnsi="Times New Roman"/>
          <w:sz w:val="26"/>
          <w:szCs w:val="26"/>
          <w:lang w:val="uk-UA" w:eastAsia="ru-RU"/>
        </w:rPr>
        <w:t xml:space="preserve">зливової каналізації, вулиць, тротуарів, зупинок, будівництво полігону твердих побутових відходів (3,1 млн.грн.), будівництво крематорію </w:t>
      </w:r>
      <w:r w:rsidR="00956A40" w:rsidRPr="00F009ED">
        <w:rPr>
          <w:rFonts w:ascii="Times New Roman" w:hAnsi="Times New Roman"/>
          <w:sz w:val="26"/>
          <w:szCs w:val="26"/>
          <w:lang w:val="uk-UA" w:eastAsia="ru-RU"/>
        </w:rPr>
        <w:t xml:space="preserve">та </w:t>
      </w:r>
      <w:proofErr w:type="spellStart"/>
      <w:r w:rsidR="00956A40" w:rsidRPr="00F009ED">
        <w:rPr>
          <w:rFonts w:ascii="Times New Roman" w:hAnsi="Times New Roman"/>
          <w:sz w:val="26"/>
          <w:szCs w:val="26"/>
          <w:lang w:val="uk-UA" w:eastAsia="ru-RU"/>
        </w:rPr>
        <w:t>Кушугумського</w:t>
      </w:r>
      <w:proofErr w:type="spellEnd"/>
      <w:r w:rsidR="00956A40" w:rsidRPr="00F009ED">
        <w:rPr>
          <w:rFonts w:ascii="Times New Roman" w:hAnsi="Times New Roman"/>
          <w:sz w:val="26"/>
          <w:szCs w:val="26"/>
          <w:lang w:val="uk-UA" w:eastAsia="ru-RU"/>
        </w:rPr>
        <w:t xml:space="preserve"> </w:t>
      </w:r>
      <w:proofErr w:type="spellStart"/>
      <w:r w:rsidR="00956A40" w:rsidRPr="00F009ED">
        <w:rPr>
          <w:rFonts w:ascii="Times New Roman" w:hAnsi="Times New Roman"/>
          <w:sz w:val="26"/>
          <w:szCs w:val="26"/>
          <w:lang w:val="uk-UA" w:eastAsia="ru-RU"/>
        </w:rPr>
        <w:t>кладовища</w:t>
      </w:r>
      <w:r w:rsidR="0021059C" w:rsidRPr="00F009ED">
        <w:rPr>
          <w:rFonts w:ascii="Times New Roman" w:hAnsi="Times New Roman"/>
          <w:sz w:val="26"/>
          <w:szCs w:val="26"/>
          <w:lang w:val="uk-UA" w:eastAsia="ru-RU"/>
        </w:rPr>
        <w:t>тощо</w:t>
      </w:r>
      <w:proofErr w:type="spellEnd"/>
      <w:r w:rsidR="0021059C" w:rsidRPr="00F009ED">
        <w:rPr>
          <w:rFonts w:ascii="Times New Roman" w:hAnsi="Times New Roman"/>
          <w:sz w:val="26"/>
          <w:szCs w:val="26"/>
          <w:lang w:val="uk-UA" w:eastAsia="ru-RU"/>
        </w:rPr>
        <w:t xml:space="preserve">. На зазначені цілі спрямовано 44,9 </w:t>
      </w:r>
      <w:proofErr w:type="spellStart"/>
      <w:r w:rsidR="0021059C" w:rsidRPr="00F009ED">
        <w:rPr>
          <w:rFonts w:ascii="Times New Roman" w:hAnsi="Times New Roman"/>
          <w:sz w:val="26"/>
          <w:szCs w:val="26"/>
          <w:lang w:val="uk-UA" w:eastAsia="ru-RU"/>
        </w:rPr>
        <w:t>млн.грн</w:t>
      </w:r>
      <w:proofErr w:type="spellEnd"/>
      <w:r w:rsidR="0021059C" w:rsidRPr="00F009ED">
        <w:rPr>
          <w:rFonts w:ascii="Times New Roman" w:hAnsi="Times New Roman"/>
          <w:sz w:val="26"/>
          <w:szCs w:val="26"/>
          <w:lang w:val="uk-UA" w:eastAsia="ru-RU"/>
        </w:rPr>
        <w:t>.</w:t>
      </w:r>
    </w:p>
    <w:p w:rsidR="00534DA1" w:rsidRPr="00F009ED" w:rsidRDefault="00534DA1" w:rsidP="006D14A7">
      <w:pPr>
        <w:pStyle w:val="af1"/>
        <w:numPr>
          <w:ilvl w:val="0"/>
          <w:numId w:val="21"/>
        </w:numPr>
        <w:suppressAutoHyphens/>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Завершено роботи на 20 мережах зовнішнього освітлення, реконструкці</w:t>
      </w:r>
      <w:r w:rsidR="00FB082C" w:rsidRPr="00F009ED">
        <w:rPr>
          <w:rFonts w:ascii="Times New Roman" w:hAnsi="Times New Roman"/>
          <w:sz w:val="26"/>
          <w:szCs w:val="26"/>
          <w:lang w:val="uk-UA" w:eastAsia="ru-RU"/>
        </w:rPr>
        <w:t>ю</w:t>
      </w:r>
      <w:r w:rsidRPr="00F009ED">
        <w:rPr>
          <w:rFonts w:ascii="Times New Roman" w:hAnsi="Times New Roman"/>
          <w:sz w:val="26"/>
          <w:szCs w:val="26"/>
          <w:lang w:val="uk-UA" w:eastAsia="ru-RU"/>
        </w:rPr>
        <w:t xml:space="preserve"> скверу Театрального в </w:t>
      </w:r>
      <w:proofErr w:type="spellStart"/>
      <w:r w:rsidRPr="00F009ED">
        <w:rPr>
          <w:rFonts w:ascii="Times New Roman" w:hAnsi="Times New Roman"/>
          <w:sz w:val="26"/>
          <w:szCs w:val="26"/>
          <w:lang w:val="uk-UA" w:eastAsia="ru-RU"/>
        </w:rPr>
        <w:t>Олександрівському</w:t>
      </w:r>
      <w:proofErr w:type="spellEnd"/>
      <w:r w:rsidRPr="00F009ED">
        <w:rPr>
          <w:rFonts w:ascii="Times New Roman" w:hAnsi="Times New Roman"/>
          <w:sz w:val="26"/>
          <w:szCs w:val="26"/>
          <w:lang w:val="uk-UA" w:eastAsia="ru-RU"/>
        </w:rPr>
        <w:t xml:space="preserve"> районі, будівництво мереж водопостачання та водовідведення Центрального міського пляжу, капітальний ремонт тротуару по Прибережній магістралі. На етапі завершення 3 черга реконструкції пішохідної частини проспекту Маяковського. Крім того, з метою покращення інфраструктури та привабливості міста продовжуються роботи з реконструкції зон</w:t>
      </w:r>
      <w:r w:rsidR="00FB082C" w:rsidRPr="00F009ED">
        <w:rPr>
          <w:rFonts w:ascii="Times New Roman" w:hAnsi="Times New Roman"/>
          <w:sz w:val="26"/>
          <w:szCs w:val="26"/>
          <w:lang w:val="uk-UA" w:eastAsia="ru-RU"/>
        </w:rPr>
        <w:t xml:space="preserve"> </w:t>
      </w:r>
      <w:hyperlink r:id="rId13" w:history="1">
        <w:r w:rsidRPr="00F009ED">
          <w:rPr>
            <w:rFonts w:ascii="Times New Roman" w:hAnsi="Times New Roman"/>
            <w:sz w:val="26"/>
            <w:szCs w:val="26"/>
            <w:lang w:val="uk-UA" w:eastAsia="ru-RU"/>
          </w:rPr>
          <w:t>відпочинку</w:t>
        </w:r>
      </w:hyperlink>
      <w:r w:rsidRPr="00F009ED">
        <w:rPr>
          <w:rFonts w:ascii="Times New Roman" w:hAnsi="Times New Roman"/>
          <w:sz w:val="26"/>
          <w:szCs w:val="26"/>
          <w:lang w:val="uk-UA" w:eastAsia="ru-RU"/>
        </w:rPr>
        <w:t xml:space="preserve"> мешканців міста, зокрема</w:t>
      </w:r>
      <w:r w:rsidR="00FB082C" w:rsidRPr="00F009ED">
        <w:rPr>
          <w:rFonts w:ascii="Times New Roman" w:hAnsi="Times New Roman"/>
          <w:sz w:val="26"/>
          <w:szCs w:val="26"/>
          <w:lang w:val="uk-UA" w:eastAsia="ru-RU"/>
        </w:rPr>
        <w:t xml:space="preserve"> парку ім. </w:t>
      </w:r>
      <w:r w:rsidRPr="00F009ED">
        <w:rPr>
          <w:rFonts w:ascii="Times New Roman" w:hAnsi="Times New Roman"/>
          <w:sz w:val="26"/>
          <w:szCs w:val="26"/>
          <w:lang w:val="uk-UA" w:eastAsia="ru-RU"/>
        </w:rPr>
        <w:t>Гагаріна, центральної алеї у сквері Ювілейному. Розпочато проектування реконструкції площ Запорізької та Фестивальної, парк</w:t>
      </w:r>
      <w:r w:rsidR="00FB082C" w:rsidRPr="00F009ED">
        <w:rPr>
          <w:rFonts w:ascii="Times New Roman" w:hAnsi="Times New Roman"/>
          <w:sz w:val="26"/>
          <w:szCs w:val="26"/>
          <w:lang w:val="uk-UA" w:eastAsia="ru-RU"/>
        </w:rPr>
        <w:t>у Дубовий гай та скверу по вул. Лізи Чайкіної.</w:t>
      </w:r>
    </w:p>
    <w:p w:rsidR="00534DA1" w:rsidRPr="00F009ED" w:rsidRDefault="00534DA1" w:rsidP="00534DA1">
      <w:pPr>
        <w:pStyle w:val="af1"/>
        <w:numPr>
          <w:ilvl w:val="0"/>
          <w:numId w:val="21"/>
        </w:numPr>
        <w:suppressAutoHyphens/>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Придбано спеціалізовану комунальну техніку – 0,4 млн.грн. </w:t>
      </w:r>
    </w:p>
    <w:p w:rsidR="00534DA1" w:rsidRPr="00F009ED" w:rsidRDefault="00534DA1" w:rsidP="00534DA1">
      <w:pPr>
        <w:pStyle w:val="af1"/>
        <w:numPr>
          <w:ilvl w:val="0"/>
          <w:numId w:val="21"/>
        </w:numPr>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В рамках Програми поводження з тваринами м. Запоріжжя здійснено видатки на проведення заходів з регулювання чисельності тварин та забезпечення </w:t>
      </w:r>
      <w:r w:rsidRPr="00F009ED">
        <w:rPr>
          <w:rFonts w:ascii="Times New Roman" w:hAnsi="Times New Roman"/>
          <w:sz w:val="26"/>
          <w:szCs w:val="26"/>
          <w:lang w:val="uk-UA" w:eastAsia="ru-RU"/>
        </w:rPr>
        <w:lastRenderedPageBreak/>
        <w:t xml:space="preserve">функціонування </w:t>
      </w:r>
      <w:proofErr w:type="spellStart"/>
      <w:r w:rsidRPr="00F009ED">
        <w:rPr>
          <w:rFonts w:ascii="Times New Roman" w:hAnsi="Times New Roman"/>
          <w:sz w:val="26"/>
          <w:szCs w:val="26"/>
          <w:lang w:val="uk-UA" w:eastAsia="ru-RU"/>
        </w:rPr>
        <w:t>КП</w:t>
      </w:r>
      <w:proofErr w:type="spellEnd"/>
      <w:r w:rsidRPr="00F009ED">
        <w:rPr>
          <w:rFonts w:ascii="Times New Roman" w:hAnsi="Times New Roman"/>
          <w:sz w:val="26"/>
          <w:szCs w:val="26"/>
          <w:lang w:val="uk-UA" w:eastAsia="ru-RU"/>
        </w:rPr>
        <w:t xml:space="preserve"> «</w:t>
      </w:r>
      <w:proofErr w:type="spellStart"/>
      <w:r w:rsidRPr="00F009ED">
        <w:rPr>
          <w:rFonts w:ascii="Times New Roman" w:hAnsi="Times New Roman"/>
          <w:sz w:val="26"/>
          <w:szCs w:val="26"/>
          <w:lang w:val="uk-UA" w:eastAsia="ru-RU"/>
        </w:rPr>
        <w:t>Побутовик</w:t>
      </w:r>
      <w:proofErr w:type="spellEnd"/>
      <w:r w:rsidRPr="00F009ED">
        <w:rPr>
          <w:rFonts w:ascii="Times New Roman" w:hAnsi="Times New Roman"/>
          <w:sz w:val="26"/>
          <w:szCs w:val="26"/>
          <w:lang w:val="uk-UA" w:eastAsia="ru-RU"/>
        </w:rPr>
        <w:t>», яке займається питаннями у сфері поводження з тваринами в розмірі 0,6 млн.грн., або 47,7% від планових показників.</w:t>
      </w:r>
    </w:p>
    <w:p w:rsidR="00534DA1" w:rsidRPr="00F009ED" w:rsidRDefault="00534DA1" w:rsidP="00534DA1">
      <w:pPr>
        <w:pStyle w:val="af1"/>
        <w:numPr>
          <w:ilvl w:val="0"/>
          <w:numId w:val="21"/>
        </w:numPr>
        <w:suppressAutoHyphens/>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Проведено заходи з дератизації відкритих стацій та дезінсекції </w:t>
      </w:r>
      <w:proofErr w:type="spellStart"/>
      <w:r w:rsidRPr="00F009ED">
        <w:rPr>
          <w:rFonts w:ascii="Times New Roman" w:hAnsi="Times New Roman"/>
          <w:sz w:val="26"/>
          <w:szCs w:val="26"/>
          <w:lang w:val="uk-UA" w:eastAsia="ru-RU"/>
        </w:rPr>
        <w:t>анофелогенних</w:t>
      </w:r>
      <w:proofErr w:type="spellEnd"/>
      <w:r w:rsidRPr="00F009ED">
        <w:rPr>
          <w:rFonts w:ascii="Times New Roman" w:hAnsi="Times New Roman"/>
          <w:sz w:val="26"/>
          <w:szCs w:val="26"/>
          <w:lang w:val="uk-UA" w:eastAsia="ru-RU"/>
        </w:rPr>
        <w:t xml:space="preserve"> водоймищ в місті на суму 0,3 млн.грн.</w:t>
      </w:r>
    </w:p>
    <w:p w:rsidR="00534DA1" w:rsidRPr="00F009ED" w:rsidRDefault="00534DA1" w:rsidP="00534DA1">
      <w:pPr>
        <w:pStyle w:val="af1"/>
        <w:numPr>
          <w:ilvl w:val="0"/>
          <w:numId w:val="21"/>
        </w:numPr>
        <w:suppressAutoHyphens/>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Здійснено видатки на святкування Дня міста у розмірі 0,3 млн.грн.</w:t>
      </w:r>
    </w:p>
    <w:p w:rsidR="00D77C80" w:rsidRPr="00F009ED" w:rsidRDefault="00D77C80" w:rsidP="00D77C80">
      <w:pPr>
        <w:pStyle w:val="af1"/>
        <w:numPr>
          <w:ilvl w:val="0"/>
          <w:numId w:val="15"/>
        </w:numPr>
        <w:suppressAutoHyphens/>
        <w:spacing w:after="0" w:line="240" w:lineRule="auto"/>
        <w:ind w:left="0" w:firstLine="709"/>
        <w:jc w:val="both"/>
        <w:rPr>
          <w:rFonts w:ascii="Times New Roman" w:hAnsi="Times New Roman"/>
          <w:sz w:val="26"/>
          <w:szCs w:val="26"/>
          <w:lang w:val="uk-UA" w:eastAsia="ru-RU"/>
        </w:rPr>
      </w:pPr>
      <w:r w:rsidRPr="00F009ED">
        <w:rPr>
          <w:rFonts w:ascii="Times New Roman" w:hAnsi="Times New Roman"/>
          <w:sz w:val="26"/>
          <w:szCs w:val="26"/>
          <w:lang w:val="uk-UA" w:eastAsia="ru-RU"/>
        </w:rPr>
        <w:t xml:space="preserve">На розвиток транспортної галузі спрямовано 443,7 млн.грн. (84,0% планових призначень). </w:t>
      </w:r>
    </w:p>
    <w:p w:rsidR="00D77C80" w:rsidRPr="00F009ED" w:rsidRDefault="00D77C80" w:rsidP="00D77C80">
      <w:pPr>
        <w:pStyle w:val="213"/>
        <w:spacing w:after="0" w:line="240" w:lineRule="auto"/>
        <w:ind w:left="709"/>
        <w:jc w:val="both"/>
        <w:rPr>
          <w:kern w:val="0"/>
          <w:sz w:val="26"/>
          <w:szCs w:val="26"/>
          <w:lang w:eastAsia="ru-RU"/>
        </w:rPr>
      </w:pPr>
      <w:r w:rsidRPr="00F009ED">
        <w:rPr>
          <w:kern w:val="0"/>
          <w:sz w:val="26"/>
          <w:szCs w:val="26"/>
          <w:lang w:eastAsia="ru-RU"/>
        </w:rPr>
        <w:t>За рахунок зазначених коштів:</w:t>
      </w:r>
    </w:p>
    <w:p w:rsidR="00D77C80" w:rsidRPr="00F009ED" w:rsidRDefault="00D77C80" w:rsidP="00D77C80">
      <w:pPr>
        <w:pStyle w:val="213"/>
        <w:numPr>
          <w:ilvl w:val="0"/>
          <w:numId w:val="22"/>
        </w:numPr>
        <w:spacing w:after="0" w:line="240" w:lineRule="auto"/>
        <w:ind w:left="0" w:firstLine="709"/>
        <w:jc w:val="both"/>
        <w:rPr>
          <w:kern w:val="0"/>
          <w:sz w:val="26"/>
          <w:szCs w:val="26"/>
          <w:lang w:eastAsia="ru-RU"/>
        </w:rPr>
      </w:pPr>
      <w:r w:rsidRPr="00F009ED">
        <w:rPr>
          <w:kern w:val="0"/>
          <w:sz w:val="26"/>
          <w:szCs w:val="26"/>
          <w:lang w:eastAsia="ru-RU"/>
        </w:rPr>
        <w:t xml:space="preserve">профінансовано продовження робіт з будівництва пасажирського терміналу </w:t>
      </w:r>
      <w:proofErr w:type="spellStart"/>
      <w:r w:rsidRPr="00F009ED">
        <w:rPr>
          <w:kern w:val="0"/>
          <w:sz w:val="26"/>
          <w:szCs w:val="26"/>
          <w:lang w:eastAsia="ru-RU"/>
        </w:rPr>
        <w:t>КП</w:t>
      </w:r>
      <w:proofErr w:type="spellEnd"/>
      <w:r w:rsidRPr="00F009ED">
        <w:rPr>
          <w:kern w:val="0"/>
          <w:sz w:val="26"/>
          <w:szCs w:val="26"/>
          <w:lang w:eastAsia="ru-RU"/>
        </w:rPr>
        <w:t xml:space="preserve"> "Міжнародний аеропорт Запоріжжя"– 203,0 млн.грн.</w:t>
      </w:r>
    </w:p>
    <w:p w:rsidR="00D77C80" w:rsidRPr="00F009ED" w:rsidRDefault="00D77C80" w:rsidP="00D77C80">
      <w:pPr>
        <w:pStyle w:val="213"/>
        <w:numPr>
          <w:ilvl w:val="0"/>
          <w:numId w:val="22"/>
        </w:numPr>
        <w:spacing w:after="0" w:line="240" w:lineRule="auto"/>
        <w:ind w:left="0" w:firstLine="709"/>
        <w:jc w:val="both"/>
        <w:rPr>
          <w:kern w:val="0"/>
          <w:sz w:val="26"/>
          <w:szCs w:val="26"/>
          <w:lang w:eastAsia="ru-RU"/>
        </w:rPr>
      </w:pPr>
      <w:r w:rsidRPr="00F009ED">
        <w:rPr>
          <w:kern w:val="0"/>
          <w:sz w:val="26"/>
          <w:szCs w:val="26"/>
          <w:lang w:eastAsia="ru-RU"/>
        </w:rPr>
        <w:t xml:space="preserve">проведено видатки для забезпечення виконання умов договору фінансового лізингу на придбання автобусів великої місткості – 96,6 млн.грн. </w:t>
      </w:r>
    </w:p>
    <w:p w:rsidR="00D77C80" w:rsidRPr="00F009ED" w:rsidRDefault="00D77C80" w:rsidP="00D77C80">
      <w:pPr>
        <w:pStyle w:val="213"/>
        <w:numPr>
          <w:ilvl w:val="0"/>
          <w:numId w:val="22"/>
        </w:numPr>
        <w:spacing w:after="0" w:line="240" w:lineRule="auto"/>
        <w:ind w:left="0" w:firstLine="709"/>
        <w:jc w:val="both"/>
        <w:rPr>
          <w:kern w:val="0"/>
          <w:sz w:val="26"/>
          <w:szCs w:val="26"/>
          <w:lang w:eastAsia="ru-RU"/>
        </w:rPr>
      </w:pPr>
      <w:r w:rsidRPr="00F009ED">
        <w:rPr>
          <w:kern w:val="0"/>
          <w:sz w:val="26"/>
          <w:szCs w:val="26"/>
          <w:lang w:eastAsia="ru-RU"/>
        </w:rPr>
        <w:t>надано фінансову підтримку ЗКПМЕТ «</w:t>
      </w:r>
      <w:proofErr w:type="spellStart"/>
      <w:r w:rsidRPr="00F009ED">
        <w:rPr>
          <w:kern w:val="0"/>
          <w:sz w:val="26"/>
          <w:szCs w:val="26"/>
          <w:lang w:eastAsia="ru-RU"/>
        </w:rPr>
        <w:t>Запоріжелектротранс</w:t>
      </w:r>
      <w:proofErr w:type="spellEnd"/>
      <w:r w:rsidRPr="00F009ED">
        <w:rPr>
          <w:kern w:val="0"/>
          <w:sz w:val="26"/>
          <w:szCs w:val="26"/>
          <w:lang w:eastAsia="ru-RU"/>
        </w:rPr>
        <w:t>» для забезпечення належної та безперебійної роботи підприємства – 70,7 млн.грн.</w:t>
      </w:r>
    </w:p>
    <w:p w:rsidR="00D77C80" w:rsidRPr="00F009ED" w:rsidRDefault="00D77C80" w:rsidP="00D77C80">
      <w:pPr>
        <w:pStyle w:val="213"/>
        <w:numPr>
          <w:ilvl w:val="0"/>
          <w:numId w:val="22"/>
        </w:numPr>
        <w:spacing w:after="0" w:line="240" w:lineRule="auto"/>
        <w:ind w:left="0" w:firstLine="709"/>
        <w:jc w:val="both"/>
        <w:rPr>
          <w:kern w:val="0"/>
          <w:sz w:val="26"/>
          <w:szCs w:val="26"/>
          <w:lang w:eastAsia="ru-RU"/>
        </w:rPr>
      </w:pPr>
      <w:r w:rsidRPr="00F009ED">
        <w:rPr>
          <w:kern w:val="0"/>
          <w:sz w:val="26"/>
          <w:szCs w:val="26"/>
          <w:lang w:eastAsia="ru-RU"/>
        </w:rPr>
        <w:t xml:space="preserve">здійснено внески до статутних капіталів </w:t>
      </w:r>
      <w:proofErr w:type="spellStart"/>
      <w:r w:rsidRPr="00F009ED">
        <w:rPr>
          <w:kern w:val="0"/>
          <w:sz w:val="26"/>
          <w:szCs w:val="26"/>
          <w:lang w:eastAsia="ru-RU"/>
        </w:rPr>
        <w:t>КП</w:t>
      </w:r>
      <w:proofErr w:type="spellEnd"/>
      <w:r w:rsidRPr="00F009ED">
        <w:rPr>
          <w:kern w:val="0"/>
          <w:sz w:val="26"/>
          <w:szCs w:val="26"/>
          <w:lang w:eastAsia="ru-RU"/>
        </w:rPr>
        <w:t xml:space="preserve"> «Міжнародний аеропорт Запоріжжя», ЗКПМЕТ «</w:t>
      </w:r>
      <w:proofErr w:type="spellStart"/>
      <w:r w:rsidRPr="00F009ED">
        <w:rPr>
          <w:kern w:val="0"/>
          <w:sz w:val="26"/>
          <w:szCs w:val="26"/>
          <w:lang w:eastAsia="ru-RU"/>
        </w:rPr>
        <w:t>Запоріжелектротранс</w:t>
      </w:r>
      <w:proofErr w:type="spellEnd"/>
      <w:r w:rsidRPr="00F009ED">
        <w:rPr>
          <w:kern w:val="0"/>
          <w:sz w:val="26"/>
          <w:szCs w:val="26"/>
          <w:lang w:eastAsia="ru-RU"/>
        </w:rPr>
        <w:t xml:space="preserve">» та </w:t>
      </w:r>
      <w:proofErr w:type="spellStart"/>
      <w:r w:rsidRPr="00F009ED">
        <w:rPr>
          <w:kern w:val="0"/>
          <w:sz w:val="26"/>
          <w:szCs w:val="26"/>
          <w:lang w:eastAsia="ru-RU"/>
        </w:rPr>
        <w:t>КП</w:t>
      </w:r>
      <w:proofErr w:type="spellEnd"/>
      <w:r w:rsidRPr="00F009ED">
        <w:rPr>
          <w:kern w:val="0"/>
          <w:sz w:val="26"/>
          <w:szCs w:val="26"/>
          <w:lang w:eastAsia="ru-RU"/>
        </w:rPr>
        <w:t xml:space="preserve"> "Запорізькій центр диспетчеризації громадського транспорту" – 51,6 млн.грн. Проведено технічне переоснащення радіотехнічних засобів навігації та посадки аеродромного комплексу аеропорту, проведено оплату за встановлення інтерактивних екранів на зупинках міського  електротранспорту та придбання комп’ютерної техніки, продовжено капітальний ремонт трамваїв Т-3 та проведено попередню оплату за поставку 12 трамваїв, що раніше експлуатувалися.</w:t>
      </w:r>
    </w:p>
    <w:p w:rsidR="00D77C80" w:rsidRPr="00F009ED" w:rsidRDefault="00D77C80" w:rsidP="00D77C80">
      <w:pPr>
        <w:pStyle w:val="213"/>
        <w:numPr>
          <w:ilvl w:val="0"/>
          <w:numId w:val="22"/>
        </w:numPr>
        <w:spacing w:after="0" w:line="240" w:lineRule="auto"/>
        <w:ind w:left="0" w:firstLine="709"/>
        <w:jc w:val="both"/>
        <w:rPr>
          <w:kern w:val="0"/>
          <w:sz w:val="26"/>
          <w:szCs w:val="26"/>
          <w:lang w:eastAsia="ru-RU"/>
        </w:rPr>
      </w:pPr>
      <w:r w:rsidRPr="00F009ED">
        <w:rPr>
          <w:kern w:val="0"/>
          <w:sz w:val="26"/>
          <w:szCs w:val="26"/>
          <w:lang w:eastAsia="ru-RU"/>
        </w:rPr>
        <w:t xml:space="preserve"> проведено капітальний ремонт злітно-посадкової смуги - 19,4</w:t>
      </w:r>
      <w:r w:rsidR="0044040F" w:rsidRPr="00F009ED">
        <w:rPr>
          <w:kern w:val="0"/>
          <w:sz w:val="26"/>
          <w:szCs w:val="26"/>
          <w:lang w:eastAsia="ru-RU"/>
        </w:rPr>
        <w:t> </w:t>
      </w:r>
      <w:r w:rsidRPr="00F009ED">
        <w:rPr>
          <w:kern w:val="0"/>
          <w:sz w:val="26"/>
          <w:szCs w:val="26"/>
          <w:lang w:eastAsia="ru-RU"/>
        </w:rPr>
        <w:t>млн.грн.</w:t>
      </w:r>
    </w:p>
    <w:p w:rsidR="00D77C80" w:rsidRPr="00F009ED" w:rsidRDefault="00D77C80" w:rsidP="00D77C80">
      <w:pPr>
        <w:pStyle w:val="213"/>
        <w:numPr>
          <w:ilvl w:val="0"/>
          <w:numId w:val="22"/>
        </w:numPr>
        <w:spacing w:after="0" w:line="240" w:lineRule="auto"/>
        <w:ind w:left="0" w:firstLine="709"/>
        <w:jc w:val="both"/>
        <w:rPr>
          <w:kern w:val="0"/>
          <w:sz w:val="26"/>
          <w:szCs w:val="26"/>
          <w:lang w:eastAsia="ru-RU"/>
        </w:rPr>
      </w:pPr>
      <w:r w:rsidRPr="00F009ED">
        <w:rPr>
          <w:kern w:val="0"/>
          <w:sz w:val="26"/>
          <w:szCs w:val="26"/>
          <w:lang w:eastAsia="ru-RU"/>
        </w:rPr>
        <w:t>продовжуються роботи з реконструкції огородження по периметру охоронної зони обмеженого доступу - 2,4 млн.грн.</w:t>
      </w:r>
    </w:p>
    <w:p w:rsidR="00372156" w:rsidRPr="00F009ED" w:rsidRDefault="00372156" w:rsidP="00A92660">
      <w:pPr>
        <w:pStyle w:val="213"/>
        <w:numPr>
          <w:ilvl w:val="0"/>
          <w:numId w:val="15"/>
        </w:numPr>
        <w:spacing w:after="0" w:line="240" w:lineRule="auto"/>
        <w:ind w:left="0" w:firstLine="709"/>
        <w:contextualSpacing/>
        <w:jc w:val="both"/>
        <w:rPr>
          <w:kern w:val="0"/>
          <w:sz w:val="26"/>
          <w:szCs w:val="26"/>
          <w:lang w:eastAsia="ru-RU"/>
        </w:rPr>
      </w:pPr>
      <w:r w:rsidRPr="00F009ED">
        <w:rPr>
          <w:kern w:val="0"/>
          <w:sz w:val="26"/>
          <w:szCs w:val="26"/>
          <w:lang w:eastAsia="ru-RU"/>
        </w:rPr>
        <w:t xml:space="preserve">На заходи у сфері зв’язку, телекомунікації та інформатики з бюджету виділено </w:t>
      </w:r>
      <w:r w:rsidR="00D77C80" w:rsidRPr="00F009ED">
        <w:rPr>
          <w:kern w:val="0"/>
          <w:sz w:val="26"/>
          <w:szCs w:val="26"/>
          <w:lang w:eastAsia="ru-RU"/>
        </w:rPr>
        <w:t xml:space="preserve">15,2 </w:t>
      </w:r>
      <w:r w:rsidRPr="00F009ED">
        <w:rPr>
          <w:kern w:val="0"/>
          <w:sz w:val="26"/>
          <w:szCs w:val="26"/>
          <w:lang w:eastAsia="ru-RU"/>
        </w:rPr>
        <w:t xml:space="preserve"> млн.грн. </w:t>
      </w:r>
      <w:r w:rsidR="00D77C80" w:rsidRPr="00F009ED">
        <w:rPr>
          <w:kern w:val="0"/>
          <w:sz w:val="26"/>
          <w:szCs w:val="26"/>
          <w:lang w:eastAsia="ru-RU"/>
        </w:rPr>
        <w:t>В рамках виконання міської цільової програми «Безпечне місто Запоріжжя» продовж</w:t>
      </w:r>
      <w:r w:rsidR="0044040F" w:rsidRPr="00F009ED">
        <w:rPr>
          <w:kern w:val="0"/>
          <w:sz w:val="26"/>
          <w:szCs w:val="26"/>
          <w:lang w:eastAsia="ru-RU"/>
        </w:rPr>
        <w:t>уються</w:t>
      </w:r>
      <w:r w:rsidR="00D77C80" w:rsidRPr="00F009ED">
        <w:rPr>
          <w:kern w:val="0"/>
          <w:sz w:val="26"/>
          <w:szCs w:val="26"/>
          <w:lang w:eastAsia="ru-RU"/>
        </w:rPr>
        <w:t xml:space="preserve"> будівельн</w:t>
      </w:r>
      <w:r w:rsidR="0044040F" w:rsidRPr="00F009ED">
        <w:rPr>
          <w:kern w:val="0"/>
          <w:sz w:val="26"/>
          <w:szCs w:val="26"/>
          <w:lang w:eastAsia="ru-RU"/>
        </w:rPr>
        <w:t>і</w:t>
      </w:r>
      <w:r w:rsidR="00D77C80" w:rsidRPr="00F009ED">
        <w:rPr>
          <w:kern w:val="0"/>
          <w:sz w:val="26"/>
          <w:szCs w:val="26"/>
          <w:lang w:eastAsia="ru-RU"/>
        </w:rPr>
        <w:t xml:space="preserve"> роб</w:t>
      </w:r>
      <w:r w:rsidR="0044040F" w:rsidRPr="00F009ED">
        <w:rPr>
          <w:kern w:val="0"/>
          <w:sz w:val="26"/>
          <w:szCs w:val="26"/>
          <w:lang w:eastAsia="ru-RU"/>
        </w:rPr>
        <w:t xml:space="preserve">оти </w:t>
      </w:r>
      <w:r w:rsidR="00D77C80" w:rsidRPr="00F009ED">
        <w:rPr>
          <w:kern w:val="0"/>
          <w:sz w:val="26"/>
          <w:szCs w:val="26"/>
          <w:lang w:eastAsia="ru-RU"/>
        </w:rPr>
        <w:t xml:space="preserve">зі створення Ситуаційного командного центру та будівництво зон </w:t>
      </w:r>
      <w:proofErr w:type="spellStart"/>
      <w:r w:rsidR="00D77C80" w:rsidRPr="00F009ED">
        <w:rPr>
          <w:kern w:val="0"/>
          <w:sz w:val="26"/>
          <w:szCs w:val="26"/>
          <w:lang w:eastAsia="ru-RU"/>
        </w:rPr>
        <w:t>відеоспостереження</w:t>
      </w:r>
      <w:proofErr w:type="spellEnd"/>
      <w:r w:rsidR="00D77C80" w:rsidRPr="00F009ED">
        <w:rPr>
          <w:kern w:val="0"/>
          <w:sz w:val="26"/>
          <w:szCs w:val="26"/>
          <w:lang w:eastAsia="ru-RU"/>
        </w:rPr>
        <w:t xml:space="preserve"> </w:t>
      </w:r>
      <w:r w:rsidR="0044040F" w:rsidRPr="00F009ED">
        <w:rPr>
          <w:kern w:val="0"/>
          <w:sz w:val="26"/>
          <w:szCs w:val="26"/>
          <w:lang w:eastAsia="ru-RU"/>
        </w:rPr>
        <w:t>(у звітному періоді використано 9,6 млн.грн.), на</w:t>
      </w:r>
      <w:r w:rsidRPr="00F009ED">
        <w:rPr>
          <w:kern w:val="0"/>
          <w:sz w:val="26"/>
          <w:szCs w:val="26"/>
          <w:lang w:eastAsia="ru-RU"/>
        </w:rPr>
        <w:t xml:space="preserve"> реалізацію заходів програми "Цифрова стратегія міста на 2017-2020 роки" </w:t>
      </w:r>
      <w:r w:rsidR="0044040F" w:rsidRPr="00F009ED">
        <w:rPr>
          <w:kern w:val="0"/>
          <w:sz w:val="26"/>
          <w:szCs w:val="26"/>
          <w:lang w:eastAsia="ru-RU"/>
        </w:rPr>
        <w:t>спрямовано</w:t>
      </w:r>
      <w:r w:rsidRPr="00F009ED">
        <w:rPr>
          <w:kern w:val="0"/>
          <w:sz w:val="26"/>
          <w:szCs w:val="26"/>
          <w:lang w:eastAsia="ru-RU"/>
        </w:rPr>
        <w:t xml:space="preserve"> </w:t>
      </w:r>
      <w:r w:rsidR="00D77C80" w:rsidRPr="00F009ED">
        <w:rPr>
          <w:kern w:val="0"/>
          <w:sz w:val="26"/>
          <w:szCs w:val="26"/>
          <w:lang w:eastAsia="ru-RU"/>
        </w:rPr>
        <w:t>5,6</w:t>
      </w:r>
      <w:r w:rsidRPr="00F009ED">
        <w:rPr>
          <w:kern w:val="0"/>
          <w:sz w:val="26"/>
          <w:szCs w:val="26"/>
          <w:lang w:eastAsia="ru-RU"/>
        </w:rPr>
        <w:t> млн.грн.</w:t>
      </w:r>
    </w:p>
    <w:p w:rsidR="00372156" w:rsidRPr="00F009ED" w:rsidRDefault="00372156" w:rsidP="00A92660">
      <w:pPr>
        <w:pStyle w:val="213"/>
        <w:numPr>
          <w:ilvl w:val="0"/>
          <w:numId w:val="15"/>
        </w:numPr>
        <w:spacing w:after="0" w:line="240" w:lineRule="auto"/>
        <w:ind w:left="0" w:firstLine="709"/>
        <w:contextualSpacing/>
        <w:jc w:val="both"/>
        <w:rPr>
          <w:kern w:val="0"/>
          <w:sz w:val="26"/>
          <w:szCs w:val="26"/>
          <w:lang w:eastAsia="ru-RU"/>
        </w:rPr>
      </w:pPr>
      <w:r w:rsidRPr="00F009ED">
        <w:rPr>
          <w:kern w:val="0"/>
          <w:sz w:val="26"/>
          <w:szCs w:val="26"/>
          <w:lang w:eastAsia="ru-RU"/>
        </w:rPr>
        <w:t xml:space="preserve">На виконання завдань Програми раціонального використання території та комплексного містобудівного розвитку міста використано </w:t>
      </w:r>
      <w:r w:rsidR="00D77C80" w:rsidRPr="00F009ED">
        <w:rPr>
          <w:kern w:val="0"/>
          <w:sz w:val="26"/>
          <w:szCs w:val="26"/>
          <w:lang w:eastAsia="ru-RU"/>
        </w:rPr>
        <w:t>1</w:t>
      </w:r>
      <w:r w:rsidRPr="00F009ED">
        <w:rPr>
          <w:kern w:val="0"/>
          <w:sz w:val="26"/>
          <w:szCs w:val="26"/>
          <w:lang w:eastAsia="ru-RU"/>
        </w:rPr>
        <w:t>,8 млн.грн. (доопрацювання матеріал</w:t>
      </w:r>
      <w:r w:rsidR="00372167" w:rsidRPr="00F009ED">
        <w:rPr>
          <w:kern w:val="0"/>
          <w:sz w:val="26"/>
          <w:szCs w:val="26"/>
          <w:lang w:eastAsia="ru-RU"/>
        </w:rPr>
        <w:t>ів плану зонування території м. </w:t>
      </w:r>
      <w:r w:rsidRPr="00F009ED">
        <w:rPr>
          <w:kern w:val="0"/>
          <w:sz w:val="26"/>
          <w:szCs w:val="26"/>
          <w:lang w:eastAsia="ru-RU"/>
        </w:rPr>
        <w:t xml:space="preserve">Запоріжжя, розроблення і рецензія </w:t>
      </w:r>
      <w:r w:rsidR="00D67331" w:rsidRPr="00F009ED">
        <w:rPr>
          <w:kern w:val="0"/>
          <w:sz w:val="26"/>
          <w:szCs w:val="26"/>
          <w:lang w:eastAsia="ru-RU"/>
        </w:rPr>
        <w:t>7</w:t>
      </w:r>
      <w:r w:rsidRPr="00F009ED">
        <w:rPr>
          <w:kern w:val="0"/>
          <w:sz w:val="26"/>
          <w:szCs w:val="26"/>
          <w:lang w:eastAsia="ru-RU"/>
        </w:rPr>
        <w:t xml:space="preserve"> детальних планів).</w:t>
      </w:r>
    </w:p>
    <w:p w:rsidR="00372156" w:rsidRPr="00F009ED" w:rsidRDefault="00372156" w:rsidP="00A92660">
      <w:pPr>
        <w:pStyle w:val="213"/>
        <w:numPr>
          <w:ilvl w:val="0"/>
          <w:numId w:val="15"/>
        </w:numPr>
        <w:spacing w:after="0" w:line="240" w:lineRule="auto"/>
        <w:ind w:left="0" w:firstLine="708"/>
        <w:contextualSpacing/>
        <w:jc w:val="both"/>
        <w:rPr>
          <w:kern w:val="0"/>
          <w:sz w:val="26"/>
          <w:szCs w:val="26"/>
          <w:lang w:eastAsia="ru-RU"/>
        </w:rPr>
      </w:pPr>
      <w:r w:rsidRPr="00F009ED">
        <w:rPr>
          <w:kern w:val="0"/>
          <w:sz w:val="26"/>
          <w:szCs w:val="26"/>
          <w:lang w:eastAsia="ru-RU"/>
        </w:rPr>
        <w:t xml:space="preserve">Забезпечено функціонування Комунальної спеціальної воєнізованої аварійно-рятувальної служби та Запорізької міської рятувально-водолазної служби. На зазначені цілі спрямовано </w:t>
      </w:r>
      <w:r w:rsidR="00D77C80" w:rsidRPr="00F009ED">
        <w:rPr>
          <w:kern w:val="0"/>
          <w:sz w:val="26"/>
          <w:szCs w:val="26"/>
          <w:lang w:eastAsia="ru-RU"/>
        </w:rPr>
        <w:t>10,3</w:t>
      </w:r>
      <w:r w:rsidRPr="00F009ED">
        <w:rPr>
          <w:kern w:val="0"/>
          <w:sz w:val="26"/>
          <w:szCs w:val="26"/>
          <w:lang w:eastAsia="ru-RU"/>
        </w:rPr>
        <w:t xml:space="preserve"> млн.грн. </w:t>
      </w:r>
    </w:p>
    <w:p w:rsidR="00D77C80" w:rsidRPr="00F009ED" w:rsidRDefault="00D77C80" w:rsidP="00D77C80">
      <w:pPr>
        <w:pStyle w:val="213"/>
        <w:numPr>
          <w:ilvl w:val="0"/>
          <w:numId w:val="15"/>
        </w:numPr>
        <w:spacing w:after="0" w:line="240" w:lineRule="auto"/>
        <w:ind w:left="0" w:firstLine="708"/>
        <w:contextualSpacing/>
        <w:jc w:val="both"/>
        <w:rPr>
          <w:kern w:val="0"/>
          <w:sz w:val="26"/>
          <w:szCs w:val="26"/>
          <w:lang w:eastAsia="ru-RU"/>
        </w:rPr>
      </w:pPr>
      <w:r w:rsidRPr="00F009ED">
        <w:rPr>
          <w:kern w:val="0"/>
          <w:sz w:val="26"/>
          <w:szCs w:val="26"/>
          <w:lang w:eastAsia="ru-RU"/>
        </w:rPr>
        <w:t xml:space="preserve">Видатки на виконання заходів Програми фінансування природоохоронних заходів за рахунок екологічних надходжень за звітний період склали 4,6 млн.грн. Продовжуються роботи з будівництва Ландшафтного парку вздовж Прибережної магістралі. Проведено проектно-вишукувальні роботи для розчистки русла </w:t>
      </w:r>
      <w:proofErr w:type="spellStart"/>
      <w:r w:rsidRPr="00F009ED">
        <w:rPr>
          <w:kern w:val="0"/>
          <w:sz w:val="26"/>
          <w:szCs w:val="26"/>
          <w:lang w:eastAsia="ru-RU"/>
        </w:rPr>
        <w:t>б.Суха</w:t>
      </w:r>
      <w:proofErr w:type="spellEnd"/>
      <w:r w:rsidRPr="00F009ED">
        <w:rPr>
          <w:kern w:val="0"/>
          <w:sz w:val="26"/>
          <w:szCs w:val="26"/>
          <w:lang w:eastAsia="ru-RU"/>
        </w:rPr>
        <w:t xml:space="preserve"> в районі Дослідної станції. Крім того</w:t>
      </w:r>
      <w:r w:rsidR="00372167" w:rsidRPr="00F009ED">
        <w:rPr>
          <w:kern w:val="0"/>
          <w:sz w:val="26"/>
          <w:szCs w:val="26"/>
          <w:lang w:eastAsia="ru-RU"/>
        </w:rPr>
        <w:t>.</w:t>
      </w:r>
      <w:r w:rsidRPr="00F009ED">
        <w:rPr>
          <w:kern w:val="0"/>
          <w:sz w:val="26"/>
          <w:szCs w:val="26"/>
          <w:lang w:eastAsia="ru-RU"/>
        </w:rPr>
        <w:t xml:space="preserve"> з метою підвищення рівня суспільної екологічної свідомості здійснюються видатки на проведення виставок, конкурсів, випуск поліграфічної продукції, організовано ЕКОФОРУМ. </w:t>
      </w:r>
    </w:p>
    <w:p w:rsidR="00D77C80" w:rsidRPr="00F009ED" w:rsidRDefault="00D77C80" w:rsidP="00D77C80">
      <w:pPr>
        <w:pStyle w:val="213"/>
        <w:numPr>
          <w:ilvl w:val="0"/>
          <w:numId w:val="15"/>
        </w:numPr>
        <w:spacing w:after="0" w:line="240" w:lineRule="auto"/>
        <w:ind w:left="0" w:firstLine="708"/>
        <w:contextualSpacing/>
        <w:jc w:val="both"/>
        <w:rPr>
          <w:kern w:val="0"/>
          <w:sz w:val="26"/>
          <w:szCs w:val="26"/>
          <w:lang w:eastAsia="ru-RU"/>
        </w:rPr>
      </w:pPr>
      <w:r w:rsidRPr="00F009ED">
        <w:rPr>
          <w:kern w:val="0"/>
          <w:sz w:val="26"/>
          <w:szCs w:val="26"/>
          <w:lang w:eastAsia="ru-RU"/>
        </w:rPr>
        <w:t>В рамках міської цільової програми забезпечення молоді житлом надано кредити 16-ти позичальникам на загальну суму 9,9 млн.грн. Придбано житло загальною площею 1,161 </w:t>
      </w:r>
      <w:proofErr w:type="spellStart"/>
      <w:r w:rsidRPr="00F009ED">
        <w:rPr>
          <w:kern w:val="0"/>
          <w:sz w:val="26"/>
          <w:szCs w:val="26"/>
          <w:lang w:eastAsia="ru-RU"/>
        </w:rPr>
        <w:t>тис.кв.м</w:t>
      </w:r>
      <w:proofErr w:type="spellEnd"/>
      <w:r w:rsidRPr="00F009ED">
        <w:rPr>
          <w:kern w:val="0"/>
          <w:sz w:val="26"/>
          <w:szCs w:val="26"/>
          <w:lang w:eastAsia="ru-RU"/>
        </w:rPr>
        <w:t xml:space="preserve">. </w:t>
      </w:r>
    </w:p>
    <w:p w:rsidR="00372156" w:rsidRPr="00F009ED" w:rsidRDefault="00372156" w:rsidP="00A92660">
      <w:pPr>
        <w:pStyle w:val="21"/>
        <w:spacing w:after="0" w:line="240" w:lineRule="auto"/>
        <w:ind w:firstLine="709"/>
        <w:contextualSpacing/>
        <w:jc w:val="both"/>
        <w:rPr>
          <w:kern w:val="0"/>
          <w:sz w:val="26"/>
          <w:szCs w:val="26"/>
          <w:lang w:eastAsia="ru-RU"/>
        </w:rPr>
      </w:pPr>
      <w:r w:rsidRPr="00F009ED">
        <w:rPr>
          <w:kern w:val="0"/>
          <w:sz w:val="26"/>
          <w:szCs w:val="26"/>
          <w:lang w:eastAsia="ru-RU"/>
        </w:rPr>
        <w:t xml:space="preserve">За даними звітності про виконання бюджету міста на звітну дату кредиторська заборгованість склала </w:t>
      </w:r>
      <w:r w:rsidR="00D77C80" w:rsidRPr="00F009ED">
        <w:rPr>
          <w:kern w:val="0"/>
          <w:sz w:val="26"/>
          <w:szCs w:val="26"/>
          <w:lang w:eastAsia="ru-RU"/>
        </w:rPr>
        <w:t>25,0</w:t>
      </w:r>
      <w:r w:rsidRPr="00F009ED">
        <w:rPr>
          <w:kern w:val="0"/>
          <w:sz w:val="26"/>
          <w:szCs w:val="26"/>
          <w:lang w:eastAsia="ru-RU"/>
        </w:rPr>
        <w:t xml:space="preserve"> млн.грн., в тому числі по загальному фонду бюджету – </w:t>
      </w:r>
      <w:r w:rsidR="00D77C80" w:rsidRPr="00F009ED">
        <w:rPr>
          <w:kern w:val="0"/>
          <w:sz w:val="26"/>
          <w:szCs w:val="26"/>
          <w:lang w:eastAsia="ru-RU"/>
        </w:rPr>
        <w:lastRenderedPageBreak/>
        <w:t>23,5</w:t>
      </w:r>
      <w:r w:rsidR="00974027" w:rsidRPr="00F009ED">
        <w:rPr>
          <w:kern w:val="0"/>
          <w:sz w:val="26"/>
          <w:szCs w:val="26"/>
          <w:lang w:eastAsia="ru-RU"/>
        </w:rPr>
        <w:t> млн.грн</w:t>
      </w:r>
      <w:r w:rsidR="00372167" w:rsidRPr="00F009ED">
        <w:rPr>
          <w:kern w:val="0"/>
          <w:sz w:val="26"/>
          <w:szCs w:val="26"/>
          <w:lang w:eastAsia="ru-RU"/>
        </w:rPr>
        <w:t xml:space="preserve">. (по </w:t>
      </w:r>
      <w:r w:rsidRPr="00F009ED">
        <w:rPr>
          <w:kern w:val="0"/>
          <w:sz w:val="26"/>
          <w:szCs w:val="26"/>
          <w:lang w:eastAsia="ru-RU"/>
        </w:rPr>
        <w:t>заходах державних програм соціального захисту населення за рахунок субвенцій з де</w:t>
      </w:r>
      <w:r w:rsidR="00974027" w:rsidRPr="00F009ED">
        <w:rPr>
          <w:kern w:val="0"/>
          <w:sz w:val="26"/>
          <w:szCs w:val="26"/>
          <w:lang w:eastAsia="ru-RU"/>
        </w:rPr>
        <w:t>ржавного бюджету</w:t>
      </w:r>
      <w:r w:rsidR="00372167" w:rsidRPr="00F009ED">
        <w:rPr>
          <w:kern w:val="0"/>
          <w:sz w:val="26"/>
          <w:szCs w:val="26"/>
          <w:lang w:eastAsia="ru-RU"/>
        </w:rPr>
        <w:t>)</w:t>
      </w:r>
      <w:r w:rsidRPr="00F009ED">
        <w:rPr>
          <w:kern w:val="0"/>
          <w:sz w:val="26"/>
          <w:szCs w:val="26"/>
          <w:lang w:eastAsia="ru-RU"/>
        </w:rPr>
        <w:t>, спеціальному фонду – 1,5 млн.грн.</w:t>
      </w:r>
      <w:bookmarkStart w:id="0" w:name="_GoBack"/>
      <w:bookmarkEnd w:id="0"/>
    </w:p>
    <w:p w:rsidR="00372156" w:rsidRPr="00F009ED" w:rsidRDefault="00372156" w:rsidP="00407CFE">
      <w:pPr>
        <w:ind w:firstLine="708"/>
        <w:jc w:val="both"/>
        <w:rPr>
          <w:sz w:val="26"/>
          <w:szCs w:val="26"/>
          <w:lang w:val="uk-UA"/>
        </w:rPr>
      </w:pPr>
    </w:p>
    <w:p w:rsidR="00D928F7" w:rsidRPr="00F009ED" w:rsidRDefault="00D928F7" w:rsidP="00407CFE">
      <w:pPr>
        <w:ind w:firstLine="708"/>
        <w:jc w:val="both"/>
        <w:rPr>
          <w:sz w:val="26"/>
          <w:szCs w:val="26"/>
          <w:lang w:val="uk-UA"/>
        </w:rPr>
      </w:pPr>
    </w:p>
    <w:p w:rsidR="00D928F7" w:rsidRPr="00F009ED" w:rsidRDefault="00D928F7" w:rsidP="00407CFE">
      <w:pPr>
        <w:ind w:firstLine="708"/>
        <w:jc w:val="both"/>
        <w:rPr>
          <w:sz w:val="26"/>
          <w:szCs w:val="26"/>
          <w:lang w:val="uk-UA"/>
        </w:rPr>
      </w:pPr>
    </w:p>
    <w:p w:rsidR="00372156" w:rsidRPr="00F009ED" w:rsidRDefault="00372156" w:rsidP="003F54A4">
      <w:pPr>
        <w:pStyle w:val="2"/>
        <w:spacing w:after="0" w:line="240" w:lineRule="auto"/>
        <w:ind w:left="0"/>
        <w:jc w:val="both"/>
        <w:rPr>
          <w:sz w:val="26"/>
          <w:szCs w:val="26"/>
          <w:lang w:val="uk-UA"/>
        </w:rPr>
      </w:pPr>
      <w:r w:rsidRPr="00F009ED">
        <w:rPr>
          <w:sz w:val="26"/>
          <w:szCs w:val="26"/>
          <w:lang w:val="uk-UA"/>
        </w:rPr>
        <w:t xml:space="preserve">Директор департаменту фінансової </w:t>
      </w:r>
    </w:p>
    <w:p w:rsidR="00372156" w:rsidRPr="00F009ED" w:rsidRDefault="00372156" w:rsidP="00A92660">
      <w:pPr>
        <w:pStyle w:val="2"/>
        <w:spacing w:after="0" w:line="240" w:lineRule="auto"/>
        <w:ind w:left="0"/>
        <w:jc w:val="both"/>
        <w:rPr>
          <w:sz w:val="26"/>
          <w:szCs w:val="26"/>
          <w:lang w:val="uk-UA"/>
        </w:rPr>
      </w:pPr>
      <w:r w:rsidRPr="00F009ED">
        <w:rPr>
          <w:sz w:val="26"/>
          <w:szCs w:val="26"/>
          <w:lang w:val="uk-UA"/>
        </w:rPr>
        <w:t>та бюджетної політики міської ради</w:t>
      </w:r>
      <w:r w:rsidRPr="00F009ED">
        <w:rPr>
          <w:sz w:val="26"/>
          <w:szCs w:val="26"/>
          <w:lang w:val="uk-UA"/>
        </w:rPr>
        <w:tab/>
      </w:r>
      <w:r w:rsidRPr="00F009ED">
        <w:rPr>
          <w:sz w:val="26"/>
          <w:szCs w:val="26"/>
          <w:lang w:val="uk-UA"/>
        </w:rPr>
        <w:tab/>
      </w:r>
      <w:r w:rsidRPr="00F009ED">
        <w:rPr>
          <w:sz w:val="26"/>
          <w:szCs w:val="26"/>
          <w:lang w:val="uk-UA"/>
        </w:rPr>
        <w:tab/>
      </w:r>
      <w:r w:rsidRPr="00F009ED">
        <w:rPr>
          <w:sz w:val="26"/>
          <w:szCs w:val="26"/>
          <w:lang w:val="uk-UA"/>
        </w:rPr>
        <w:tab/>
      </w:r>
      <w:r w:rsidRPr="00F009ED">
        <w:rPr>
          <w:sz w:val="26"/>
          <w:szCs w:val="26"/>
          <w:lang w:val="uk-UA"/>
        </w:rPr>
        <w:tab/>
        <w:t>О.А.</w:t>
      </w:r>
      <w:proofErr w:type="spellStart"/>
      <w:r w:rsidRPr="00F009ED">
        <w:rPr>
          <w:sz w:val="26"/>
          <w:szCs w:val="26"/>
          <w:lang w:val="uk-UA"/>
        </w:rPr>
        <w:t>Вагіс</w:t>
      </w:r>
      <w:proofErr w:type="spellEnd"/>
    </w:p>
    <w:sectPr w:rsidR="00372156" w:rsidRPr="00F009ED" w:rsidSect="00B33278">
      <w:headerReference w:type="even" r:id="rId14"/>
      <w:headerReference w:type="default" r:id="rId15"/>
      <w:pgSz w:w="11906" w:h="16838"/>
      <w:pgMar w:top="851" w:right="567" w:bottom="851" w:left="1701"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ED" w:rsidRDefault="00F009ED">
      <w:r>
        <w:separator/>
      </w:r>
    </w:p>
  </w:endnote>
  <w:endnote w:type="continuationSeparator" w:id="0">
    <w:p w:rsidR="00F009ED" w:rsidRDefault="00F00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ED" w:rsidRDefault="00F009ED">
      <w:r>
        <w:separator/>
      </w:r>
    </w:p>
  </w:footnote>
  <w:footnote w:type="continuationSeparator" w:id="0">
    <w:p w:rsidR="00F009ED" w:rsidRDefault="00F00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ED" w:rsidRDefault="00F009ED" w:rsidP="009A081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009ED" w:rsidRDefault="00F009E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ED" w:rsidRDefault="00F009ED" w:rsidP="009A081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D50F2">
      <w:rPr>
        <w:rStyle w:val="ad"/>
        <w:noProof/>
      </w:rPr>
      <w:t>10</w:t>
    </w:r>
    <w:r>
      <w:rPr>
        <w:rStyle w:val="ad"/>
      </w:rPr>
      <w:fldChar w:fldCharType="end"/>
    </w:r>
  </w:p>
  <w:p w:rsidR="00F009ED" w:rsidRPr="006D14A7" w:rsidRDefault="00F009ED">
    <w:pPr>
      <w:pStyle w:val="ab"/>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4CF"/>
    <w:multiLevelType w:val="hybridMultilevel"/>
    <w:tmpl w:val="0DBAED3E"/>
    <w:lvl w:ilvl="0" w:tplc="7A2A2A8E">
      <w:numFmt w:val="bullet"/>
      <w:lvlText w:val="-"/>
      <w:lvlJc w:val="left"/>
      <w:pPr>
        <w:tabs>
          <w:tab w:val="num" w:pos="1320"/>
        </w:tabs>
        <w:ind w:left="1320" w:hanging="360"/>
      </w:pPr>
      <w:rPr>
        <w:rFonts w:ascii="Times New Roman" w:eastAsia="Times New Roman" w:hAnsi="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8FF5C17"/>
    <w:multiLevelType w:val="hybridMultilevel"/>
    <w:tmpl w:val="E0CED3B4"/>
    <w:lvl w:ilvl="0" w:tplc="1A30149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0AA6423D"/>
    <w:multiLevelType w:val="hybridMultilevel"/>
    <w:tmpl w:val="B364A078"/>
    <w:lvl w:ilvl="0" w:tplc="D1E85DB0">
      <w:start w:val="20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8E6210"/>
    <w:multiLevelType w:val="hybridMultilevel"/>
    <w:tmpl w:val="9AB456A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792BF9"/>
    <w:multiLevelType w:val="hybridMultilevel"/>
    <w:tmpl w:val="04521904"/>
    <w:lvl w:ilvl="0" w:tplc="8DC8AAC6">
      <w:start w:val="2011"/>
      <w:numFmt w:val="bullet"/>
      <w:lvlText w:val="-"/>
      <w:lvlJc w:val="left"/>
      <w:pPr>
        <w:tabs>
          <w:tab w:val="num" w:pos="1698"/>
        </w:tabs>
        <w:ind w:left="1698" w:hanging="99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CA05FC8"/>
    <w:multiLevelType w:val="hybridMultilevel"/>
    <w:tmpl w:val="64C68908"/>
    <w:lvl w:ilvl="0" w:tplc="5F76C9DC">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7A07F8"/>
    <w:multiLevelType w:val="hybridMultilevel"/>
    <w:tmpl w:val="C6880C36"/>
    <w:lvl w:ilvl="0" w:tplc="46FC9FE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D0F1E85"/>
    <w:multiLevelType w:val="hybridMultilevel"/>
    <w:tmpl w:val="F150438C"/>
    <w:lvl w:ilvl="0" w:tplc="8140F3E4">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982BE9"/>
    <w:multiLevelType w:val="hybridMultilevel"/>
    <w:tmpl w:val="91F84B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1E6769"/>
    <w:multiLevelType w:val="hybridMultilevel"/>
    <w:tmpl w:val="6E0059D8"/>
    <w:lvl w:ilvl="0" w:tplc="3100512C">
      <w:start w:val="201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6340C6E"/>
    <w:multiLevelType w:val="hybridMultilevel"/>
    <w:tmpl w:val="0F6E59DA"/>
    <w:lvl w:ilvl="0" w:tplc="0419000D">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1">
    <w:nsid w:val="49D66745"/>
    <w:multiLevelType w:val="hybridMultilevel"/>
    <w:tmpl w:val="185E33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B2A5B75"/>
    <w:multiLevelType w:val="hybridMultilevel"/>
    <w:tmpl w:val="76AC368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4EA30D42"/>
    <w:multiLevelType w:val="hybridMultilevel"/>
    <w:tmpl w:val="D19E37C0"/>
    <w:lvl w:ilvl="0" w:tplc="6042455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531A603B"/>
    <w:multiLevelType w:val="hybridMultilevel"/>
    <w:tmpl w:val="67A0FDEE"/>
    <w:lvl w:ilvl="0" w:tplc="B1D600F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082334B"/>
    <w:multiLevelType w:val="hybridMultilevel"/>
    <w:tmpl w:val="F814B89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8683177"/>
    <w:multiLevelType w:val="hybridMultilevel"/>
    <w:tmpl w:val="338E5926"/>
    <w:lvl w:ilvl="0" w:tplc="993C3EC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A161B7F"/>
    <w:multiLevelType w:val="hybridMultilevel"/>
    <w:tmpl w:val="930A57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A9E747F"/>
    <w:multiLevelType w:val="hybridMultilevel"/>
    <w:tmpl w:val="DEBA2A44"/>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rPr>
        <w:rFonts w:cs="Times New Roman"/>
      </w:rPr>
    </w:lvl>
    <w:lvl w:ilvl="2" w:tplc="04190005">
      <w:start w:val="1"/>
      <w:numFmt w:val="decimal"/>
      <w:lvlText w:val="%3."/>
      <w:lvlJc w:val="left"/>
      <w:pPr>
        <w:tabs>
          <w:tab w:val="num" w:pos="2510"/>
        </w:tabs>
        <w:ind w:left="2510" w:hanging="360"/>
      </w:pPr>
      <w:rPr>
        <w:rFonts w:cs="Times New Roman"/>
      </w:rPr>
    </w:lvl>
    <w:lvl w:ilvl="3" w:tplc="04190001">
      <w:start w:val="1"/>
      <w:numFmt w:val="decimal"/>
      <w:lvlText w:val="%4."/>
      <w:lvlJc w:val="left"/>
      <w:pPr>
        <w:tabs>
          <w:tab w:val="num" w:pos="3230"/>
        </w:tabs>
        <w:ind w:left="3230" w:hanging="360"/>
      </w:pPr>
      <w:rPr>
        <w:rFonts w:cs="Times New Roman"/>
      </w:rPr>
    </w:lvl>
    <w:lvl w:ilvl="4" w:tplc="04190003">
      <w:start w:val="1"/>
      <w:numFmt w:val="decimal"/>
      <w:lvlText w:val="%5."/>
      <w:lvlJc w:val="left"/>
      <w:pPr>
        <w:tabs>
          <w:tab w:val="num" w:pos="3950"/>
        </w:tabs>
        <w:ind w:left="3950" w:hanging="360"/>
      </w:pPr>
      <w:rPr>
        <w:rFonts w:cs="Times New Roman"/>
      </w:rPr>
    </w:lvl>
    <w:lvl w:ilvl="5" w:tplc="04190005">
      <w:start w:val="1"/>
      <w:numFmt w:val="decimal"/>
      <w:lvlText w:val="%6."/>
      <w:lvlJc w:val="left"/>
      <w:pPr>
        <w:tabs>
          <w:tab w:val="num" w:pos="4670"/>
        </w:tabs>
        <w:ind w:left="4670" w:hanging="360"/>
      </w:pPr>
      <w:rPr>
        <w:rFonts w:cs="Times New Roman"/>
      </w:rPr>
    </w:lvl>
    <w:lvl w:ilvl="6" w:tplc="04190001">
      <w:start w:val="1"/>
      <w:numFmt w:val="decimal"/>
      <w:lvlText w:val="%7."/>
      <w:lvlJc w:val="left"/>
      <w:pPr>
        <w:tabs>
          <w:tab w:val="num" w:pos="5390"/>
        </w:tabs>
        <w:ind w:left="5390" w:hanging="360"/>
      </w:pPr>
      <w:rPr>
        <w:rFonts w:cs="Times New Roman"/>
      </w:rPr>
    </w:lvl>
    <w:lvl w:ilvl="7" w:tplc="04190003">
      <w:start w:val="1"/>
      <w:numFmt w:val="decimal"/>
      <w:lvlText w:val="%8."/>
      <w:lvlJc w:val="left"/>
      <w:pPr>
        <w:tabs>
          <w:tab w:val="num" w:pos="6110"/>
        </w:tabs>
        <w:ind w:left="6110" w:hanging="360"/>
      </w:pPr>
      <w:rPr>
        <w:rFonts w:cs="Times New Roman"/>
      </w:rPr>
    </w:lvl>
    <w:lvl w:ilvl="8" w:tplc="04190005">
      <w:start w:val="1"/>
      <w:numFmt w:val="decimal"/>
      <w:lvlText w:val="%9."/>
      <w:lvlJc w:val="left"/>
      <w:pPr>
        <w:tabs>
          <w:tab w:val="num" w:pos="6830"/>
        </w:tabs>
        <w:ind w:left="6830" w:hanging="360"/>
      </w:pPr>
      <w:rPr>
        <w:rFonts w:cs="Times New Roman"/>
      </w:rPr>
    </w:lvl>
  </w:abstractNum>
  <w:abstractNum w:abstractNumId="19">
    <w:nsid w:val="6E24273A"/>
    <w:multiLevelType w:val="hybridMultilevel"/>
    <w:tmpl w:val="F7CAABCC"/>
    <w:lvl w:ilvl="0" w:tplc="FD7ADB92">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6E6912FD"/>
    <w:multiLevelType w:val="hybridMultilevel"/>
    <w:tmpl w:val="C0341D42"/>
    <w:lvl w:ilvl="0" w:tplc="CF80F47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74BF2083"/>
    <w:multiLevelType w:val="hybridMultilevel"/>
    <w:tmpl w:val="0E529EAE"/>
    <w:lvl w:ilvl="0" w:tplc="0419000D">
      <w:start w:val="1"/>
      <w:numFmt w:val="bullet"/>
      <w:lvlText w:val=""/>
      <w:lvlJc w:val="left"/>
      <w:pPr>
        <w:ind w:left="1497" w:hanging="360"/>
      </w:pPr>
      <w:rPr>
        <w:rFonts w:ascii="Wingdings" w:hAnsi="Wingdings" w:hint="default"/>
      </w:rPr>
    </w:lvl>
    <w:lvl w:ilvl="1" w:tplc="04190003" w:tentative="1">
      <w:start w:val="1"/>
      <w:numFmt w:val="bullet"/>
      <w:lvlText w:val="o"/>
      <w:lvlJc w:val="left"/>
      <w:pPr>
        <w:ind w:left="2217" w:hanging="360"/>
      </w:pPr>
      <w:rPr>
        <w:rFonts w:ascii="Courier New" w:hAnsi="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2">
    <w:nsid w:val="762E0E24"/>
    <w:multiLevelType w:val="hybridMultilevel"/>
    <w:tmpl w:val="8068922E"/>
    <w:lvl w:ilvl="0" w:tplc="4C9A42E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A4A4E72"/>
    <w:multiLevelType w:val="hybridMultilevel"/>
    <w:tmpl w:val="3C5017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FAC32DD"/>
    <w:multiLevelType w:val="hybridMultilevel"/>
    <w:tmpl w:val="FF2CFA3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9"/>
  </w:num>
  <w:num w:numId="4">
    <w:abstractNumId w:val="0"/>
  </w:num>
  <w:num w:numId="5">
    <w:abstractNumId w:val="1"/>
  </w:num>
  <w:num w:numId="6">
    <w:abstractNumId w:val="14"/>
  </w:num>
  <w:num w:numId="7">
    <w:abstractNumId w:val="22"/>
  </w:num>
  <w:num w:numId="8">
    <w:abstractNumId w:val="13"/>
  </w:num>
  <w:num w:numId="9">
    <w:abstractNumId w:val="6"/>
  </w:num>
  <w:num w:numId="10">
    <w:abstractNumId w:val="1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6"/>
  </w:num>
  <w:num w:numId="18">
    <w:abstractNumId w:val="11"/>
  </w:num>
  <w:num w:numId="19">
    <w:abstractNumId w:val="20"/>
  </w:num>
  <w:num w:numId="20">
    <w:abstractNumId w:val="17"/>
  </w:num>
  <w:num w:numId="21">
    <w:abstractNumId w:val="5"/>
  </w:num>
  <w:num w:numId="22">
    <w:abstractNumId w:val="21"/>
  </w:num>
  <w:num w:numId="23">
    <w:abstractNumId w:val="8"/>
  </w:num>
  <w:num w:numId="24">
    <w:abstractNumId w:val="1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trackRevision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23229"/>
    <w:rsid w:val="00000C14"/>
    <w:rsid w:val="0000139B"/>
    <w:rsid w:val="00002C3E"/>
    <w:rsid w:val="0000461B"/>
    <w:rsid w:val="00004A8F"/>
    <w:rsid w:val="00004AD9"/>
    <w:rsid w:val="00004CDB"/>
    <w:rsid w:val="0000697D"/>
    <w:rsid w:val="00012F00"/>
    <w:rsid w:val="00013EE8"/>
    <w:rsid w:val="000140BC"/>
    <w:rsid w:val="00014909"/>
    <w:rsid w:val="00014D8E"/>
    <w:rsid w:val="00016580"/>
    <w:rsid w:val="000175C6"/>
    <w:rsid w:val="00017686"/>
    <w:rsid w:val="00021459"/>
    <w:rsid w:val="00021D45"/>
    <w:rsid w:val="00022CD2"/>
    <w:rsid w:val="00024092"/>
    <w:rsid w:val="00026492"/>
    <w:rsid w:val="000300B0"/>
    <w:rsid w:val="0003412C"/>
    <w:rsid w:val="00034638"/>
    <w:rsid w:val="00035312"/>
    <w:rsid w:val="0003703B"/>
    <w:rsid w:val="0004031D"/>
    <w:rsid w:val="000422F9"/>
    <w:rsid w:val="0004614B"/>
    <w:rsid w:val="00046A7B"/>
    <w:rsid w:val="00050D58"/>
    <w:rsid w:val="00050F60"/>
    <w:rsid w:val="000527BF"/>
    <w:rsid w:val="00052E69"/>
    <w:rsid w:val="00055598"/>
    <w:rsid w:val="00055898"/>
    <w:rsid w:val="000565D4"/>
    <w:rsid w:val="000566F5"/>
    <w:rsid w:val="000569B4"/>
    <w:rsid w:val="00057602"/>
    <w:rsid w:val="000602F8"/>
    <w:rsid w:val="0006283D"/>
    <w:rsid w:val="00063C53"/>
    <w:rsid w:val="00063F5B"/>
    <w:rsid w:val="00064255"/>
    <w:rsid w:val="0006426B"/>
    <w:rsid w:val="00065FB2"/>
    <w:rsid w:val="000674F0"/>
    <w:rsid w:val="00067734"/>
    <w:rsid w:val="00067838"/>
    <w:rsid w:val="00067979"/>
    <w:rsid w:val="0007026A"/>
    <w:rsid w:val="00072409"/>
    <w:rsid w:val="00072ECD"/>
    <w:rsid w:val="00083774"/>
    <w:rsid w:val="00083D58"/>
    <w:rsid w:val="0008595D"/>
    <w:rsid w:val="00090E8B"/>
    <w:rsid w:val="00091373"/>
    <w:rsid w:val="00092D44"/>
    <w:rsid w:val="00093FD8"/>
    <w:rsid w:val="00094721"/>
    <w:rsid w:val="000A1309"/>
    <w:rsid w:val="000A30DB"/>
    <w:rsid w:val="000A352B"/>
    <w:rsid w:val="000A364F"/>
    <w:rsid w:val="000B2A00"/>
    <w:rsid w:val="000B42F8"/>
    <w:rsid w:val="000B4B65"/>
    <w:rsid w:val="000B527C"/>
    <w:rsid w:val="000B5BF8"/>
    <w:rsid w:val="000B5D0D"/>
    <w:rsid w:val="000B6E27"/>
    <w:rsid w:val="000C36E7"/>
    <w:rsid w:val="000C45CF"/>
    <w:rsid w:val="000C507A"/>
    <w:rsid w:val="000C50CA"/>
    <w:rsid w:val="000C5129"/>
    <w:rsid w:val="000C56E1"/>
    <w:rsid w:val="000C5F5D"/>
    <w:rsid w:val="000C651B"/>
    <w:rsid w:val="000D08D3"/>
    <w:rsid w:val="000D165E"/>
    <w:rsid w:val="000D2BED"/>
    <w:rsid w:val="000D4396"/>
    <w:rsid w:val="000D538C"/>
    <w:rsid w:val="000E186A"/>
    <w:rsid w:val="000E1BAE"/>
    <w:rsid w:val="000E20AE"/>
    <w:rsid w:val="000E23CF"/>
    <w:rsid w:val="000E4D11"/>
    <w:rsid w:val="000E69F0"/>
    <w:rsid w:val="000F23BA"/>
    <w:rsid w:val="000F2AF0"/>
    <w:rsid w:val="000F4103"/>
    <w:rsid w:val="000F50B3"/>
    <w:rsid w:val="000F54FD"/>
    <w:rsid w:val="000F7427"/>
    <w:rsid w:val="000F7944"/>
    <w:rsid w:val="000F7C74"/>
    <w:rsid w:val="00104165"/>
    <w:rsid w:val="001048F7"/>
    <w:rsid w:val="0010591A"/>
    <w:rsid w:val="001077D8"/>
    <w:rsid w:val="00107C3B"/>
    <w:rsid w:val="001103EE"/>
    <w:rsid w:val="00110868"/>
    <w:rsid w:val="00111615"/>
    <w:rsid w:val="00111C9E"/>
    <w:rsid w:val="00111EC8"/>
    <w:rsid w:val="00113740"/>
    <w:rsid w:val="00113D5D"/>
    <w:rsid w:val="001144F8"/>
    <w:rsid w:val="001173C5"/>
    <w:rsid w:val="001174D4"/>
    <w:rsid w:val="00117DF8"/>
    <w:rsid w:val="001200F8"/>
    <w:rsid w:val="00120CBE"/>
    <w:rsid w:val="00120D47"/>
    <w:rsid w:val="0012165D"/>
    <w:rsid w:val="00123372"/>
    <w:rsid w:val="00126736"/>
    <w:rsid w:val="00126C9E"/>
    <w:rsid w:val="001304BA"/>
    <w:rsid w:val="00130997"/>
    <w:rsid w:val="001329DB"/>
    <w:rsid w:val="00132C4E"/>
    <w:rsid w:val="00132F2A"/>
    <w:rsid w:val="0013319E"/>
    <w:rsid w:val="00135F68"/>
    <w:rsid w:val="001361B2"/>
    <w:rsid w:val="001401A6"/>
    <w:rsid w:val="001412CB"/>
    <w:rsid w:val="00142DF8"/>
    <w:rsid w:val="00142F65"/>
    <w:rsid w:val="0014601B"/>
    <w:rsid w:val="00147891"/>
    <w:rsid w:val="001501D9"/>
    <w:rsid w:val="00150E9B"/>
    <w:rsid w:val="00150EBA"/>
    <w:rsid w:val="00151A72"/>
    <w:rsid w:val="00154DCD"/>
    <w:rsid w:val="00155BD9"/>
    <w:rsid w:val="001568DD"/>
    <w:rsid w:val="00156975"/>
    <w:rsid w:val="001621E3"/>
    <w:rsid w:val="0016267A"/>
    <w:rsid w:val="0016343E"/>
    <w:rsid w:val="00165238"/>
    <w:rsid w:val="00165A80"/>
    <w:rsid w:val="00165BAF"/>
    <w:rsid w:val="0017178C"/>
    <w:rsid w:val="00180467"/>
    <w:rsid w:val="001812AC"/>
    <w:rsid w:val="00181753"/>
    <w:rsid w:val="0018219A"/>
    <w:rsid w:val="00183AD5"/>
    <w:rsid w:val="00185319"/>
    <w:rsid w:val="001866CD"/>
    <w:rsid w:val="00186EDF"/>
    <w:rsid w:val="001879F4"/>
    <w:rsid w:val="00187FC3"/>
    <w:rsid w:val="001902E2"/>
    <w:rsid w:val="0019049D"/>
    <w:rsid w:val="001916B4"/>
    <w:rsid w:val="00192E49"/>
    <w:rsid w:val="00193467"/>
    <w:rsid w:val="001955A5"/>
    <w:rsid w:val="001957BE"/>
    <w:rsid w:val="001A0E81"/>
    <w:rsid w:val="001A254E"/>
    <w:rsid w:val="001A6E20"/>
    <w:rsid w:val="001A79AF"/>
    <w:rsid w:val="001B10F5"/>
    <w:rsid w:val="001B17DE"/>
    <w:rsid w:val="001B1AA0"/>
    <w:rsid w:val="001B1C6D"/>
    <w:rsid w:val="001B236A"/>
    <w:rsid w:val="001B4539"/>
    <w:rsid w:val="001B5D4F"/>
    <w:rsid w:val="001B63E2"/>
    <w:rsid w:val="001C0752"/>
    <w:rsid w:val="001C17EE"/>
    <w:rsid w:val="001C5126"/>
    <w:rsid w:val="001C52B3"/>
    <w:rsid w:val="001D02C3"/>
    <w:rsid w:val="001D0F3B"/>
    <w:rsid w:val="001D35D3"/>
    <w:rsid w:val="001D5B2E"/>
    <w:rsid w:val="001D6070"/>
    <w:rsid w:val="001D6681"/>
    <w:rsid w:val="001D7990"/>
    <w:rsid w:val="001E03DA"/>
    <w:rsid w:val="001E3AB5"/>
    <w:rsid w:val="001E3D1D"/>
    <w:rsid w:val="001E557C"/>
    <w:rsid w:val="001E5E8E"/>
    <w:rsid w:val="001E6CAC"/>
    <w:rsid w:val="001F049C"/>
    <w:rsid w:val="001F329A"/>
    <w:rsid w:val="001F33E8"/>
    <w:rsid w:val="001F415D"/>
    <w:rsid w:val="001F41C8"/>
    <w:rsid w:val="001F433D"/>
    <w:rsid w:val="001F4DC2"/>
    <w:rsid w:val="001F652E"/>
    <w:rsid w:val="001F6EF4"/>
    <w:rsid w:val="001F7293"/>
    <w:rsid w:val="00202335"/>
    <w:rsid w:val="00202F90"/>
    <w:rsid w:val="00204BF7"/>
    <w:rsid w:val="00205000"/>
    <w:rsid w:val="002051C6"/>
    <w:rsid w:val="002053D6"/>
    <w:rsid w:val="002055DE"/>
    <w:rsid w:val="00205BE2"/>
    <w:rsid w:val="002069AC"/>
    <w:rsid w:val="00207728"/>
    <w:rsid w:val="00207CAE"/>
    <w:rsid w:val="0021059C"/>
    <w:rsid w:val="00213A50"/>
    <w:rsid w:val="0021481F"/>
    <w:rsid w:val="00215A9D"/>
    <w:rsid w:val="00215CD5"/>
    <w:rsid w:val="00215F19"/>
    <w:rsid w:val="002167A9"/>
    <w:rsid w:val="00217327"/>
    <w:rsid w:val="002200BA"/>
    <w:rsid w:val="002202DE"/>
    <w:rsid w:val="00220C5D"/>
    <w:rsid w:val="00220CC2"/>
    <w:rsid w:val="00221CD0"/>
    <w:rsid w:val="00225447"/>
    <w:rsid w:val="00227ECA"/>
    <w:rsid w:val="00233D9A"/>
    <w:rsid w:val="0023464A"/>
    <w:rsid w:val="002357A3"/>
    <w:rsid w:val="00235B33"/>
    <w:rsid w:val="00237192"/>
    <w:rsid w:val="00237BAF"/>
    <w:rsid w:val="00242EE0"/>
    <w:rsid w:val="002448DC"/>
    <w:rsid w:val="00247826"/>
    <w:rsid w:val="00250252"/>
    <w:rsid w:val="00252C87"/>
    <w:rsid w:val="00253ED8"/>
    <w:rsid w:val="00256974"/>
    <w:rsid w:val="00256FB1"/>
    <w:rsid w:val="00257161"/>
    <w:rsid w:val="00262008"/>
    <w:rsid w:val="00262802"/>
    <w:rsid w:val="00263E02"/>
    <w:rsid w:val="00264854"/>
    <w:rsid w:val="002656E3"/>
    <w:rsid w:val="00267A09"/>
    <w:rsid w:val="00267AAB"/>
    <w:rsid w:val="00270A1C"/>
    <w:rsid w:val="0027258A"/>
    <w:rsid w:val="0027297C"/>
    <w:rsid w:val="00274030"/>
    <w:rsid w:val="002764B5"/>
    <w:rsid w:val="002770DD"/>
    <w:rsid w:val="00277783"/>
    <w:rsid w:val="002778DF"/>
    <w:rsid w:val="002815A5"/>
    <w:rsid w:val="00281E6E"/>
    <w:rsid w:val="002820F8"/>
    <w:rsid w:val="00283BE3"/>
    <w:rsid w:val="00284899"/>
    <w:rsid w:val="00284B1C"/>
    <w:rsid w:val="00284F8A"/>
    <w:rsid w:val="002850D8"/>
    <w:rsid w:val="0028630D"/>
    <w:rsid w:val="0028722C"/>
    <w:rsid w:val="002901AD"/>
    <w:rsid w:val="002913F1"/>
    <w:rsid w:val="002941F6"/>
    <w:rsid w:val="002A087F"/>
    <w:rsid w:val="002A0C83"/>
    <w:rsid w:val="002A1970"/>
    <w:rsid w:val="002A2088"/>
    <w:rsid w:val="002A2933"/>
    <w:rsid w:val="002A2F26"/>
    <w:rsid w:val="002A3C03"/>
    <w:rsid w:val="002A54DC"/>
    <w:rsid w:val="002A5571"/>
    <w:rsid w:val="002A59A1"/>
    <w:rsid w:val="002A6FBF"/>
    <w:rsid w:val="002B0AB4"/>
    <w:rsid w:val="002B1095"/>
    <w:rsid w:val="002B1A5A"/>
    <w:rsid w:val="002B21D0"/>
    <w:rsid w:val="002B2964"/>
    <w:rsid w:val="002B33DB"/>
    <w:rsid w:val="002B38AE"/>
    <w:rsid w:val="002B4391"/>
    <w:rsid w:val="002B5985"/>
    <w:rsid w:val="002B5BA6"/>
    <w:rsid w:val="002B62DA"/>
    <w:rsid w:val="002C0105"/>
    <w:rsid w:val="002C0F8E"/>
    <w:rsid w:val="002C108C"/>
    <w:rsid w:val="002C2BE5"/>
    <w:rsid w:val="002C3462"/>
    <w:rsid w:val="002C473D"/>
    <w:rsid w:val="002C47AA"/>
    <w:rsid w:val="002C48F3"/>
    <w:rsid w:val="002C54EB"/>
    <w:rsid w:val="002C5650"/>
    <w:rsid w:val="002C5668"/>
    <w:rsid w:val="002C6817"/>
    <w:rsid w:val="002D0431"/>
    <w:rsid w:val="002D23F4"/>
    <w:rsid w:val="002D3225"/>
    <w:rsid w:val="002D3398"/>
    <w:rsid w:val="002D415D"/>
    <w:rsid w:val="002D56D5"/>
    <w:rsid w:val="002E2FA5"/>
    <w:rsid w:val="002E37B3"/>
    <w:rsid w:val="002E536E"/>
    <w:rsid w:val="002E5FA8"/>
    <w:rsid w:val="002E5FC9"/>
    <w:rsid w:val="002E6032"/>
    <w:rsid w:val="002E6724"/>
    <w:rsid w:val="002E73CA"/>
    <w:rsid w:val="002E7D5F"/>
    <w:rsid w:val="002F280D"/>
    <w:rsid w:val="002F3873"/>
    <w:rsid w:val="002F7315"/>
    <w:rsid w:val="00300E5D"/>
    <w:rsid w:val="0030127A"/>
    <w:rsid w:val="0030139C"/>
    <w:rsid w:val="00301D3B"/>
    <w:rsid w:val="00301E31"/>
    <w:rsid w:val="003100CB"/>
    <w:rsid w:val="00310EAF"/>
    <w:rsid w:val="00312225"/>
    <w:rsid w:val="00312874"/>
    <w:rsid w:val="003132D3"/>
    <w:rsid w:val="003153D1"/>
    <w:rsid w:val="00315626"/>
    <w:rsid w:val="00315772"/>
    <w:rsid w:val="00324123"/>
    <w:rsid w:val="003241E9"/>
    <w:rsid w:val="00324FD8"/>
    <w:rsid w:val="00326067"/>
    <w:rsid w:val="00326FEB"/>
    <w:rsid w:val="00330378"/>
    <w:rsid w:val="003314DF"/>
    <w:rsid w:val="003318A0"/>
    <w:rsid w:val="00331A1B"/>
    <w:rsid w:val="00331C12"/>
    <w:rsid w:val="0033351E"/>
    <w:rsid w:val="0033553D"/>
    <w:rsid w:val="00336AFC"/>
    <w:rsid w:val="00337811"/>
    <w:rsid w:val="00337C1F"/>
    <w:rsid w:val="00340F9E"/>
    <w:rsid w:val="00341053"/>
    <w:rsid w:val="00341D3C"/>
    <w:rsid w:val="00344A38"/>
    <w:rsid w:val="00345E08"/>
    <w:rsid w:val="003465EC"/>
    <w:rsid w:val="00346B95"/>
    <w:rsid w:val="003504FD"/>
    <w:rsid w:val="00351118"/>
    <w:rsid w:val="00351CDA"/>
    <w:rsid w:val="0035243D"/>
    <w:rsid w:val="0035312A"/>
    <w:rsid w:val="00355069"/>
    <w:rsid w:val="00355210"/>
    <w:rsid w:val="00355907"/>
    <w:rsid w:val="003608AD"/>
    <w:rsid w:val="00360C75"/>
    <w:rsid w:val="00360F50"/>
    <w:rsid w:val="00364928"/>
    <w:rsid w:val="00364DFC"/>
    <w:rsid w:val="00365005"/>
    <w:rsid w:val="00367632"/>
    <w:rsid w:val="00367933"/>
    <w:rsid w:val="00367C87"/>
    <w:rsid w:val="00370602"/>
    <w:rsid w:val="00370A0F"/>
    <w:rsid w:val="00371094"/>
    <w:rsid w:val="00372156"/>
    <w:rsid w:val="00372167"/>
    <w:rsid w:val="003806C0"/>
    <w:rsid w:val="00382104"/>
    <w:rsid w:val="003847C7"/>
    <w:rsid w:val="00385309"/>
    <w:rsid w:val="003868C2"/>
    <w:rsid w:val="00386B42"/>
    <w:rsid w:val="00386FC8"/>
    <w:rsid w:val="00387522"/>
    <w:rsid w:val="003875D6"/>
    <w:rsid w:val="00387DB5"/>
    <w:rsid w:val="00391F30"/>
    <w:rsid w:val="003921B7"/>
    <w:rsid w:val="00392F3A"/>
    <w:rsid w:val="00393789"/>
    <w:rsid w:val="00394572"/>
    <w:rsid w:val="0039478B"/>
    <w:rsid w:val="00395C97"/>
    <w:rsid w:val="00395CF5"/>
    <w:rsid w:val="00395DAD"/>
    <w:rsid w:val="0039714D"/>
    <w:rsid w:val="003A19FB"/>
    <w:rsid w:val="003A28F3"/>
    <w:rsid w:val="003A2A0F"/>
    <w:rsid w:val="003A508F"/>
    <w:rsid w:val="003A579E"/>
    <w:rsid w:val="003A5E27"/>
    <w:rsid w:val="003A7124"/>
    <w:rsid w:val="003A76E0"/>
    <w:rsid w:val="003B09C9"/>
    <w:rsid w:val="003B3CB3"/>
    <w:rsid w:val="003B469A"/>
    <w:rsid w:val="003B4710"/>
    <w:rsid w:val="003B500A"/>
    <w:rsid w:val="003B7657"/>
    <w:rsid w:val="003C4C67"/>
    <w:rsid w:val="003C51F4"/>
    <w:rsid w:val="003C6E4A"/>
    <w:rsid w:val="003C772D"/>
    <w:rsid w:val="003D0228"/>
    <w:rsid w:val="003D03F5"/>
    <w:rsid w:val="003D1B33"/>
    <w:rsid w:val="003D24CB"/>
    <w:rsid w:val="003D27EE"/>
    <w:rsid w:val="003D46BC"/>
    <w:rsid w:val="003D52CA"/>
    <w:rsid w:val="003D53C3"/>
    <w:rsid w:val="003D66EF"/>
    <w:rsid w:val="003D7168"/>
    <w:rsid w:val="003E0E40"/>
    <w:rsid w:val="003E1A77"/>
    <w:rsid w:val="003E258E"/>
    <w:rsid w:val="003E4075"/>
    <w:rsid w:val="003E6806"/>
    <w:rsid w:val="003E6E52"/>
    <w:rsid w:val="003F0B08"/>
    <w:rsid w:val="003F48A4"/>
    <w:rsid w:val="003F4EB8"/>
    <w:rsid w:val="003F54A4"/>
    <w:rsid w:val="003F7453"/>
    <w:rsid w:val="00401CBB"/>
    <w:rsid w:val="00402C46"/>
    <w:rsid w:val="004030F8"/>
    <w:rsid w:val="004031B5"/>
    <w:rsid w:val="00403C04"/>
    <w:rsid w:val="00403EA8"/>
    <w:rsid w:val="004052F8"/>
    <w:rsid w:val="00405B10"/>
    <w:rsid w:val="00406156"/>
    <w:rsid w:val="00407CFE"/>
    <w:rsid w:val="00410291"/>
    <w:rsid w:val="00411268"/>
    <w:rsid w:val="00413EAC"/>
    <w:rsid w:val="00415E02"/>
    <w:rsid w:val="0041678D"/>
    <w:rsid w:val="004176D6"/>
    <w:rsid w:val="00417AFC"/>
    <w:rsid w:val="004203F9"/>
    <w:rsid w:val="0042129C"/>
    <w:rsid w:val="0042163A"/>
    <w:rsid w:val="0042223B"/>
    <w:rsid w:val="00423348"/>
    <w:rsid w:val="00424427"/>
    <w:rsid w:val="00424910"/>
    <w:rsid w:val="00427253"/>
    <w:rsid w:val="00427285"/>
    <w:rsid w:val="00430ADA"/>
    <w:rsid w:val="00430B97"/>
    <w:rsid w:val="0043146A"/>
    <w:rsid w:val="00434076"/>
    <w:rsid w:val="00434FB2"/>
    <w:rsid w:val="00435A08"/>
    <w:rsid w:val="00436075"/>
    <w:rsid w:val="0044040F"/>
    <w:rsid w:val="004409A1"/>
    <w:rsid w:val="00441E85"/>
    <w:rsid w:val="0044309A"/>
    <w:rsid w:val="0044317C"/>
    <w:rsid w:val="00445205"/>
    <w:rsid w:val="00445EC6"/>
    <w:rsid w:val="00451DC3"/>
    <w:rsid w:val="004547EF"/>
    <w:rsid w:val="0045503E"/>
    <w:rsid w:val="0045665E"/>
    <w:rsid w:val="0046163D"/>
    <w:rsid w:val="004616E1"/>
    <w:rsid w:val="004635E9"/>
    <w:rsid w:val="004646BB"/>
    <w:rsid w:val="00464DBE"/>
    <w:rsid w:val="00465E01"/>
    <w:rsid w:val="004666C8"/>
    <w:rsid w:val="0047039B"/>
    <w:rsid w:val="004710E4"/>
    <w:rsid w:val="004719D4"/>
    <w:rsid w:val="00472B4A"/>
    <w:rsid w:val="00473140"/>
    <w:rsid w:val="004753E3"/>
    <w:rsid w:val="00477DF7"/>
    <w:rsid w:val="00481117"/>
    <w:rsid w:val="004812E5"/>
    <w:rsid w:val="00481756"/>
    <w:rsid w:val="00481922"/>
    <w:rsid w:val="00481BC9"/>
    <w:rsid w:val="00482D23"/>
    <w:rsid w:val="00482ED4"/>
    <w:rsid w:val="00483D76"/>
    <w:rsid w:val="00483E34"/>
    <w:rsid w:val="00484700"/>
    <w:rsid w:val="0048506E"/>
    <w:rsid w:val="004854C1"/>
    <w:rsid w:val="00487596"/>
    <w:rsid w:val="0049054F"/>
    <w:rsid w:val="004914CC"/>
    <w:rsid w:val="00491D7A"/>
    <w:rsid w:val="00491F77"/>
    <w:rsid w:val="0049224B"/>
    <w:rsid w:val="00492268"/>
    <w:rsid w:val="00492E77"/>
    <w:rsid w:val="004935A6"/>
    <w:rsid w:val="00493E5E"/>
    <w:rsid w:val="00495122"/>
    <w:rsid w:val="0049658B"/>
    <w:rsid w:val="00496D89"/>
    <w:rsid w:val="00497120"/>
    <w:rsid w:val="004A09DB"/>
    <w:rsid w:val="004A0FDE"/>
    <w:rsid w:val="004A1D18"/>
    <w:rsid w:val="004A28AB"/>
    <w:rsid w:val="004A5E9D"/>
    <w:rsid w:val="004A63EF"/>
    <w:rsid w:val="004A7685"/>
    <w:rsid w:val="004A76B0"/>
    <w:rsid w:val="004B01EE"/>
    <w:rsid w:val="004B2831"/>
    <w:rsid w:val="004B2FA7"/>
    <w:rsid w:val="004B5BE2"/>
    <w:rsid w:val="004B7913"/>
    <w:rsid w:val="004C38FC"/>
    <w:rsid w:val="004C406E"/>
    <w:rsid w:val="004C4602"/>
    <w:rsid w:val="004C590F"/>
    <w:rsid w:val="004C601E"/>
    <w:rsid w:val="004D0F70"/>
    <w:rsid w:val="004D166D"/>
    <w:rsid w:val="004D249A"/>
    <w:rsid w:val="004D6BAC"/>
    <w:rsid w:val="004D722E"/>
    <w:rsid w:val="004E0189"/>
    <w:rsid w:val="004E28C0"/>
    <w:rsid w:val="004E2D2E"/>
    <w:rsid w:val="004E43FC"/>
    <w:rsid w:val="004E5C6D"/>
    <w:rsid w:val="004E5DDD"/>
    <w:rsid w:val="004E7272"/>
    <w:rsid w:val="004E75EB"/>
    <w:rsid w:val="004F1334"/>
    <w:rsid w:val="004F2073"/>
    <w:rsid w:val="004F3053"/>
    <w:rsid w:val="004F36E4"/>
    <w:rsid w:val="004F585B"/>
    <w:rsid w:val="004F6F1A"/>
    <w:rsid w:val="004F72CF"/>
    <w:rsid w:val="004F7F71"/>
    <w:rsid w:val="00500A96"/>
    <w:rsid w:val="005054B3"/>
    <w:rsid w:val="00505DD3"/>
    <w:rsid w:val="00506441"/>
    <w:rsid w:val="00506652"/>
    <w:rsid w:val="005068D2"/>
    <w:rsid w:val="00507846"/>
    <w:rsid w:val="00510DD2"/>
    <w:rsid w:val="00510FEF"/>
    <w:rsid w:val="00513B18"/>
    <w:rsid w:val="005203A3"/>
    <w:rsid w:val="0052063F"/>
    <w:rsid w:val="00522707"/>
    <w:rsid w:val="0052407A"/>
    <w:rsid w:val="0052460D"/>
    <w:rsid w:val="0052527C"/>
    <w:rsid w:val="00525CAE"/>
    <w:rsid w:val="00530328"/>
    <w:rsid w:val="00534B08"/>
    <w:rsid w:val="00534DA1"/>
    <w:rsid w:val="00537689"/>
    <w:rsid w:val="00541B47"/>
    <w:rsid w:val="00541BE7"/>
    <w:rsid w:val="00543647"/>
    <w:rsid w:val="00547A4A"/>
    <w:rsid w:val="00553689"/>
    <w:rsid w:val="005536D1"/>
    <w:rsid w:val="00555251"/>
    <w:rsid w:val="00556BEE"/>
    <w:rsid w:val="005575F6"/>
    <w:rsid w:val="00562952"/>
    <w:rsid w:val="00565559"/>
    <w:rsid w:val="00567EF3"/>
    <w:rsid w:val="00573873"/>
    <w:rsid w:val="00573EAD"/>
    <w:rsid w:val="00574729"/>
    <w:rsid w:val="00576B2D"/>
    <w:rsid w:val="00577C6E"/>
    <w:rsid w:val="00577F00"/>
    <w:rsid w:val="005802F3"/>
    <w:rsid w:val="00580333"/>
    <w:rsid w:val="0058193D"/>
    <w:rsid w:val="00581D9F"/>
    <w:rsid w:val="00585462"/>
    <w:rsid w:val="00586A1E"/>
    <w:rsid w:val="005874AC"/>
    <w:rsid w:val="00587F56"/>
    <w:rsid w:val="00590320"/>
    <w:rsid w:val="00591F88"/>
    <w:rsid w:val="0059238E"/>
    <w:rsid w:val="0059469D"/>
    <w:rsid w:val="005953A2"/>
    <w:rsid w:val="0059632C"/>
    <w:rsid w:val="0059790E"/>
    <w:rsid w:val="005979B7"/>
    <w:rsid w:val="005A031F"/>
    <w:rsid w:val="005A067B"/>
    <w:rsid w:val="005A2848"/>
    <w:rsid w:val="005A339A"/>
    <w:rsid w:val="005A5EB2"/>
    <w:rsid w:val="005B074C"/>
    <w:rsid w:val="005B39EE"/>
    <w:rsid w:val="005B3B3A"/>
    <w:rsid w:val="005B3F31"/>
    <w:rsid w:val="005B6B75"/>
    <w:rsid w:val="005B7FAF"/>
    <w:rsid w:val="005C2246"/>
    <w:rsid w:val="005C2B77"/>
    <w:rsid w:val="005C73A0"/>
    <w:rsid w:val="005C7A49"/>
    <w:rsid w:val="005D0FC3"/>
    <w:rsid w:val="005D2319"/>
    <w:rsid w:val="005D2594"/>
    <w:rsid w:val="005D5F71"/>
    <w:rsid w:val="005D6C89"/>
    <w:rsid w:val="005D6F84"/>
    <w:rsid w:val="005D78FB"/>
    <w:rsid w:val="005E1514"/>
    <w:rsid w:val="005E2A49"/>
    <w:rsid w:val="005E2F5D"/>
    <w:rsid w:val="005E396A"/>
    <w:rsid w:val="005E3D0F"/>
    <w:rsid w:val="005E3F70"/>
    <w:rsid w:val="005E406D"/>
    <w:rsid w:val="005E5BF2"/>
    <w:rsid w:val="005E643F"/>
    <w:rsid w:val="005E7618"/>
    <w:rsid w:val="005F2878"/>
    <w:rsid w:val="005F2CB2"/>
    <w:rsid w:val="005F3723"/>
    <w:rsid w:val="005F38B7"/>
    <w:rsid w:val="005F4164"/>
    <w:rsid w:val="005F4900"/>
    <w:rsid w:val="005F62F8"/>
    <w:rsid w:val="005F6941"/>
    <w:rsid w:val="005F6E1C"/>
    <w:rsid w:val="005F71F1"/>
    <w:rsid w:val="005F7CCB"/>
    <w:rsid w:val="005F7F99"/>
    <w:rsid w:val="00600382"/>
    <w:rsid w:val="00601224"/>
    <w:rsid w:val="00601A3A"/>
    <w:rsid w:val="00602ED9"/>
    <w:rsid w:val="0060316E"/>
    <w:rsid w:val="006048E2"/>
    <w:rsid w:val="00605E57"/>
    <w:rsid w:val="006069DC"/>
    <w:rsid w:val="00610020"/>
    <w:rsid w:val="006100D3"/>
    <w:rsid w:val="00612A5A"/>
    <w:rsid w:val="00612F70"/>
    <w:rsid w:val="00614930"/>
    <w:rsid w:val="00615534"/>
    <w:rsid w:val="00621585"/>
    <w:rsid w:val="00622D75"/>
    <w:rsid w:val="00623229"/>
    <w:rsid w:val="0062337F"/>
    <w:rsid w:val="00625041"/>
    <w:rsid w:val="0062551A"/>
    <w:rsid w:val="006266EF"/>
    <w:rsid w:val="006312BB"/>
    <w:rsid w:val="006317AB"/>
    <w:rsid w:val="006321C7"/>
    <w:rsid w:val="00632B95"/>
    <w:rsid w:val="006361FC"/>
    <w:rsid w:val="006401DF"/>
    <w:rsid w:val="006423E0"/>
    <w:rsid w:val="00642877"/>
    <w:rsid w:val="006440B8"/>
    <w:rsid w:val="006458CF"/>
    <w:rsid w:val="00645E0E"/>
    <w:rsid w:val="00646713"/>
    <w:rsid w:val="00646E28"/>
    <w:rsid w:val="00647C21"/>
    <w:rsid w:val="00654F58"/>
    <w:rsid w:val="00656533"/>
    <w:rsid w:val="00660788"/>
    <w:rsid w:val="00664480"/>
    <w:rsid w:val="00665589"/>
    <w:rsid w:val="0066637C"/>
    <w:rsid w:val="00666645"/>
    <w:rsid w:val="00666956"/>
    <w:rsid w:val="00666A05"/>
    <w:rsid w:val="0067121E"/>
    <w:rsid w:val="0067146F"/>
    <w:rsid w:val="00673A08"/>
    <w:rsid w:val="00673B0F"/>
    <w:rsid w:val="006748A7"/>
    <w:rsid w:val="00675437"/>
    <w:rsid w:val="00675531"/>
    <w:rsid w:val="006765EF"/>
    <w:rsid w:val="006769F4"/>
    <w:rsid w:val="00677E0F"/>
    <w:rsid w:val="0068172E"/>
    <w:rsid w:val="0068415D"/>
    <w:rsid w:val="00684438"/>
    <w:rsid w:val="00684E08"/>
    <w:rsid w:val="00685704"/>
    <w:rsid w:val="00691938"/>
    <w:rsid w:val="00691E05"/>
    <w:rsid w:val="006944E2"/>
    <w:rsid w:val="00695A43"/>
    <w:rsid w:val="00697F57"/>
    <w:rsid w:val="006A0AE3"/>
    <w:rsid w:val="006A417D"/>
    <w:rsid w:val="006A670D"/>
    <w:rsid w:val="006B0E20"/>
    <w:rsid w:val="006B435D"/>
    <w:rsid w:val="006B5A70"/>
    <w:rsid w:val="006B6B3A"/>
    <w:rsid w:val="006B7A57"/>
    <w:rsid w:val="006C0EDC"/>
    <w:rsid w:val="006C1A4B"/>
    <w:rsid w:val="006C34D8"/>
    <w:rsid w:val="006C43C4"/>
    <w:rsid w:val="006C5186"/>
    <w:rsid w:val="006D0686"/>
    <w:rsid w:val="006D0E65"/>
    <w:rsid w:val="006D0F60"/>
    <w:rsid w:val="006D14A7"/>
    <w:rsid w:val="006D1689"/>
    <w:rsid w:val="006D1730"/>
    <w:rsid w:val="006D1CD5"/>
    <w:rsid w:val="006D5A4A"/>
    <w:rsid w:val="006E1665"/>
    <w:rsid w:val="006E3C0A"/>
    <w:rsid w:val="006E51E7"/>
    <w:rsid w:val="006E56E4"/>
    <w:rsid w:val="006E603B"/>
    <w:rsid w:val="006E61CF"/>
    <w:rsid w:val="006E63A4"/>
    <w:rsid w:val="006E669B"/>
    <w:rsid w:val="006E761F"/>
    <w:rsid w:val="006F0528"/>
    <w:rsid w:val="006F059A"/>
    <w:rsid w:val="006F2CF8"/>
    <w:rsid w:val="006F3AFF"/>
    <w:rsid w:val="006F783D"/>
    <w:rsid w:val="006F790E"/>
    <w:rsid w:val="00700271"/>
    <w:rsid w:val="00703224"/>
    <w:rsid w:val="0070372C"/>
    <w:rsid w:val="00705094"/>
    <w:rsid w:val="007069C9"/>
    <w:rsid w:val="00706DBF"/>
    <w:rsid w:val="00710510"/>
    <w:rsid w:val="00710AD2"/>
    <w:rsid w:val="0071177E"/>
    <w:rsid w:val="0071315B"/>
    <w:rsid w:val="007136F2"/>
    <w:rsid w:val="00713C0C"/>
    <w:rsid w:val="00717481"/>
    <w:rsid w:val="00717670"/>
    <w:rsid w:val="00717F20"/>
    <w:rsid w:val="007225C6"/>
    <w:rsid w:val="00722B10"/>
    <w:rsid w:val="00722D49"/>
    <w:rsid w:val="00727B08"/>
    <w:rsid w:val="00727C82"/>
    <w:rsid w:val="007314CA"/>
    <w:rsid w:val="007326C1"/>
    <w:rsid w:val="007362A1"/>
    <w:rsid w:val="00740B2D"/>
    <w:rsid w:val="00741AE6"/>
    <w:rsid w:val="00742545"/>
    <w:rsid w:val="007432E8"/>
    <w:rsid w:val="007435B2"/>
    <w:rsid w:val="007453B4"/>
    <w:rsid w:val="00745EB2"/>
    <w:rsid w:val="00746B2A"/>
    <w:rsid w:val="00746D96"/>
    <w:rsid w:val="00751BB7"/>
    <w:rsid w:val="0075241F"/>
    <w:rsid w:val="00752678"/>
    <w:rsid w:val="00753BD8"/>
    <w:rsid w:val="00753D91"/>
    <w:rsid w:val="007543EF"/>
    <w:rsid w:val="00756540"/>
    <w:rsid w:val="00757BD6"/>
    <w:rsid w:val="00760E37"/>
    <w:rsid w:val="00760F9F"/>
    <w:rsid w:val="00761C85"/>
    <w:rsid w:val="00766BF0"/>
    <w:rsid w:val="00772A68"/>
    <w:rsid w:val="0077436A"/>
    <w:rsid w:val="00774709"/>
    <w:rsid w:val="00774747"/>
    <w:rsid w:val="007778A1"/>
    <w:rsid w:val="00777CED"/>
    <w:rsid w:val="007800C5"/>
    <w:rsid w:val="00780327"/>
    <w:rsid w:val="00781580"/>
    <w:rsid w:val="007817DF"/>
    <w:rsid w:val="007839D7"/>
    <w:rsid w:val="007866CB"/>
    <w:rsid w:val="00786FE3"/>
    <w:rsid w:val="00790AFC"/>
    <w:rsid w:val="0079187B"/>
    <w:rsid w:val="00792907"/>
    <w:rsid w:val="00793D1D"/>
    <w:rsid w:val="00795F51"/>
    <w:rsid w:val="00796AA2"/>
    <w:rsid w:val="007A0EC2"/>
    <w:rsid w:val="007A1324"/>
    <w:rsid w:val="007A18B9"/>
    <w:rsid w:val="007A309D"/>
    <w:rsid w:val="007A397A"/>
    <w:rsid w:val="007A45FA"/>
    <w:rsid w:val="007A56BC"/>
    <w:rsid w:val="007A5EA6"/>
    <w:rsid w:val="007A7C8F"/>
    <w:rsid w:val="007A7FF6"/>
    <w:rsid w:val="007B0B49"/>
    <w:rsid w:val="007B0E6B"/>
    <w:rsid w:val="007B2259"/>
    <w:rsid w:val="007B264D"/>
    <w:rsid w:val="007B3922"/>
    <w:rsid w:val="007B4430"/>
    <w:rsid w:val="007B5AC6"/>
    <w:rsid w:val="007B5E71"/>
    <w:rsid w:val="007B66FD"/>
    <w:rsid w:val="007B6A05"/>
    <w:rsid w:val="007C00DA"/>
    <w:rsid w:val="007C0896"/>
    <w:rsid w:val="007C1316"/>
    <w:rsid w:val="007C13AF"/>
    <w:rsid w:val="007C24EA"/>
    <w:rsid w:val="007C4472"/>
    <w:rsid w:val="007C5448"/>
    <w:rsid w:val="007C5993"/>
    <w:rsid w:val="007C6037"/>
    <w:rsid w:val="007C730F"/>
    <w:rsid w:val="007D0073"/>
    <w:rsid w:val="007D1D59"/>
    <w:rsid w:val="007D1F45"/>
    <w:rsid w:val="007D206A"/>
    <w:rsid w:val="007D267D"/>
    <w:rsid w:val="007D34A1"/>
    <w:rsid w:val="007D4FBE"/>
    <w:rsid w:val="007D50F2"/>
    <w:rsid w:val="007D7030"/>
    <w:rsid w:val="007D719C"/>
    <w:rsid w:val="007D790B"/>
    <w:rsid w:val="007E0BF6"/>
    <w:rsid w:val="007E0C91"/>
    <w:rsid w:val="007E1C85"/>
    <w:rsid w:val="007E2709"/>
    <w:rsid w:val="007E2748"/>
    <w:rsid w:val="007E3769"/>
    <w:rsid w:val="007E37BA"/>
    <w:rsid w:val="007E5CBC"/>
    <w:rsid w:val="007E6BFE"/>
    <w:rsid w:val="007E7E41"/>
    <w:rsid w:val="007F0249"/>
    <w:rsid w:val="007F2070"/>
    <w:rsid w:val="007F6C86"/>
    <w:rsid w:val="007F7B32"/>
    <w:rsid w:val="007F7EBA"/>
    <w:rsid w:val="008022B8"/>
    <w:rsid w:val="0080234D"/>
    <w:rsid w:val="00806F91"/>
    <w:rsid w:val="00807257"/>
    <w:rsid w:val="0081314E"/>
    <w:rsid w:val="008159DE"/>
    <w:rsid w:val="0081671B"/>
    <w:rsid w:val="00820190"/>
    <w:rsid w:val="00822031"/>
    <w:rsid w:val="00822F54"/>
    <w:rsid w:val="00824DED"/>
    <w:rsid w:val="00824E10"/>
    <w:rsid w:val="0082573A"/>
    <w:rsid w:val="00826597"/>
    <w:rsid w:val="00834328"/>
    <w:rsid w:val="0083532E"/>
    <w:rsid w:val="00836C10"/>
    <w:rsid w:val="00837B68"/>
    <w:rsid w:val="00840CE8"/>
    <w:rsid w:val="00842E1B"/>
    <w:rsid w:val="00843A20"/>
    <w:rsid w:val="00844CE5"/>
    <w:rsid w:val="008455ED"/>
    <w:rsid w:val="00845F82"/>
    <w:rsid w:val="00846606"/>
    <w:rsid w:val="00850564"/>
    <w:rsid w:val="0085101F"/>
    <w:rsid w:val="0085127B"/>
    <w:rsid w:val="00853A13"/>
    <w:rsid w:val="00854101"/>
    <w:rsid w:val="008543C4"/>
    <w:rsid w:val="00856498"/>
    <w:rsid w:val="0085716D"/>
    <w:rsid w:val="00860B84"/>
    <w:rsid w:val="00863277"/>
    <w:rsid w:val="00863E33"/>
    <w:rsid w:val="008652B7"/>
    <w:rsid w:val="008657AA"/>
    <w:rsid w:val="0087019A"/>
    <w:rsid w:val="00870FDB"/>
    <w:rsid w:val="008741B3"/>
    <w:rsid w:val="00874E9E"/>
    <w:rsid w:val="008750B1"/>
    <w:rsid w:val="00875163"/>
    <w:rsid w:val="0087538E"/>
    <w:rsid w:val="008756A3"/>
    <w:rsid w:val="00877889"/>
    <w:rsid w:val="00877B7C"/>
    <w:rsid w:val="00877C82"/>
    <w:rsid w:val="00880052"/>
    <w:rsid w:val="00880B67"/>
    <w:rsid w:val="008813F4"/>
    <w:rsid w:val="008839E5"/>
    <w:rsid w:val="00884C5E"/>
    <w:rsid w:val="00884FA3"/>
    <w:rsid w:val="00884FEF"/>
    <w:rsid w:val="008878A0"/>
    <w:rsid w:val="008878F4"/>
    <w:rsid w:val="00893C57"/>
    <w:rsid w:val="008954FF"/>
    <w:rsid w:val="00895D4A"/>
    <w:rsid w:val="0089601D"/>
    <w:rsid w:val="008A242F"/>
    <w:rsid w:val="008A2D22"/>
    <w:rsid w:val="008A38B3"/>
    <w:rsid w:val="008A5200"/>
    <w:rsid w:val="008A7F48"/>
    <w:rsid w:val="008B234D"/>
    <w:rsid w:val="008B2397"/>
    <w:rsid w:val="008B2465"/>
    <w:rsid w:val="008B3279"/>
    <w:rsid w:val="008B47F8"/>
    <w:rsid w:val="008B4D8E"/>
    <w:rsid w:val="008B5CB0"/>
    <w:rsid w:val="008C1F9B"/>
    <w:rsid w:val="008C20FF"/>
    <w:rsid w:val="008C24EB"/>
    <w:rsid w:val="008C524B"/>
    <w:rsid w:val="008C540D"/>
    <w:rsid w:val="008C573C"/>
    <w:rsid w:val="008C5FAF"/>
    <w:rsid w:val="008C63F4"/>
    <w:rsid w:val="008C683B"/>
    <w:rsid w:val="008D0CCE"/>
    <w:rsid w:val="008D1772"/>
    <w:rsid w:val="008D1C9B"/>
    <w:rsid w:val="008D38E7"/>
    <w:rsid w:val="008D3F1E"/>
    <w:rsid w:val="008D53DB"/>
    <w:rsid w:val="008D63D9"/>
    <w:rsid w:val="008D7903"/>
    <w:rsid w:val="008E03BF"/>
    <w:rsid w:val="008E0434"/>
    <w:rsid w:val="008E27A0"/>
    <w:rsid w:val="008E3585"/>
    <w:rsid w:val="008E70EB"/>
    <w:rsid w:val="008F239D"/>
    <w:rsid w:val="008F24D5"/>
    <w:rsid w:val="008F2D69"/>
    <w:rsid w:val="008F45D8"/>
    <w:rsid w:val="008F62F3"/>
    <w:rsid w:val="008F663C"/>
    <w:rsid w:val="008F7387"/>
    <w:rsid w:val="008F7667"/>
    <w:rsid w:val="00900AE3"/>
    <w:rsid w:val="00903787"/>
    <w:rsid w:val="00903CF4"/>
    <w:rsid w:val="00904989"/>
    <w:rsid w:val="0090763D"/>
    <w:rsid w:val="00907E6F"/>
    <w:rsid w:val="00911028"/>
    <w:rsid w:val="00914FDF"/>
    <w:rsid w:val="00915241"/>
    <w:rsid w:val="00916547"/>
    <w:rsid w:val="009166E4"/>
    <w:rsid w:val="009169BB"/>
    <w:rsid w:val="00920513"/>
    <w:rsid w:val="00921D94"/>
    <w:rsid w:val="00921FC0"/>
    <w:rsid w:val="009240AA"/>
    <w:rsid w:val="00924825"/>
    <w:rsid w:val="00924E0B"/>
    <w:rsid w:val="009255B3"/>
    <w:rsid w:val="00926719"/>
    <w:rsid w:val="0092793B"/>
    <w:rsid w:val="00931806"/>
    <w:rsid w:val="00931DC6"/>
    <w:rsid w:val="00932896"/>
    <w:rsid w:val="00935213"/>
    <w:rsid w:val="009367A4"/>
    <w:rsid w:val="00937926"/>
    <w:rsid w:val="00941376"/>
    <w:rsid w:val="00942FAA"/>
    <w:rsid w:val="00946711"/>
    <w:rsid w:val="00946E27"/>
    <w:rsid w:val="009472DE"/>
    <w:rsid w:val="009477FD"/>
    <w:rsid w:val="00950883"/>
    <w:rsid w:val="00951592"/>
    <w:rsid w:val="00951B1A"/>
    <w:rsid w:val="009524E9"/>
    <w:rsid w:val="00952DD1"/>
    <w:rsid w:val="009533CB"/>
    <w:rsid w:val="00953787"/>
    <w:rsid w:val="00953BA8"/>
    <w:rsid w:val="009543FF"/>
    <w:rsid w:val="00954A98"/>
    <w:rsid w:val="00956275"/>
    <w:rsid w:val="00956A40"/>
    <w:rsid w:val="00957E39"/>
    <w:rsid w:val="0096289C"/>
    <w:rsid w:val="0096461C"/>
    <w:rsid w:val="00965A53"/>
    <w:rsid w:val="00965C36"/>
    <w:rsid w:val="00967E22"/>
    <w:rsid w:val="00971F58"/>
    <w:rsid w:val="00974027"/>
    <w:rsid w:val="009752E0"/>
    <w:rsid w:val="00975F3D"/>
    <w:rsid w:val="00976693"/>
    <w:rsid w:val="009801C2"/>
    <w:rsid w:val="00980926"/>
    <w:rsid w:val="009815F4"/>
    <w:rsid w:val="009817FB"/>
    <w:rsid w:val="0098383C"/>
    <w:rsid w:val="00984276"/>
    <w:rsid w:val="00985415"/>
    <w:rsid w:val="009861E7"/>
    <w:rsid w:val="009861FD"/>
    <w:rsid w:val="00986FB0"/>
    <w:rsid w:val="0098727F"/>
    <w:rsid w:val="0099021B"/>
    <w:rsid w:val="009903E1"/>
    <w:rsid w:val="0099082F"/>
    <w:rsid w:val="009909FB"/>
    <w:rsid w:val="00991181"/>
    <w:rsid w:val="00991313"/>
    <w:rsid w:val="009918BD"/>
    <w:rsid w:val="00991903"/>
    <w:rsid w:val="0099272F"/>
    <w:rsid w:val="00994CE0"/>
    <w:rsid w:val="00994FDB"/>
    <w:rsid w:val="00995065"/>
    <w:rsid w:val="009955A7"/>
    <w:rsid w:val="00995DF8"/>
    <w:rsid w:val="00996628"/>
    <w:rsid w:val="009A06FC"/>
    <w:rsid w:val="009A0811"/>
    <w:rsid w:val="009A0DDC"/>
    <w:rsid w:val="009A41D8"/>
    <w:rsid w:val="009A5F72"/>
    <w:rsid w:val="009A671B"/>
    <w:rsid w:val="009A7A4E"/>
    <w:rsid w:val="009A7B88"/>
    <w:rsid w:val="009A7F01"/>
    <w:rsid w:val="009B0A4A"/>
    <w:rsid w:val="009B2C20"/>
    <w:rsid w:val="009B32DC"/>
    <w:rsid w:val="009B3888"/>
    <w:rsid w:val="009B3959"/>
    <w:rsid w:val="009B4360"/>
    <w:rsid w:val="009B6B55"/>
    <w:rsid w:val="009B7C2A"/>
    <w:rsid w:val="009C0324"/>
    <w:rsid w:val="009C25C0"/>
    <w:rsid w:val="009C308C"/>
    <w:rsid w:val="009C4FF2"/>
    <w:rsid w:val="009C5D0E"/>
    <w:rsid w:val="009C7F18"/>
    <w:rsid w:val="009D05FE"/>
    <w:rsid w:val="009D2E5B"/>
    <w:rsid w:val="009D3A58"/>
    <w:rsid w:val="009D490E"/>
    <w:rsid w:val="009D4F67"/>
    <w:rsid w:val="009D56E0"/>
    <w:rsid w:val="009D5973"/>
    <w:rsid w:val="009D7924"/>
    <w:rsid w:val="009E00CE"/>
    <w:rsid w:val="009E0569"/>
    <w:rsid w:val="009E0AE8"/>
    <w:rsid w:val="009E18BF"/>
    <w:rsid w:val="009E1B70"/>
    <w:rsid w:val="009E2DBB"/>
    <w:rsid w:val="009E5E54"/>
    <w:rsid w:val="009E6011"/>
    <w:rsid w:val="009F1DCB"/>
    <w:rsid w:val="009F30F9"/>
    <w:rsid w:val="009F4500"/>
    <w:rsid w:val="009F4992"/>
    <w:rsid w:val="009F579E"/>
    <w:rsid w:val="009F6601"/>
    <w:rsid w:val="009F6CEF"/>
    <w:rsid w:val="009F7EC8"/>
    <w:rsid w:val="009F7ED6"/>
    <w:rsid w:val="00A004E1"/>
    <w:rsid w:val="00A01C5D"/>
    <w:rsid w:val="00A02D81"/>
    <w:rsid w:val="00A103C8"/>
    <w:rsid w:val="00A11780"/>
    <w:rsid w:val="00A13328"/>
    <w:rsid w:val="00A134F6"/>
    <w:rsid w:val="00A146CA"/>
    <w:rsid w:val="00A14974"/>
    <w:rsid w:val="00A14C3D"/>
    <w:rsid w:val="00A1542A"/>
    <w:rsid w:val="00A17477"/>
    <w:rsid w:val="00A2009E"/>
    <w:rsid w:val="00A20246"/>
    <w:rsid w:val="00A203B5"/>
    <w:rsid w:val="00A20E75"/>
    <w:rsid w:val="00A2233B"/>
    <w:rsid w:val="00A23580"/>
    <w:rsid w:val="00A24F33"/>
    <w:rsid w:val="00A26031"/>
    <w:rsid w:val="00A2712E"/>
    <w:rsid w:val="00A275D5"/>
    <w:rsid w:val="00A318E8"/>
    <w:rsid w:val="00A320A7"/>
    <w:rsid w:val="00A32441"/>
    <w:rsid w:val="00A332FE"/>
    <w:rsid w:val="00A33F83"/>
    <w:rsid w:val="00A34239"/>
    <w:rsid w:val="00A371D4"/>
    <w:rsid w:val="00A40D28"/>
    <w:rsid w:val="00A41009"/>
    <w:rsid w:val="00A41471"/>
    <w:rsid w:val="00A4203C"/>
    <w:rsid w:val="00A42350"/>
    <w:rsid w:val="00A42C73"/>
    <w:rsid w:val="00A42EC7"/>
    <w:rsid w:val="00A4395E"/>
    <w:rsid w:val="00A4741B"/>
    <w:rsid w:val="00A506FC"/>
    <w:rsid w:val="00A50D96"/>
    <w:rsid w:val="00A5113D"/>
    <w:rsid w:val="00A51B2B"/>
    <w:rsid w:val="00A540E7"/>
    <w:rsid w:val="00A540FA"/>
    <w:rsid w:val="00A56436"/>
    <w:rsid w:val="00A61114"/>
    <w:rsid w:val="00A620DE"/>
    <w:rsid w:val="00A620F4"/>
    <w:rsid w:val="00A63557"/>
    <w:rsid w:val="00A64A2A"/>
    <w:rsid w:val="00A65E57"/>
    <w:rsid w:val="00A664AD"/>
    <w:rsid w:val="00A6734D"/>
    <w:rsid w:val="00A6738B"/>
    <w:rsid w:val="00A67A6B"/>
    <w:rsid w:val="00A67FDF"/>
    <w:rsid w:val="00A71098"/>
    <w:rsid w:val="00A71C28"/>
    <w:rsid w:val="00A71CCE"/>
    <w:rsid w:val="00A7261F"/>
    <w:rsid w:val="00A72A45"/>
    <w:rsid w:val="00A73590"/>
    <w:rsid w:val="00A7384B"/>
    <w:rsid w:val="00A757D9"/>
    <w:rsid w:val="00A77456"/>
    <w:rsid w:val="00A8133E"/>
    <w:rsid w:val="00A81878"/>
    <w:rsid w:val="00A81CD9"/>
    <w:rsid w:val="00A82A63"/>
    <w:rsid w:val="00A8763B"/>
    <w:rsid w:val="00A916F7"/>
    <w:rsid w:val="00A91A9A"/>
    <w:rsid w:val="00A92660"/>
    <w:rsid w:val="00A9343F"/>
    <w:rsid w:val="00A96B76"/>
    <w:rsid w:val="00A97164"/>
    <w:rsid w:val="00A974E9"/>
    <w:rsid w:val="00AA109B"/>
    <w:rsid w:val="00AA3134"/>
    <w:rsid w:val="00AA3867"/>
    <w:rsid w:val="00AA4FB5"/>
    <w:rsid w:val="00AB3441"/>
    <w:rsid w:val="00AB4ACC"/>
    <w:rsid w:val="00AB4CDC"/>
    <w:rsid w:val="00AB4D2C"/>
    <w:rsid w:val="00AB718A"/>
    <w:rsid w:val="00AB793C"/>
    <w:rsid w:val="00AB7C1E"/>
    <w:rsid w:val="00AC23EB"/>
    <w:rsid w:val="00AC36D3"/>
    <w:rsid w:val="00AC48DF"/>
    <w:rsid w:val="00AC58F3"/>
    <w:rsid w:val="00AC6504"/>
    <w:rsid w:val="00AC6C50"/>
    <w:rsid w:val="00AD0965"/>
    <w:rsid w:val="00AD355F"/>
    <w:rsid w:val="00AD3B6A"/>
    <w:rsid w:val="00AD4E5F"/>
    <w:rsid w:val="00AD5D23"/>
    <w:rsid w:val="00AD6B2B"/>
    <w:rsid w:val="00AD7F2F"/>
    <w:rsid w:val="00AE1464"/>
    <w:rsid w:val="00AE1FBE"/>
    <w:rsid w:val="00AE21FC"/>
    <w:rsid w:val="00AE4991"/>
    <w:rsid w:val="00AE509B"/>
    <w:rsid w:val="00AE67A8"/>
    <w:rsid w:val="00AE6EC3"/>
    <w:rsid w:val="00AE734C"/>
    <w:rsid w:val="00AF0B66"/>
    <w:rsid w:val="00AF2C68"/>
    <w:rsid w:val="00AF3150"/>
    <w:rsid w:val="00AF46CF"/>
    <w:rsid w:val="00AF50DB"/>
    <w:rsid w:val="00AF553D"/>
    <w:rsid w:val="00AF6A6D"/>
    <w:rsid w:val="00AF6A81"/>
    <w:rsid w:val="00AF6FB1"/>
    <w:rsid w:val="00AF7D95"/>
    <w:rsid w:val="00B00030"/>
    <w:rsid w:val="00B01451"/>
    <w:rsid w:val="00B028E1"/>
    <w:rsid w:val="00B031F2"/>
    <w:rsid w:val="00B054CE"/>
    <w:rsid w:val="00B07760"/>
    <w:rsid w:val="00B1014D"/>
    <w:rsid w:val="00B1158D"/>
    <w:rsid w:val="00B11873"/>
    <w:rsid w:val="00B124C5"/>
    <w:rsid w:val="00B125AC"/>
    <w:rsid w:val="00B12603"/>
    <w:rsid w:val="00B129E0"/>
    <w:rsid w:val="00B12D7B"/>
    <w:rsid w:val="00B130D6"/>
    <w:rsid w:val="00B133F8"/>
    <w:rsid w:val="00B1422F"/>
    <w:rsid w:val="00B1466F"/>
    <w:rsid w:val="00B21040"/>
    <w:rsid w:val="00B213BF"/>
    <w:rsid w:val="00B21D72"/>
    <w:rsid w:val="00B21F9B"/>
    <w:rsid w:val="00B22163"/>
    <w:rsid w:val="00B23450"/>
    <w:rsid w:val="00B23BC4"/>
    <w:rsid w:val="00B27ABE"/>
    <w:rsid w:val="00B30613"/>
    <w:rsid w:val="00B33010"/>
    <w:rsid w:val="00B330BA"/>
    <w:rsid w:val="00B33278"/>
    <w:rsid w:val="00B34621"/>
    <w:rsid w:val="00B347C9"/>
    <w:rsid w:val="00B36B10"/>
    <w:rsid w:val="00B42FAC"/>
    <w:rsid w:val="00B4332F"/>
    <w:rsid w:val="00B43F7F"/>
    <w:rsid w:val="00B469DC"/>
    <w:rsid w:val="00B46C66"/>
    <w:rsid w:val="00B47163"/>
    <w:rsid w:val="00B50A0E"/>
    <w:rsid w:val="00B50CD3"/>
    <w:rsid w:val="00B60BF0"/>
    <w:rsid w:val="00B61813"/>
    <w:rsid w:val="00B61F2C"/>
    <w:rsid w:val="00B625FA"/>
    <w:rsid w:val="00B62767"/>
    <w:rsid w:val="00B629D3"/>
    <w:rsid w:val="00B62B02"/>
    <w:rsid w:val="00B65A04"/>
    <w:rsid w:val="00B6604F"/>
    <w:rsid w:val="00B70601"/>
    <w:rsid w:val="00B70C48"/>
    <w:rsid w:val="00B71441"/>
    <w:rsid w:val="00B72139"/>
    <w:rsid w:val="00B73013"/>
    <w:rsid w:val="00B74228"/>
    <w:rsid w:val="00B7440C"/>
    <w:rsid w:val="00B74A1B"/>
    <w:rsid w:val="00B74DF8"/>
    <w:rsid w:val="00B75F63"/>
    <w:rsid w:val="00B7602B"/>
    <w:rsid w:val="00B7674F"/>
    <w:rsid w:val="00B77F06"/>
    <w:rsid w:val="00B80669"/>
    <w:rsid w:val="00B82C99"/>
    <w:rsid w:val="00B82D57"/>
    <w:rsid w:val="00B83690"/>
    <w:rsid w:val="00B83BEA"/>
    <w:rsid w:val="00B83D03"/>
    <w:rsid w:val="00B84257"/>
    <w:rsid w:val="00B84F6F"/>
    <w:rsid w:val="00B8502E"/>
    <w:rsid w:val="00B853B6"/>
    <w:rsid w:val="00B85AA3"/>
    <w:rsid w:val="00B8712E"/>
    <w:rsid w:val="00B87184"/>
    <w:rsid w:val="00B921C6"/>
    <w:rsid w:val="00B9220F"/>
    <w:rsid w:val="00B9228E"/>
    <w:rsid w:val="00B927CC"/>
    <w:rsid w:val="00B928E7"/>
    <w:rsid w:val="00B93491"/>
    <w:rsid w:val="00B96B64"/>
    <w:rsid w:val="00B973EF"/>
    <w:rsid w:val="00BA054D"/>
    <w:rsid w:val="00BA0F6E"/>
    <w:rsid w:val="00BA2791"/>
    <w:rsid w:val="00BA3460"/>
    <w:rsid w:val="00BA4491"/>
    <w:rsid w:val="00BA54A7"/>
    <w:rsid w:val="00BA6E78"/>
    <w:rsid w:val="00BA79C2"/>
    <w:rsid w:val="00BB381D"/>
    <w:rsid w:val="00BB5D89"/>
    <w:rsid w:val="00BB6765"/>
    <w:rsid w:val="00BC095F"/>
    <w:rsid w:val="00BC20FB"/>
    <w:rsid w:val="00BC26B7"/>
    <w:rsid w:val="00BC2CB5"/>
    <w:rsid w:val="00BC58CB"/>
    <w:rsid w:val="00BC5B1C"/>
    <w:rsid w:val="00BD31FB"/>
    <w:rsid w:val="00BD3E8B"/>
    <w:rsid w:val="00BD4663"/>
    <w:rsid w:val="00BD4A34"/>
    <w:rsid w:val="00BD79CD"/>
    <w:rsid w:val="00BE16A6"/>
    <w:rsid w:val="00BE1836"/>
    <w:rsid w:val="00BE1A6A"/>
    <w:rsid w:val="00BE1ABE"/>
    <w:rsid w:val="00BE378A"/>
    <w:rsid w:val="00BE403B"/>
    <w:rsid w:val="00BE40ED"/>
    <w:rsid w:val="00BE4A74"/>
    <w:rsid w:val="00BE4CCE"/>
    <w:rsid w:val="00BE4CF1"/>
    <w:rsid w:val="00BE5229"/>
    <w:rsid w:val="00BE55F1"/>
    <w:rsid w:val="00BE6A61"/>
    <w:rsid w:val="00BE71E9"/>
    <w:rsid w:val="00BE786E"/>
    <w:rsid w:val="00BE797A"/>
    <w:rsid w:val="00BF3371"/>
    <w:rsid w:val="00BF412B"/>
    <w:rsid w:val="00BF57DE"/>
    <w:rsid w:val="00BF71D4"/>
    <w:rsid w:val="00BF722F"/>
    <w:rsid w:val="00C0283D"/>
    <w:rsid w:val="00C0296E"/>
    <w:rsid w:val="00C04D21"/>
    <w:rsid w:val="00C05307"/>
    <w:rsid w:val="00C0550D"/>
    <w:rsid w:val="00C05BE2"/>
    <w:rsid w:val="00C071C9"/>
    <w:rsid w:val="00C07799"/>
    <w:rsid w:val="00C10A12"/>
    <w:rsid w:val="00C10FAB"/>
    <w:rsid w:val="00C111B6"/>
    <w:rsid w:val="00C111D8"/>
    <w:rsid w:val="00C12134"/>
    <w:rsid w:val="00C156D8"/>
    <w:rsid w:val="00C15F0D"/>
    <w:rsid w:val="00C16636"/>
    <w:rsid w:val="00C167E9"/>
    <w:rsid w:val="00C20078"/>
    <w:rsid w:val="00C202E2"/>
    <w:rsid w:val="00C20A1F"/>
    <w:rsid w:val="00C24139"/>
    <w:rsid w:val="00C246F6"/>
    <w:rsid w:val="00C26360"/>
    <w:rsid w:val="00C26F3F"/>
    <w:rsid w:val="00C275FF"/>
    <w:rsid w:val="00C3266A"/>
    <w:rsid w:val="00C32E7C"/>
    <w:rsid w:val="00C371A8"/>
    <w:rsid w:val="00C379A7"/>
    <w:rsid w:val="00C43638"/>
    <w:rsid w:val="00C43CEF"/>
    <w:rsid w:val="00C44116"/>
    <w:rsid w:val="00C506CE"/>
    <w:rsid w:val="00C50A87"/>
    <w:rsid w:val="00C51CE1"/>
    <w:rsid w:val="00C52E1B"/>
    <w:rsid w:val="00C53838"/>
    <w:rsid w:val="00C53E25"/>
    <w:rsid w:val="00C53FD0"/>
    <w:rsid w:val="00C5428D"/>
    <w:rsid w:val="00C56F7B"/>
    <w:rsid w:val="00C57BE5"/>
    <w:rsid w:val="00C6003C"/>
    <w:rsid w:val="00C609E3"/>
    <w:rsid w:val="00C613F7"/>
    <w:rsid w:val="00C623F8"/>
    <w:rsid w:val="00C64F0E"/>
    <w:rsid w:val="00C658C5"/>
    <w:rsid w:val="00C70067"/>
    <w:rsid w:val="00C70BBE"/>
    <w:rsid w:val="00C71AE1"/>
    <w:rsid w:val="00C71B5A"/>
    <w:rsid w:val="00C72B3F"/>
    <w:rsid w:val="00C730C5"/>
    <w:rsid w:val="00C73574"/>
    <w:rsid w:val="00C73E3D"/>
    <w:rsid w:val="00C74A26"/>
    <w:rsid w:val="00C74D67"/>
    <w:rsid w:val="00C751F6"/>
    <w:rsid w:val="00C7581B"/>
    <w:rsid w:val="00C75C64"/>
    <w:rsid w:val="00C7663C"/>
    <w:rsid w:val="00C77040"/>
    <w:rsid w:val="00C7730E"/>
    <w:rsid w:val="00C80D11"/>
    <w:rsid w:val="00C80D66"/>
    <w:rsid w:val="00C82E2D"/>
    <w:rsid w:val="00C8353F"/>
    <w:rsid w:val="00C838A6"/>
    <w:rsid w:val="00C84700"/>
    <w:rsid w:val="00C85603"/>
    <w:rsid w:val="00C86AF6"/>
    <w:rsid w:val="00C86B19"/>
    <w:rsid w:val="00C901DE"/>
    <w:rsid w:val="00C902B3"/>
    <w:rsid w:val="00C9036B"/>
    <w:rsid w:val="00C91C58"/>
    <w:rsid w:val="00C9224E"/>
    <w:rsid w:val="00C92CE6"/>
    <w:rsid w:val="00C9302A"/>
    <w:rsid w:val="00C93556"/>
    <w:rsid w:val="00C93D38"/>
    <w:rsid w:val="00C958FD"/>
    <w:rsid w:val="00C95A1D"/>
    <w:rsid w:val="00C960AB"/>
    <w:rsid w:val="00CA096A"/>
    <w:rsid w:val="00CA57AE"/>
    <w:rsid w:val="00CB26F5"/>
    <w:rsid w:val="00CB3527"/>
    <w:rsid w:val="00CB74CB"/>
    <w:rsid w:val="00CC0062"/>
    <w:rsid w:val="00CC014E"/>
    <w:rsid w:val="00CC0F6C"/>
    <w:rsid w:val="00CC7A5C"/>
    <w:rsid w:val="00CC7BC9"/>
    <w:rsid w:val="00CD0480"/>
    <w:rsid w:val="00CD1AD7"/>
    <w:rsid w:val="00CD25C7"/>
    <w:rsid w:val="00CD5274"/>
    <w:rsid w:val="00CD52BB"/>
    <w:rsid w:val="00CD72CE"/>
    <w:rsid w:val="00CD7378"/>
    <w:rsid w:val="00CD7D2F"/>
    <w:rsid w:val="00CE216B"/>
    <w:rsid w:val="00CE283F"/>
    <w:rsid w:val="00CF0A90"/>
    <w:rsid w:val="00CF14AD"/>
    <w:rsid w:val="00CF2A93"/>
    <w:rsid w:val="00CF2FB1"/>
    <w:rsid w:val="00CF6F19"/>
    <w:rsid w:val="00D01F86"/>
    <w:rsid w:val="00D02DAB"/>
    <w:rsid w:val="00D04EA3"/>
    <w:rsid w:val="00D056CC"/>
    <w:rsid w:val="00D0643E"/>
    <w:rsid w:val="00D06D6C"/>
    <w:rsid w:val="00D07016"/>
    <w:rsid w:val="00D12793"/>
    <w:rsid w:val="00D13BED"/>
    <w:rsid w:val="00D157D4"/>
    <w:rsid w:val="00D15D34"/>
    <w:rsid w:val="00D173BC"/>
    <w:rsid w:val="00D22022"/>
    <w:rsid w:val="00D222C5"/>
    <w:rsid w:val="00D2263D"/>
    <w:rsid w:val="00D22674"/>
    <w:rsid w:val="00D232D9"/>
    <w:rsid w:val="00D23D67"/>
    <w:rsid w:val="00D25072"/>
    <w:rsid w:val="00D250BF"/>
    <w:rsid w:val="00D25633"/>
    <w:rsid w:val="00D25A51"/>
    <w:rsid w:val="00D27D04"/>
    <w:rsid w:val="00D27DF6"/>
    <w:rsid w:val="00D31097"/>
    <w:rsid w:val="00D314FB"/>
    <w:rsid w:val="00D317A7"/>
    <w:rsid w:val="00D32332"/>
    <w:rsid w:val="00D32E1F"/>
    <w:rsid w:val="00D33C57"/>
    <w:rsid w:val="00D34910"/>
    <w:rsid w:val="00D364EE"/>
    <w:rsid w:val="00D414B4"/>
    <w:rsid w:val="00D422E0"/>
    <w:rsid w:val="00D44D93"/>
    <w:rsid w:val="00D47F30"/>
    <w:rsid w:val="00D506A9"/>
    <w:rsid w:val="00D51F5F"/>
    <w:rsid w:val="00D53DA7"/>
    <w:rsid w:val="00D53F0C"/>
    <w:rsid w:val="00D5486C"/>
    <w:rsid w:val="00D55E69"/>
    <w:rsid w:val="00D562ED"/>
    <w:rsid w:val="00D56751"/>
    <w:rsid w:val="00D56BE5"/>
    <w:rsid w:val="00D57860"/>
    <w:rsid w:val="00D61299"/>
    <w:rsid w:val="00D635F5"/>
    <w:rsid w:val="00D63D1B"/>
    <w:rsid w:val="00D64271"/>
    <w:rsid w:val="00D6430C"/>
    <w:rsid w:val="00D644F7"/>
    <w:rsid w:val="00D64EC1"/>
    <w:rsid w:val="00D6537E"/>
    <w:rsid w:val="00D65A82"/>
    <w:rsid w:val="00D6601F"/>
    <w:rsid w:val="00D66243"/>
    <w:rsid w:val="00D67331"/>
    <w:rsid w:val="00D67680"/>
    <w:rsid w:val="00D70268"/>
    <w:rsid w:val="00D721B0"/>
    <w:rsid w:val="00D738FE"/>
    <w:rsid w:val="00D75ACC"/>
    <w:rsid w:val="00D77C80"/>
    <w:rsid w:val="00D77DC0"/>
    <w:rsid w:val="00D77F62"/>
    <w:rsid w:val="00D80A97"/>
    <w:rsid w:val="00D80FF0"/>
    <w:rsid w:val="00D81F23"/>
    <w:rsid w:val="00D8321A"/>
    <w:rsid w:val="00D85376"/>
    <w:rsid w:val="00D853F7"/>
    <w:rsid w:val="00D863AA"/>
    <w:rsid w:val="00D90F8B"/>
    <w:rsid w:val="00D91B7A"/>
    <w:rsid w:val="00D928F7"/>
    <w:rsid w:val="00D935C2"/>
    <w:rsid w:val="00D9408F"/>
    <w:rsid w:val="00D974EE"/>
    <w:rsid w:val="00DA0032"/>
    <w:rsid w:val="00DA15C9"/>
    <w:rsid w:val="00DA7031"/>
    <w:rsid w:val="00DA7551"/>
    <w:rsid w:val="00DA7A16"/>
    <w:rsid w:val="00DB28F8"/>
    <w:rsid w:val="00DB2BBA"/>
    <w:rsid w:val="00DB3C73"/>
    <w:rsid w:val="00DB486B"/>
    <w:rsid w:val="00DB5767"/>
    <w:rsid w:val="00DC10A1"/>
    <w:rsid w:val="00DC14A7"/>
    <w:rsid w:val="00DC3E94"/>
    <w:rsid w:val="00DC655F"/>
    <w:rsid w:val="00DC69D9"/>
    <w:rsid w:val="00DC6B82"/>
    <w:rsid w:val="00DC719A"/>
    <w:rsid w:val="00DC734D"/>
    <w:rsid w:val="00DC79F0"/>
    <w:rsid w:val="00DD0B85"/>
    <w:rsid w:val="00DD0CE6"/>
    <w:rsid w:val="00DD1288"/>
    <w:rsid w:val="00DD1441"/>
    <w:rsid w:val="00DD1E54"/>
    <w:rsid w:val="00DD1F66"/>
    <w:rsid w:val="00DD257F"/>
    <w:rsid w:val="00DD653A"/>
    <w:rsid w:val="00DD6977"/>
    <w:rsid w:val="00DD6D79"/>
    <w:rsid w:val="00DE2CCF"/>
    <w:rsid w:val="00DE35E4"/>
    <w:rsid w:val="00DE4140"/>
    <w:rsid w:val="00DE4F57"/>
    <w:rsid w:val="00DE50C3"/>
    <w:rsid w:val="00DE64C2"/>
    <w:rsid w:val="00DE75C1"/>
    <w:rsid w:val="00DF092C"/>
    <w:rsid w:val="00DF0C33"/>
    <w:rsid w:val="00DF1739"/>
    <w:rsid w:val="00DF2FC0"/>
    <w:rsid w:val="00DF3CDD"/>
    <w:rsid w:val="00DF4C87"/>
    <w:rsid w:val="00DF5466"/>
    <w:rsid w:val="00DF5BC8"/>
    <w:rsid w:val="00E01BD7"/>
    <w:rsid w:val="00E02674"/>
    <w:rsid w:val="00E02F44"/>
    <w:rsid w:val="00E03261"/>
    <w:rsid w:val="00E0731D"/>
    <w:rsid w:val="00E12C3C"/>
    <w:rsid w:val="00E16BB0"/>
    <w:rsid w:val="00E172F8"/>
    <w:rsid w:val="00E20813"/>
    <w:rsid w:val="00E219AE"/>
    <w:rsid w:val="00E21FCC"/>
    <w:rsid w:val="00E24611"/>
    <w:rsid w:val="00E25A07"/>
    <w:rsid w:val="00E26564"/>
    <w:rsid w:val="00E316C2"/>
    <w:rsid w:val="00E33861"/>
    <w:rsid w:val="00E33B28"/>
    <w:rsid w:val="00E34D44"/>
    <w:rsid w:val="00E375A7"/>
    <w:rsid w:val="00E37832"/>
    <w:rsid w:val="00E4140C"/>
    <w:rsid w:val="00E41C9E"/>
    <w:rsid w:val="00E41CD8"/>
    <w:rsid w:val="00E43155"/>
    <w:rsid w:val="00E43F85"/>
    <w:rsid w:val="00E46B2B"/>
    <w:rsid w:val="00E513E0"/>
    <w:rsid w:val="00E51C59"/>
    <w:rsid w:val="00E52010"/>
    <w:rsid w:val="00E52A17"/>
    <w:rsid w:val="00E54331"/>
    <w:rsid w:val="00E5518D"/>
    <w:rsid w:val="00E60D2D"/>
    <w:rsid w:val="00E610E1"/>
    <w:rsid w:val="00E62C9F"/>
    <w:rsid w:val="00E6404E"/>
    <w:rsid w:val="00E6524C"/>
    <w:rsid w:val="00E66991"/>
    <w:rsid w:val="00E66A41"/>
    <w:rsid w:val="00E679D5"/>
    <w:rsid w:val="00E70111"/>
    <w:rsid w:val="00E7044D"/>
    <w:rsid w:val="00E7212E"/>
    <w:rsid w:val="00E72255"/>
    <w:rsid w:val="00E7289E"/>
    <w:rsid w:val="00E7390B"/>
    <w:rsid w:val="00E75749"/>
    <w:rsid w:val="00E80D11"/>
    <w:rsid w:val="00E841CC"/>
    <w:rsid w:val="00E85720"/>
    <w:rsid w:val="00E8748C"/>
    <w:rsid w:val="00E915CB"/>
    <w:rsid w:val="00E9359C"/>
    <w:rsid w:val="00E93A51"/>
    <w:rsid w:val="00E945A2"/>
    <w:rsid w:val="00E9530D"/>
    <w:rsid w:val="00EA0DB4"/>
    <w:rsid w:val="00EA253F"/>
    <w:rsid w:val="00EA2B80"/>
    <w:rsid w:val="00EA3D1A"/>
    <w:rsid w:val="00EA6468"/>
    <w:rsid w:val="00EA7C36"/>
    <w:rsid w:val="00EB0FD2"/>
    <w:rsid w:val="00EB10F9"/>
    <w:rsid w:val="00EB3E49"/>
    <w:rsid w:val="00EB4AFC"/>
    <w:rsid w:val="00EB5708"/>
    <w:rsid w:val="00EC00B3"/>
    <w:rsid w:val="00EC01D1"/>
    <w:rsid w:val="00EC113D"/>
    <w:rsid w:val="00EC247E"/>
    <w:rsid w:val="00EC72F0"/>
    <w:rsid w:val="00EC7538"/>
    <w:rsid w:val="00ED0BA9"/>
    <w:rsid w:val="00ED18E4"/>
    <w:rsid w:val="00EE0044"/>
    <w:rsid w:val="00EE1106"/>
    <w:rsid w:val="00EE2A80"/>
    <w:rsid w:val="00EE3A35"/>
    <w:rsid w:val="00EE75C0"/>
    <w:rsid w:val="00EF2C79"/>
    <w:rsid w:val="00EF335D"/>
    <w:rsid w:val="00EF40B1"/>
    <w:rsid w:val="00EF55B2"/>
    <w:rsid w:val="00EF7D36"/>
    <w:rsid w:val="00F002E9"/>
    <w:rsid w:val="00F009ED"/>
    <w:rsid w:val="00F024F3"/>
    <w:rsid w:val="00F031F2"/>
    <w:rsid w:val="00F03B42"/>
    <w:rsid w:val="00F04843"/>
    <w:rsid w:val="00F05AE3"/>
    <w:rsid w:val="00F06681"/>
    <w:rsid w:val="00F07424"/>
    <w:rsid w:val="00F07BF0"/>
    <w:rsid w:val="00F07DC5"/>
    <w:rsid w:val="00F104A4"/>
    <w:rsid w:val="00F10BFA"/>
    <w:rsid w:val="00F12A82"/>
    <w:rsid w:val="00F16C8B"/>
    <w:rsid w:val="00F25EE2"/>
    <w:rsid w:val="00F27404"/>
    <w:rsid w:val="00F27546"/>
    <w:rsid w:val="00F3104A"/>
    <w:rsid w:val="00F31BF1"/>
    <w:rsid w:val="00F31E5B"/>
    <w:rsid w:val="00F33981"/>
    <w:rsid w:val="00F36301"/>
    <w:rsid w:val="00F36352"/>
    <w:rsid w:val="00F37178"/>
    <w:rsid w:val="00F40213"/>
    <w:rsid w:val="00F42F25"/>
    <w:rsid w:val="00F44545"/>
    <w:rsid w:val="00F46174"/>
    <w:rsid w:val="00F47D22"/>
    <w:rsid w:val="00F50E84"/>
    <w:rsid w:val="00F57471"/>
    <w:rsid w:val="00F60645"/>
    <w:rsid w:val="00F61CE1"/>
    <w:rsid w:val="00F631E4"/>
    <w:rsid w:val="00F63B5C"/>
    <w:rsid w:val="00F6661A"/>
    <w:rsid w:val="00F670BB"/>
    <w:rsid w:val="00F673FD"/>
    <w:rsid w:val="00F6749D"/>
    <w:rsid w:val="00F71098"/>
    <w:rsid w:val="00F71776"/>
    <w:rsid w:val="00F71C13"/>
    <w:rsid w:val="00F71FFB"/>
    <w:rsid w:val="00F720BF"/>
    <w:rsid w:val="00F72B25"/>
    <w:rsid w:val="00F74927"/>
    <w:rsid w:val="00F749FA"/>
    <w:rsid w:val="00F7503B"/>
    <w:rsid w:val="00F769EB"/>
    <w:rsid w:val="00F8083B"/>
    <w:rsid w:val="00F80BF6"/>
    <w:rsid w:val="00F84AB0"/>
    <w:rsid w:val="00F8518E"/>
    <w:rsid w:val="00F8685D"/>
    <w:rsid w:val="00F86E4B"/>
    <w:rsid w:val="00F90462"/>
    <w:rsid w:val="00F91F60"/>
    <w:rsid w:val="00F94D8A"/>
    <w:rsid w:val="00F97C1E"/>
    <w:rsid w:val="00FA4A67"/>
    <w:rsid w:val="00FA6AB5"/>
    <w:rsid w:val="00FA6B90"/>
    <w:rsid w:val="00FA7BC6"/>
    <w:rsid w:val="00FB01BD"/>
    <w:rsid w:val="00FB082C"/>
    <w:rsid w:val="00FB1EE4"/>
    <w:rsid w:val="00FB4185"/>
    <w:rsid w:val="00FB53F2"/>
    <w:rsid w:val="00FB7AEC"/>
    <w:rsid w:val="00FC024A"/>
    <w:rsid w:val="00FC07E3"/>
    <w:rsid w:val="00FC1439"/>
    <w:rsid w:val="00FC27A4"/>
    <w:rsid w:val="00FC351A"/>
    <w:rsid w:val="00FC4B0A"/>
    <w:rsid w:val="00FC61D4"/>
    <w:rsid w:val="00FC6DAE"/>
    <w:rsid w:val="00FC7698"/>
    <w:rsid w:val="00FD0FC6"/>
    <w:rsid w:val="00FD101A"/>
    <w:rsid w:val="00FD2606"/>
    <w:rsid w:val="00FD2F5C"/>
    <w:rsid w:val="00FD30EA"/>
    <w:rsid w:val="00FD4658"/>
    <w:rsid w:val="00FD5078"/>
    <w:rsid w:val="00FD646B"/>
    <w:rsid w:val="00FD7AF6"/>
    <w:rsid w:val="00FD7D0D"/>
    <w:rsid w:val="00FE1A97"/>
    <w:rsid w:val="00FE2FDC"/>
    <w:rsid w:val="00FE4D91"/>
    <w:rsid w:val="00FE5ACD"/>
    <w:rsid w:val="00FE5C62"/>
    <w:rsid w:val="00FE6128"/>
    <w:rsid w:val="00FF0589"/>
    <w:rsid w:val="00FF22B3"/>
    <w:rsid w:val="00FF318E"/>
    <w:rsid w:val="00FF3580"/>
    <w:rsid w:val="00FF3BC4"/>
    <w:rsid w:val="00FF3BF4"/>
    <w:rsid w:val="00FF6436"/>
    <w:rsid w:val="00FF6648"/>
    <w:rsid w:val="00FF68E3"/>
    <w:rsid w:val="00FF6E0C"/>
    <w:rsid w:val="00FF6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4A"/>
    <w:rPr>
      <w:sz w:val="24"/>
      <w:szCs w:val="24"/>
    </w:rPr>
  </w:style>
  <w:style w:type="paragraph" w:styleId="1">
    <w:name w:val="heading 1"/>
    <w:basedOn w:val="a"/>
    <w:next w:val="a"/>
    <w:link w:val="10"/>
    <w:uiPriority w:val="99"/>
    <w:qFormat/>
    <w:rsid w:val="003C6E4A"/>
    <w:pPr>
      <w:keepNext/>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D7F"/>
    <w:rPr>
      <w:rFonts w:asciiTheme="majorHAnsi" w:eastAsiaTheme="majorEastAsia" w:hAnsiTheme="majorHAnsi" w:cstheme="majorBidi"/>
      <w:b/>
      <w:bCs/>
      <w:kern w:val="32"/>
      <w:sz w:val="32"/>
      <w:szCs w:val="32"/>
    </w:rPr>
  </w:style>
  <w:style w:type="paragraph" w:styleId="a3">
    <w:name w:val="Title"/>
    <w:basedOn w:val="a"/>
    <w:link w:val="a4"/>
    <w:uiPriority w:val="99"/>
    <w:qFormat/>
    <w:rsid w:val="003C6E4A"/>
    <w:pPr>
      <w:jc w:val="center"/>
    </w:pPr>
    <w:rPr>
      <w:sz w:val="28"/>
      <w:lang w:val="uk-UA"/>
    </w:rPr>
  </w:style>
  <w:style w:type="character" w:customStyle="1" w:styleId="a4">
    <w:name w:val="Название Знак"/>
    <w:basedOn w:val="a0"/>
    <w:link w:val="a3"/>
    <w:uiPriority w:val="10"/>
    <w:rsid w:val="000D0D7F"/>
    <w:rPr>
      <w:rFonts w:asciiTheme="majorHAnsi" w:eastAsiaTheme="majorEastAsia" w:hAnsiTheme="majorHAnsi" w:cstheme="majorBidi"/>
      <w:b/>
      <w:bCs/>
      <w:kern w:val="28"/>
      <w:sz w:val="32"/>
      <w:szCs w:val="32"/>
    </w:rPr>
  </w:style>
  <w:style w:type="paragraph" w:styleId="a5">
    <w:name w:val="Body Text"/>
    <w:basedOn w:val="a"/>
    <w:link w:val="a6"/>
    <w:semiHidden/>
    <w:rsid w:val="003C6E4A"/>
    <w:pPr>
      <w:jc w:val="both"/>
    </w:pPr>
    <w:rPr>
      <w:sz w:val="28"/>
      <w:lang w:val="uk-UA"/>
    </w:rPr>
  </w:style>
  <w:style w:type="character" w:customStyle="1" w:styleId="a6">
    <w:name w:val="Основной текст Знак"/>
    <w:basedOn w:val="a0"/>
    <w:link w:val="a5"/>
    <w:semiHidden/>
    <w:locked/>
    <w:rsid w:val="00EB3E49"/>
    <w:rPr>
      <w:rFonts w:cs="Times New Roman"/>
      <w:sz w:val="24"/>
      <w:szCs w:val="24"/>
      <w:lang w:eastAsia="ru-RU"/>
    </w:rPr>
  </w:style>
  <w:style w:type="paragraph" w:styleId="2">
    <w:name w:val="Body Text Indent 2"/>
    <w:basedOn w:val="a"/>
    <w:link w:val="20"/>
    <w:rsid w:val="000A364F"/>
    <w:pPr>
      <w:spacing w:after="120" w:line="480" w:lineRule="auto"/>
      <w:ind w:left="283"/>
    </w:pPr>
  </w:style>
  <w:style w:type="character" w:customStyle="1" w:styleId="20">
    <w:name w:val="Основной текст с отступом 2 Знак"/>
    <w:basedOn w:val="a0"/>
    <w:link w:val="2"/>
    <w:locked/>
    <w:rsid w:val="000A364F"/>
    <w:rPr>
      <w:rFonts w:cs="Times New Roman"/>
      <w:sz w:val="24"/>
      <w:szCs w:val="24"/>
    </w:rPr>
  </w:style>
  <w:style w:type="paragraph" w:styleId="a7">
    <w:name w:val="Body Text Indent"/>
    <w:basedOn w:val="a"/>
    <w:link w:val="a8"/>
    <w:rsid w:val="00666645"/>
    <w:pPr>
      <w:spacing w:after="120"/>
      <w:ind w:left="283"/>
    </w:pPr>
  </w:style>
  <w:style w:type="character" w:customStyle="1" w:styleId="a8">
    <w:name w:val="Основной текст с отступом Знак"/>
    <w:basedOn w:val="a0"/>
    <w:link w:val="a7"/>
    <w:locked/>
    <w:rsid w:val="00666645"/>
    <w:rPr>
      <w:rFonts w:cs="Times New Roman"/>
      <w:sz w:val="24"/>
      <w:szCs w:val="24"/>
    </w:rPr>
  </w:style>
  <w:style w:type="paragraph" w:styleId="a9">
    <w:name w:val="Balloon Text"/>
    <w:basedOn w:val="a"/>
    <w:link w:val="aa"/>
    <w:uiPriority w:val="99"/>
    <w:semiHidden/>
    <w:rsid w:val="00A01C5D"/>
    <w:rPr>
      <w:rFonts w:ascii="Tahoma" w:hAnsi="Tahoma" w:cs="Tahoma"/>
      <w:sz w:val="16"/>
      <w:szCs w:val="16"/>
    </w:rPr>
  </w:style>
  <w:style w:type="character" w:customStyle="1" w:styleId="aa">
    <w:name w:val="Текст выноски Знак"/>
    <w:basedOn w:val="a0"/>
    <w:link w:val="a9"/>
    <w:uiPriority w:val="99"/>
    <w:semiHidden/>
    <w:rsid w:val="000D0D7F"/>
    <w:rPr>
      <w:sz w:val="0"/>
      <w:szCs w:val="0"/>
    </w:rPr>
  </w:style>
  <w:style w:type="paragraph" w:styleId="ab">
    <w:name w:val="header"/>
    <w:basedOn w:val="a"/>
    <w:link w:val="ac"/>
    <w:uiPriority w:val="99"/>
    <w:rsid w:val="00E02F44"/>
    <w:pPr>
      <w:tabs>
        <w:tab w:val="center" w:pos="4677"/>
        <w:tab w:val="right" w:pos="9355"/>
      </w:tabs>
    </w:pPr>
  </w:style>
  <w:style w:type="character" w:customStyle="1" w:styleId="ac">
    <w:name w:val="Верхний колонтитул Знак"/>
    <w:basedOn w:val="a0"/>
    <w:link w:val="ab"/>
    <w:uiPriority w:val="99"/>
    <w:semiHidden/>
    <w:rsid w:val="000D0D7F"/>
    <w:rPr>
      <w:sz w:val="24"/>
      <w:szCs w:val="24"/>
    </w:rPr>
  </w:style>
  <w:style w:type="character" w:styleId="ad">
    <w:name w:val="page number"/>
    <w:basedOn w:val="a0"/>
    <w:uiPriority w:val="99"/>
    <w:rsid w:val="00E02F44"/>
    <w:rPr>
      <w:rFonts w:cs="Times New Roman"/>
    </w:rPr>
  </w:style>
  <w:style w:type="paragraph" w:styleId="ae">
    <w:name w:val="footer"/>
    <w:basedOn w:val="a"/>
    <w:link w:val="af"/>
    <w:uiPriority w:val="99"/>
    <w:rsid w:val="00142DF8"/>
    <w:pPr>
      <w:tabs>
        <w:tab w:val="center" w:pos="4677"/>
        <w:tab w:val="right" w:pos="9355"/>
      </w:tabs>
    </w:pPr>
  </w:style>
  <w:style w:type="character" w:customStyle="1" w:styleId="af">
    <w:name w:val="Нижний колонтитул Знак"/>
    <w:basedOn w:val="a0"/>
    <w:link w:val="ae"/>
    <w:uiPriority w:val="99"/>
    <w:semiHidden/>
    <w:rsid w:val="000D0D7F"/>
    <w:rPr>
      <w:sz w:val="24"/>
      <w:szCs w:val="24"/>
    </w:rPr>
  </w:style>
  <w:style w:type="paragraph" w:styleId="af0">
    <w:name w:val="Normal (Web)"/>
    <w:basedOn w:val="a"/>
    <w:uiPriority w:val="99"/>
    <w:rsid w:val="00360C75"/>
    <w:pPr>
      <w:spacing w:before="100" w:beforeAutospacing="1" w:after="100" w:afterAutospacing="1"/>
    </w:pPr>
  </w:style>
  <w:style w:type="paragraph" w:customStyle="1" w:styleId="justifyfull">
    <w:name w:val="justifyfull"/>
    <w:basedOn w:val="a"/>
    <w:uiPriority w:val="99"/>
    <w:rsid w:val="00D5486C"/>
    <w:pPr>
      <w:spacing w:before="100" w:beforeAutospacing="1" w:after="100" w:afterAutospacing="1"/>
    </w:pPr>
  </w:style>
  <w:style w:type="paragraph" w:customStyle="1" w:styleId="21">
    <w:name w:val="Основной текст 21"/>
    <w:basedOn w:val="a"/>
    <w:uiPriority w:val="99"/>
    <w:rsid w:val="00D5486C"/>
    <w:pPr>
      <w:suppressAutoHyphens/>
      <w:spacing w:after="120" w:line="480" w:lineRule="auto"/>
    </w:pPr>
    <w:rPr>
      <w:kern w:val="2"/>
      <w:sz w:val="20"/>
      <w:szCs w:val="20"/>
      <w:lang w:val="uk-UA" w:eastAsia="ar-SA"/>
    </w:rPr>
  </w:style>
  <w:style w:type="paragraph" w:styleId="af1">
    <w:name w:val="List Paragraph"/>
    <w:basedOn w:val="a"/>
    <w:uiPriority w:val="34"/>
    <w:qFormat/>
    <w:rsid w:val="00D5486C"/>
    <w:pPr>
      <w:spacing w:after="200" w:line="276" w:lineRule="auto"/>
      <w:ind w:left="720"/>
      <w:contextualSpacing/>
    </w:pPr>
    <w:rPr>
      <w:rFonts w:ascii="Calibri" w:hAnsi="Calibri"/>
      <w:sz w:val="22"/>
      <w:szCs w:val="22"/>
      <w:lang w:eastAsia="en-US"/>
    </w:rPr>
  </w:style>
  <w:style w:type="paragraph" w:customStyle="1" w:styleId="213">
    <w:name w:val="Основной текст 213"/>
    <w:basedOn w:val="a"/>
    <w:uiPriority w:val="99"/>
    <w:rsid w:val="00612A5A"/>
    <w:pPr>
      <w:suppressAutoHyphens/>
      <w:spacing w:after="120" w:line="480" w:lineRule="auto"/>
    </w:pPr>
    <w:rPr>
      <w:kern w:val="2"/>
      <w:sz w:val="20"/>
      <w:szCs w:val="20"/>
      <w:lang w:val="uk-UA" w:eastAsia="ar-SA"/>
    </w:rPr>
  </w:style>
  <w:style w:type="paragraph" w:customStyle="1" w:styleId="xfmc1">
    <w:name w:val="xfmc1"/>
    <w:basedOn w:val="a"/>
    <w:uiPriority w:val="99"/>
    <w:rsid w:val="008D63D9"/>
    <w:pPr>
      <w:spacing w:before="100" w:beforeAutospacing="1" w:after="100" w:afterAutospacing="1"/>
    </w:pPr>
  </w:style>
  <w:style w:type="character" w:styleId="af2">
    <w:name w:val="annotation reference"/>
    <w:basedOn w:val="a0"/>
    <w:uiPriority w:val="99"/>
    <w:semiHidden/>
    <w:unhideWhenUsed/>
    <w:rsid w:val="009472DE"/>
    <w:rPr>
      <w:sz w:val="16"/>
      <w:szCs w:val="16"/>
    </w:rPr>
  </w:style>
  <w:style w:type="paragraph" w:styleId="af3">
    <w:name w:val="annotation text"/>
    <w:basedOn w:val="a"/>
    <w:link w:val="af4"/>
    <w:uiPriority w:val="99"/>
    <w:semiHidden/>
    <w:unhideWhenUsed/>
    <w:rsid w:val="009472DE"/>
    <w:rPr>
      <w:sz w:val="20"/>
      <w:szCs w:val="20"/>
    </w:rPr>
  </w:style>
  <w:style w:type="character" w:customStyle="1" w:styleId="af4">
    <w:name w:val="Текст примечания Знак"/>
    <w:basedOn w:val="a0"/>
    <w:link w:val="af3"/>
    <w:uiPriority w:val="99"/>
    <w:semiHidden/>
    <w:rsid w:val="009472DE"/>
    <w:rPr>
      <w:sz w:val="20"/>
      <w:szCs w:val="20"/>
    </w:rPr>
  </w:style>
  <w:style w:type="paragraph" w:styleId="af5">
    <w:name w:val="annotation subject"/>
    <w:basedOn w:val="af3"/>
    <w:next w:val="af3"/>
    <w:link w:val="af6"/>
    <w:uiPriority w:val="99"/>
    <w:semiHidden/>
    <w:unhideWhenUsed/>
    <w:rsid w:val="009472DE"/>
    <w:rPr>
      <w:b/>
      <w:bCs/>
    </w:rPr>
  </w:style>
  <w:style w:type="character" w:customStyle="1" w:styleId="af6">
    <w:name w:val="Тема примечания Знак"/>
    <w:basedOn w:val="af4"/>
    <w:link w:val="af5"/>
    <w:uiPriority w:val="99"/>
    <w:semiHidden/>
    <w:rsid w:val="009472DE"/>
    <w:rPr>
      <w:b/>
      <w:bCs/>
    </w:rPr>
  </w:style>
</w:styles>
</file>

<file path=word/webSettings.xml><?xml version="1.0" encoding="utf-8"?>
<w:webSettings xmlns:r="http://schemas.openxmlformats.org/officeDocument/2006/relationships" xmlns:w="http://schemas.openxmlformats.org/wordprocessingml/2006/main">
  <w:divs>
    <w:div w:id="2114089631">
      <w:marLeft w:val="0"/>
      <w:marRight w:val="0"/>
      <w:marTop w:val="0"/>
      <w:marBottom w:val="0"/>
      <w:divBdr>
        <w:top w:val="none" w:sz="0" w:space="0" w:color="auto"/>
        <w:left w:val="none" w:sz="0" w:space="0" w:color="auto"/>
        <w:bottom w:val="none" w:sz="0" w:space="0" w:color="auto"/>
        <w:right w:val="none" w:sz="0" w:space="0" w:color="auto"/>
      </w:divBdr>
    </w:div>
    <w:div w:id="2114089632">
      <w:marLeft w:val="0"/>
      <w:marRight w:val="0"/>
      <w:marTop w:val="0"/>
      <w:marBottom w:val="0"/>
      <w:divBdr>
        <w:top w:val="none" w:sz="0" w:space="0" w:color="auto"/>
        <w:left w:val="none" w:sz="0" w:space="0" w:color="auto"/>
        <w:bottom w:val="none" w:sz="0" w:space="0" w:color="auto"/>
        <w:right w:val="none" w:sz="0" w:space="0" w:color="auto"/>
      </w:divBdr>
    </w:div>
    <w:div w:id="2114089633">
      <w:marLeft w:val="0"/>
      <w:marRight w:val="0"/>
      <w:marTop w:val="0"/>
      <w:marBottom w:val="0"/>
      <w:divBdr>
        <w:top w:val="none" w:sz="0" w:space="0" w:color="auto"/>
        <w:left w:val="none" w:sz="0" w:space="0" w:color="auto"/>
        <w:bottom w:val="none" w:sz="0" w:space="0" w:color="auto"/>
        <w:right w:val="none" w:sz="0" w:space="0" w:color="auto"/>
      </w:divBdr>
    </w:div>
    <w:div w:id="2114089634">
      <w:marLeft w:val="0"/>
      <w:marRight w:val="0"/>
      <w:marTop w:val="0"/>
      <w:marBottom w:val="0"/>
      <w:divBdr>
        <w:top w:val="none" w:sz="0" w:space="0" w:color="auto"/>
        <w:left w:val="none" w:sz="0" w:space="0" w:color="auto"/>
        <w:bottom w:val="none" w:sz="0" w:space="0" w:color="auto"/>
        <w:right w:val="none" w:sz="0" w:space="0" w:color="auto"/>
      </w:divBdr>
    </w:div>
    <w:div w:id="2114089635">
      <w:marLeft w:val="0"/>
      <w:marRight w:val="0"/>
      <w:marTop w:val="0"/>
      <w:marBottom w:val="0"/>
      <w:divBdr>
        <w:top w:val="none" w:sz="0" w:space="0" w:color="auto"/>
        <w:left w:val="none" w:sz="0" w:space="0" w:color="auto"/>
        <w:bottom w:val="none" w:sz="0" w:space="0" w:color="auto"/>
        <w:right w:val="none" w:sz="0" w:space="0" w:color="auto"/>
      </w:divBdr>
    </w:div>
    <w:div w:id="2114089636">
      <w:marLeft w:val="0"/>
      <w:marRight w:val="0"/>
      <w:marTop w:val="0"/>
      <w:marBottom w:val="0"/>
      <w:divBdr>
        <w:top w:val="none" w:sz="0" w:space="0" w:color="auto"/>
        <w:left w:val="none" w:sz="0" w:space="0" w:color="auto"/>
        <w:bottom w:val="none" w:sz="0" w:space="0" w:color="auto"/>
        <w:right w:val="none" w:sz="0" w:space="0" w:color="auto"/>
      </w:divBdr>
    </w:div>
    <w:div w:id="2114089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uk.wikipedia.org/wiki/%D0%92%D1%96%D0%B4%D0%BF%D0%BE%D1%87%D0%B8%D0%BD%D0%BE%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h10\&#1089;&#1077;&#1090;&#1077;&#1074;&#1072;&#1103;\&#1047;&#1040;&#1052;&#1056;&#1048;&#1050;&#1048;&#1058;\&#1044;&#1030;&#1040;&#1043;&#1056;&#1040;&#1052;&#1048;\&#1044;&#1110;&#1072;&#1075;&#1088;&#1072;&#1084;&#1080;%20&#1092;&#1072;&#1082;&#1090;%20&#1079;&#1072;%209%20&#1084;&#1110;&#1089;&#1103;&#1094;&#1110;&#1074;%202018%20&#1088;&#1086;&#1082;&#109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oh10\&#1089;&#1077;&#1090;&#1077;&#1074;&#1072;&#1103;\&#1047;&#1040;&#1052;&#1056;&#1048;&#1050;&#1048;&#1058;\&#1044;&#1030;&#1040;&#1043;&#1056;&#1040;&#1052;&#1048;\&#1044;&#1110;&#1072;&#1075;&#1088;&#1072;&#1084;&#1080;%20&#1092;&#1072;&#1082;&#1090;%20&#1079;&#1072;%209%20&#1084;&#1110;&#1089;&#1103;&#1094;&#1110;&#1074;%202018%20&#1088;&#1086;&#1082;&#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h10\&#1089;&#1077;&#1090;&#1077;&#1074;&#1072;&#1103;\&#1047;&#1040;&#1052;&#1056;&#1048;&#1050;&#1048;&#1058;\&#1044;&#1030;&#1040;&#1043;&#1056;&#1040;&#1052;&#1048;\&#1044;&#1110;&#1072;&#1075;&#1088;&#1072;&#1084;&#1080;%20&#1092;&#1072;&#1082;&#1090;%20&#1079;&#1072;%209%20&#1084;&#1110;&#1089;&#1103;&#1094;&#1110;&#1074;%202018%20&#1088;&#1086;&#1082;&#109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yser\Desktop\2018\&#1040;&#1085;&#1072;&#1083;&#1080;&#1079;\9%20&#1084;&#1110;&#1089;&#1103;&#1094;&#1110;&#1074;\&#1044;&#1110;&#1072;&#1075;&#1088;&#1072;&#1084;&#1080;%20%209%20%20&#1084;&#1110;&#1089;&#1103;&#1094;&#1110;&#1074;%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ser\Desktop\2018\&#1040;&#1085;&#1072;&#1083;&#1080;&#1079;\9%20&#1084;&#1110;&#1089;&#1103;&#1094;&#1110;&#1074;\&#1044;&#1110;&#1072;&#1075;&#1088;&#1072;&#1084;&#1080;%20%206%20%20&#1084;&#1110;&#1089;&#1103;&#1094;&#1110;&#1074;%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20846570565592598"/>
          <c:y val="0.12905707998621385"/>
          <c:w val="0.55708635282609587"/>
          <c:h val="0.79117516371059671"/>
        </c:manualLayout>
      </c:layout>
      <c:doughnutChart>
        <c:varyColors val="1"/>
        <c:ser>
          <c:idx val="0"/>
          <c:order val="0"/>
          <c:tx>
            <c:strRef>
              <c:f>'Структура доходів 9 міс 2018 '!$B$5</c:f>
              <c:strCache>
                <c:ptCount val="1"/>
                <c:pt idx="0">
                  <c:v>Структура доходної частини  бюджету за 9 місяців 2018 року, млн.грн.</c:v>
                </c:pt>
              </c:strCache>
            </c:strRef>
          </c:tx>
          <c:dLbls>
            <c:dLbl>
              <c:idx val="0"/>
              <c:layout>
                <c:manualLayout>
                  <c:x val="-1.5572724550370801E-2"/>
                  <c:y val="5.0035108853915815E-2"/>
                </c:manualLayout>
              </c:layout>
              <c:tx>
                <c:rich>
                  <a:bodyPr/>
                  <a:lstStyle/>
                  <a:p>
                    <a:r>
                      <a:rPr lang="uk-UA" sz="1600" b="1">
                        <a:latin typeface="Times New Roman" pitchFamily="18" charset="0"/>
                        <a:cs typeface="Times New Roman" pitchFamily="18" charset="0"/>
                      </a:rPr>
                      <a:t>56,3</a:t>
                    </a:r>
                    <a:r>
                      <a:rPr lang="en-US"/>
                      <a:t>%</a:t>
                    </a:r>
                  </a:p>
                </c:rich>
              </c:tx>
              <c:showPercent val="1"/>
              <c:separator>
</c:separator>
            </c:dLbl>
            <c:dLbl>
              <c:idx val="1"/>
              <c:layout>
                <c:manualLayout>
                  <c:x val="4.9965688855038694E-2"/>
                  <c:y val="-2.2487764786977591E-2"/>
                </c:manualLayout>
              </c:layout>
              <c:tx>
                <c:rich>
                  <a:bodyPr/>
                  <a:lstStyle/>
                  <a:p>
                    <a:r>
                      <a:rPr lang="uk-UA" sz="1600" b="1">
                        <a:latin typeface="Times New Roman" pitchFamily="18" charset="0"/>
                        <a:cs typeface="Times New Roman" pitchFamily="18" charset="0"/>
                      </a:rPr>
                      <a:t>3</a:t>
                    </a:r>
                    <a:r>
                      <a:rPr lang="uk-UA"/>
                      <a:t>,2</a:t>
                    </a:r>
                    <a:r>
                      <a:rPr lang="en-US"/>
                      <a:t>%</a:t>
                    </a:r>
                  </a:p>
                </c:rich>
              </c:tx>
              <c:showPercent val="1"/>
              <c:separator>
</c:separator>
            </c:dLbl>
            <c:dLbl>
              <c:idx val="2"/>
              <c:layout>
                <c:manualLayout>
                  <c:x val="2.7257934308301052E-2"/>
                  <c:y val="-4.2024389098479976E-2"/>
                </c:manualLayout>
              </c:layout>
              <c:tx>
                <c:rich>
                  <a:bodyPr/>
                  <a:lstStyle/>
                  <a:p>
                    <a:r>
                      <a:rPr lang="uk-UA" sz="1600" b="1">
                        <a:latin typeface="Times New Roman" pitchFamily="18" charset="0"/>
                        <a:cs typeface="Times New Roman" pitchFamily="18" charset="0"/>
                      </a:rPr>
                      <a:t>40,5</a:t>
                    </a:r>
                    <a:r>
                      <a:rPr lang="en-US"/>
                      <a:t>%</a:t>
                    </a:r>
                  </a:p>
                </c:rich>
              </c:tx>
              <c:showPercent val="1"/>
              <c:separator>
</c:separator>
            </c:dLbl>
            <c:txPr>
              <a:bodyPr/>
              <a:lstStyle/>
              <a:p>
                <a:pPr>
                  <a:defRPr sz="1600" b="1">
                    <a:latin typeface="Times New Roman" pitchFamily="18" charset="0"/>
                    <a:cs typeface="Times New Roman" pitchFamily="18" charset="0"/>
                  </a:defRPr>
                </a:pPr>
                <a:endParaRPr lang="ru-RU"/>
              </a:p>
            </c:txPr>
            <c:showPercent val="1"/>
            <c:separator>
</c:separator>
            <c:showLeaderLines val="1"/>
          </c:dLbls>
          <c:cat>
            <c:strRef>
              <c:f>'Структура доходів 9 міс 2018 '!$A$6:$A$8</c:f>
              <c:strCache>
                <c:ptCount val="3"/>
                <c:pt idx="0">
                  <c:v>Доходи загального фонду</c:v>
                </c:pt>
                <c:pt idx="1">
                  <c:v>Доходи спеціального фонду</c:v>
                </c:pt>
                <c:pt idx="2">
                  <c:v>Офіційні трансферти</c:v>
                </c:pt>
              </c:strCache>
            </c:strRef>
          </c:cat>
          <c:val>
            <c:numRef>
              <c:f>'Структура доходів 9 міс 2018 '!$B$6:$B$8</c:f>
              <c:numCache>
                <c:formatCode>#,##0.0</c:formatCode>
                <c:ptCount val="3"/>
                <c:pt idx="0">
                  <c:v>3637.8144520000073</c:v>
                </c:pt>
                <c:pt idx="1">
                  <c:v>206.291608</c:v>
                </c:pt>
                <c:pt idx="2">
                  <c:v>2621.4143610000001</c:v>
                </c:pt>
              </c:numCache>
            </c:numRef>
          </c:val>
        </c:ser>
        <c:firstSliceAng val="221"/>
        <c:holeSize val="25"/>
      </c:doughnutChart>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31235986817273487"/>
          <c:y val="0.32762129417367286"/>
          <c:w val="0.34861841170040508"/>
          <c:h val="0.52884978845661446"/>
        </c:manualLayout>
      </c:layout>
      <c:pieChart>
        <c:varyColors val="1"/>
        <c:ser>
          <c:idx val="0"/>
          <c:order val="0"/>
          <c:tx>
            <c:strRef>
              <c:f>'Структура ЗФ 9 міс 2018'!$C$4</c:f>
              <c:strCache>
                <c:ptCount val="1"/>
                <c:pt idx="0">
                  <c:v>Факт за 9 місяців 2018 року</c:v>
                </c:pt>
              </c:strCache>
            </c:strRef>
          </c:tx>
          <c:dPt>
            <c:idx val="0"/>
            <c:explosion val="7"/>
          </c:dPt>
          <c:dPt>
            <c:idx val="1"/>
            <c:explosion val="18"/>
          </c:dPt>
          <c:dPt>
            <c:idx val="2"/>
            <c:explosion val="38"/>
          </c:dPt>
          <c:dPt>
            <c:idx val="3"/>
            <c:explosion val="9"/>
          </c:dPt>
          <c:dPt>
            <c:idx val="4"/>
            <c:explosion val="9"/>
          </c:dPt>
          <c:dPt>
            <c:idx val="5"/>
            <c:explosion val="13"/>
          </c:dPt>
          <c:dPt>
            <c:idx val="6"/>
            <c:explosion val="36"/>
          </c:dPt>
          <c:dPt>
            <c:idx val="7"/>
            <c:explosion val="62"/>
          </c:dPt>
          <c:dPt>
            <c:idx val="8"/>
            <c:explosion val="47"/>
          </c:dPt>
          <c:dLbls>
            <c:dLbl>
              <c:idx val="0"/>
              <c:layout>
                <c:manualLayout>
                  <c:x val="-8.5804065868679724E-2"/>
                  <c:y val="-6.4075237088349932E-2"/>
                </c:manualLayout>
              </c:layout>
              <c:tx>
                <c:rich>
                  <a:bodyPr/>
                  <a:lstStyle/>
                  <a:p>
                    <a:r>
                      <a:rPr lang="ru-RU" sz="900" b="0">
                        <a:latin typeface="Times New Roman" pitchFamily="18" charset="0"/>
                        <a:cs typeface="Times New Roman" pitchFamily="18" charset="0"/>
                      </a:rPr>
                      <a:t>П</a:t>
                    </a:r>
                    <a:r>
                      <a:rPr lang="ru-RU"/>
                      <a:t>одаток на доходи фізичних осіб
2</a:t>
                    </a:r>
                    <a:r>
                      <a:rPr lang="ru-RU" baseline="0"/>
                      <a:t> 270,6</a:t>
                    </a:r>
                    <a:r>
                      <a:rPr lang="ru-RU"/>
                      <a:t> млн.грн.
62,4%</a:t>
                    </a:r>
                  </a:p>
                </c:rich>
              </c:tx>
              <c:dLblPos val="bestFit"/>
            </c:dLbl>
            <c:dLbl>
              <c:idx val="1"/>
              <c:layout>
                <c:manualLayout>
                  <c:x val="-0.15418348956639921"/>
                  <c:y val="5.1621097279221623E-2"/>
                </c:manualLayout>
              </c:layout>
              <c:tx>
                <c:rich>
                  <a:bodyPr/>
                  <a:lstStyle/>
                  <a:p>
                    <a:r>
                      <a:rPr lang="ru-RU" sz="900" b="0">
                        <a:latin typeface="Times New Roman" pitchFamily="18" charset="0"/>
                        <a:cs typeface="Times New Roman" pitchFamily="18" charset="0"/>
                      </a:rPr>
                      <a:t>П</a:t>
                    </a:r>
                    <a:r>
                      <a:rPr lang="ru-RU"/>
                      <a:t>одаток на прибуток 
</a:t>
                    </a:r>
                    <a:r>
                      <a:rPr lang="ru-RU" b="0"/>
                      <a:t>17,1 </a:t>
                    </a:r>
                    <a:r>
                      <a:rPr lang="ru-RU" sz="1000" b="0" i="0" u="none" strike="noStrike" baseline="0"/>
                      <a:t>млн.грн.</a:t>
                    </a:r>
                    <a:r>
                      <a:rPr lang="ru-RU"/>
                      <a:t>
0,5%</a:t>
                    </a:r>
                  </a:p>
                </c:rich>
              </c:tx>
              <c:dLblPos val="bestFit"/>
            </c:dLbl>
            <c:dLbl>
              <c:idx val="2"/>
              <c:layout>
                <c:manualLayout>
                  <c:x val="4.0987854833149033E-2"/>
                  <c:y val="2.0898042507963521E-2"/>
                </c:manualLayout>
              </c:layout>
              <c:tx>
                <c:rich>
                  <a:bodyPr/>
                  <a:lstStyle/>
                  <a:p>
                    <a:r>
                      <a:rPr lang="ru-RU" sz="900" b="0">
                        <a:latin typeface="Times New Roman" pitchFamily="18" charset="0"/>
                        <a:cs typeface="Times New Roman" pitchFamily="18" charset="0"/>
                      </a:rPr>
                      <a:t>Ч</a:t>
                    </a:r>
                    <a:r>
                      <a:rPr lang="ru-RU"/>
                      <a:t>астина чистого прибутку
3,0 </a:t>
                    </a:r>
                    <a:r>
                      <a:rPr lang="ru-RU" sz="1000" b="0" i="0" u="none" strike="noStrike" baseline="0"/>
                      <a:t>млн.грн</a:t>
                    </a:r>
                    <a:r>
                      <a:rPr lang="ru-RU" sz="1200" b="0" i="0" u="none" strike="noStrike" baseline="0"/>
                      <a:t>.</a:t>
                    </a:r>
                    <a:r>
                      <a:rPr lang="ru-RU"/>
                      <a:t>
0,1%</a:t>
                    </a:r>
                  </a:p>
                </c:rich>
              </c:tx>
              <c:dLblPos val="bestFit"/>
            </c:dLbl>
            <c:dLbl>
              <c:idx val="3"/>
              <c:layout>
                <c:manualLayout>
                  <c:x val="0.20588614947721748"/>
                  <c:y val="-5.0031764350409812E-2"/>
                </c:manualLayout>
              </c:layout>
              <c:tx>
                <c:rich>
                  <a:bodyPr/>
                  <a:lstStyle/>
                  <a:p>
                    <a:r>
                      <a:rPr lang="ru-RU" sz="900" b="0">
                        <a:latin typeface="Times New Roman" pitchFamily="18" charset="0"/>
                        <a:cs typeface="Times New Roman" pitchFamily="18" charset="0"/>
                      </a:rPr>
                      <a:t>А</a:t>
                    </a:r>
                    <a:r>
                      <a:rPr lang="ru-RU"/>
                      <a:t>кцизний податок 
206,5 </a:t>
                    </a:r>
                    <a:r>
                      <a:rPr lang="ru-RU" sz="1000" b="0" i="0" u="none" strike="noStrike" baseline="0"/>
                      <a:t>млн.грн.</a:t>
                    </a:r>
                    <a:r>
                      <a:rPr lang="ru-RU"/>
                      <a:t>
5,7%</a:t>
                    </a:r>
                  </a:p>
                </c:rich>
              </c:tx>
              <c:dLblPos val="bestFit"/>
            </c:dLbl>
            <c:dLbl>
              <c:idx val="4"/>
              <c:layout>
                <c:manualLayout>
                  <c:x val="7.3263476775174238E-2"/>
                  <c:y val="-0.12410246309554272"/>
                </c:manualLayout>
              </c:layout>
              <c:tx>
                <c:rich>
                  <a:bodyPr/>
                  <a:lstStyle/>
                  <a:p>
                    <a:r>
                      <a:rPr lang="ru-RU" sz="900" b="0">
                        <a:latin typeface="Times New Roman" pitchFamily="18" charset="0"/>
                        <a:cs typeface="Times New Roman" pitchFamily="18" charset="0"/>
                      </a:rPr>
                      <a:t>М</a:t>
                    </a:r>
                    <a:r>
                      <a:rPr lang="ru-RU"/>
                      <a:t>ісцеві податки і збори
</a:t>
                    </a:r>
                    <a:r>
                      <a:rPr lang="ru-RU" b="0"/>
                      <a:t>1</a:t>
                    </a:r>
                    <a:r>
                      <a:rPr lang="ru-RU" b="0" baseline="0"/>
                      <a:t> 064,8</a:t>
                    </a:r>
                    <a:r>
                      <a:rPr lang="ru-RU" b="0"/>
                      <a:t> </a:t>
                    </a:r>
                    <a:r>
                      <a:rPr lang="ru-RU" sz="1050" b="0" i="0" u="none" strike="noStrike" baseline="0"/>
                      <a:t>млн.грн</a:t>
                    </a:r>
                    <a:r>
                      <a:rPr lang="ru-RU" sz="1200" b="0" i="0" u="none" strike="noStrike" baseline="0"/>
                      <a:t>.</a:t>
                    </a:r>
                    <a:r>
                      <a:rPr lang="ru-RU"/>
                      <a:t>
29,3%</a:t>
                    </a:r>
                  </a:p>
                </c:rich>
              </c:tx>
              <c:dLblPos val="bestFit"/>
            </c:dLbl>
            <c:dLbl>
              <c:idx val="5"/>
              <c:layout>
                <c:manualLayout>
                  <c:x val="3.4440222093239742E-2"/>
                  <c:y val="-0.2736460848205598"/>
                </c:manualLayout>
              </c:layout>
              <c:tx>
                <c:rich>
                  <a:bodyPr/>
                  <a:lstStyle/>
                  <a:p>
                    <a:r>
                      <a:rPr lang="ru-RU" sz="900" b="0">
                        <a:latin typeface="Times New Roman" pitchFamily="18" charset="0"/>
                        <a:cs typeface="Times New Roman" pitchFamily="18" charset="0"/>
                      </a:rPr>
                      <a:t>П</a:t>
                    </a:r>
                    <a:r>
                      <a:rPr lang="ru-RU"/>
                      <a:t>лата за надання інших адмінпослуг
33,0 </a:t>
                    </a:r>
                    <a:r>
                      <a:rPr lang="ru-RU" sz="1000" b="0" i="0" u="none" strike="noStrike" baseline="0"/>
                      <a:t>млн.грн</a:t>
                    </a:r>
                    <a:r>
                      <a:rPr lang="ru-RU" sz="1200" b="0" i="0" u="none" strike="noStrike" baseline="0"/>
                      <a:t>.</a:t>
                    </a:r>
                    <a:r>
                      <a:rPr lang="ru-RU"/>
                      <a:t>
0,9%</a:t>
                    </a:r>
                  </a:p>
                </c:rich>
              </c:tx>
              <c:dLblPos val="bestFit"/>
            </c:dLbl>
            <c:dLbl>
              <c:idx val="6"/>
              <c:layout>
                <c:manualLayout>
                  <c:x val="4.0198292320553122E-2"/>
                  <c:y val="-0.13752586537905187"/>
                </c:manualLayout>
              </c:layout>
              <c:tx>
                <c:rich>
                  <a:bodyPr/>
                  <a:lstStyle/>
                  <a:p>
                    <a:r>
                      <a:rPr lang="ru-RU" sz="900" b="0">
                        <a:latin typeface="Times New Roman" pitchFamily="18" charset="0"/>
                        <a:cs typeface="Times New Roman" pitchFamily="18" charset="0"/>
                      </a:rPr>
                      <a:t>П</a:t>
                    </a:r>
                    <a:r>
                      <a:rPr lang="ru-RU"/>
                      <a:t>лата за оренду МК
22,2 </a:t>
                    </a:r>
                    <a:r>
                      <a:rPr lang="ru-RU" sz="1000" b="0" i="0" u="none" strike="noStrike" baseline="0"/>
                      <a:t>млн.грн</a:t>
                    </a:r>
                    <a:r>
                      <a:rPr lang="ru-RU" sz="1200" b="0" i="0" u="none" strike="noStrike" baseline="0"/>
                      <a:t>.</a:t>
                    </a:r>
                    <a:r>
                      <a:rPr lang="ru-RU"/>
                      <a:t>
0,6%</a:t>
                    </a:r>
                  </a:p>
                </c:rich>
              </c:tx>
              <c:dLblPos val="bestFit"/>
            </c:dLbl>
            <c:dLbl>
              <c:idx val="7"/>
              <c:layout>
                <c:manualLayout>
                  <c:x val="1.8088698578880701E-3"/>
                  <c:y val="-3.0035924868109078E-3"/>
                </c:manualLayout>
              </c:layout>
              <c:tx>
                <c:rich>
                  <a:bodyPr/>
                  <a:lstStyle/>
                  <a:p>
                    <a:r>
                      <a:rPr lang="ru-RU" sz="900" b="0">
                        <a:latin typeface="Times New Roman" pitchFamily="18" charset="0"/>
                        <a:cs typeface="Times New Roman" pitchFamily="18" charset="0"/>
                      </a:rPr>
                      <a:t>П</a:t>
                    </a:r>
                    <a:r>
                      <a:rPr lang="ru-RU"/>
                      <a:t>лата за розміщення тимчасово вільних коштів
6,6 </a:t>
                    </a:r>
                    <a:r>
                      <a:rPr lang="ru-RU" sz="1000" b="0" i="0" u="none" strike="noStrike" baseline="0"/>
                      <a:t>млн.грн</a:t>
                    </a:r>
                    <a:r>
                      <a:rPr lang="ru-RU" sz="1200" b="0" i="0" u="none" strike="noStrike" baseline="0"/>
                      <a:t>.</a:t>
                    </a:r>
                    <a:r>
                      <a:rPr lang="ru-RU"/>
                      <a:t>
0,2%</a:t>
                    </a:r>
                  </a:p>
                </c:rich>
              </c:tx>
              <c:dLblPos val="bestFit"/>
            </c:dLbl>
            <c:dLbl>
              <c:idx val="8"/>
              <c:layout>
                <c:manualLayout>
                  <c:x val="-7.85186483122155E-2"/>
                  <c:y val="0.10673104739663115"/>
                </c:manualLayout>
              </c:layout>
              <c:tx>
                <c:rich>
                  <a:bodyPr/>
                  <a:lstStyle/>
                  <a:p>
                    <a:r>
                      <a:rPr lang="ru-RU" sz="900" b="0">
                        <a:latin typeface="Times New Roman" pitchFamily="18" charset="0"/>
                        <a:cs typeface="Times New Roman" pitchFamily="18" charset="0"/>
                      </a:rPr>
                      <a:t>І</a:t>
                    </a:r>
                    <a:r>
                      <a:rPr lang="ru-RU"/>
                      <a:t>нші
14,0</a:t>
                    </a:r>
                    <a:r>
                      <a:rPr lang="ru-RU" baseline="0"/>
                      <a:t> </a:t>
                    </a:r>
                    <a:r>
                      <a:rPr lang="ru-RU" sz="1000" b="0" i="0" u="none" strike="noStrike" baseline="0"/>
                      <a:t>млн.грн</a:t>
                    </a:r>
                    <a:r>
                      <a:rPr lang="ru-RU" sz="1200" b="0" i="0" u="none" strike="noStrike" baseline="0"/>
                      <a:t>.</a:t>
                    </a:r>
                    <a:r>
                      <a:rPr lang="ru-RU"/>
                      <a:t>
0,3%</a:t>
                    </a:r>
                  </a:p>
                </c:rich>
              </c:tx>
              <c:dLblPos val="bestFit"/>
            </c:dLbl>
            <c:txPr>
              <a:bodyPr/>
              <a:lstStyle/>
              <a:p>
                <a:pPr>
                  <a:defRPr sz="900">
                    <a:latin typeface="Times New Roman" pitchFamily="18" charset="0"/>
                    <a:cs typeface="Times New Roman" pitchFamily="18" charset="0"/>
                  </a:defRPr>
                </a:pPr>
                <a:endParaRPr lang="ru-RU"/>
              </a:p>
            </c:txPr>
            <c:showVal val="1"/>
            <c:showCatName val="1"/>
            <c:showPercent val="1"/>
            <c:separator>
</c:separator>
            <c:showLeaderLines val="1"/>
          </c:dLbls>
          <c:cat>
            <c:strRef>
              <c:f>'Структура ЗФ 9 міс 2018'!$B$5:$B$13</c:f>
              <c:strCache>
                <c:ptCount val="9"/>
                <c:pt idx="0">
                  <c:v>Податок на доходи фізичних осіб</c:v>
                </c:pt>
                <c:pt idx="1">
                  <c:v>Податок на прибуток </c:v>
                </c:pt>
                <c:pt idx="2">
                  <c:v>Частина чистого прибутку</c:v>
                </c:pt>
                <c:pt idx="3">
                  <c:v>Акцизний податок </c:v>
                </c:pt>
                <c:pt idx="4">
                  <c:v>Місцеві податки і збори</c:v>
                </c:pt>
                <c:pt idx="5">
                  <c:v>Плата за надання інших адмінпослуг</c:v>
                </c:pt>
                <c:pt idx="6">
                  <c:v>Плата за оренду МК</c:v>
                </c:pt>
                <c:pt idx="7">
                  <c:v>Плата за розміщення тимчасово вільних коштів</c:v>
                </c:pt>
                <c:pt idx="8">
                  <c:v>Інші</c:v>
                </c:pt>
              </c:strCache>
            </c:strRef>
          </c:cat>
          <c:val>
            <c:numRef>
              <c:f>'Структура ЗФ 9 міс 2018'!$C$5:$C$13</c:f>
              <c:numCache>
                <c:formatCode>#,##0.0</c:formatCode>
                <c:ptCount val="9"/>
                <c:pt idx="0">
                  <c:v>2270.5901610000001</c:v>
                </c:pt>
                <c:pt idx="1">
                  <c:v>17.140725999999987</c:v>
                </c:pt>
                <c:pt idx="2">
                  <c:v>3.0365819999999997</c:v>
                </c:pt>
                <c:pt idx="3">
                  <c:v>206.50901999999999</c:v>
                </c:pt>
                <c:pt idx="4">
                  <c:v>1064.8423519999999</c:v>
                </c:pt>
                <c:pt idx="5">
                  <c:v>33.02532500000013</c:v>
                </c:pt>
                <c:pt idx="6">
                  <c:v>22.220262000000002</c:v>
                </c:pt>
                <c:pt idx="7">
                  <c:v>6.5954819999999854</c:v>
                </c:pt>
                <c:pt idx="8">
                  <c:v>13.854542000000034</c:v>
                </c:pt>
              </c:numCache>
            </c:numRef>
          </c:val>
        </c:ser>
        <c:firstSliceAng val="110"/>
      </c:pieChart>
    </c:plotArea>
    <c:plotVisOnly val="1"/>
    <c:dispBlanksAs val="zero"/>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доходів спеціального фонду бюджету м.Запоріжжя за 9 місяців 2018 року</a:t>
            </a:r>
          </a:p>
        </c:rich>
      </c:tx>
      <c:layout/>
    </c:title>
    <c:plotArea>
      <c:layout>
        <c:manualLayout>
          <c:layoutTarget val="inner"/>
          <c:xMode val="edge"/>
          <c:yMode val="edge"/>
          <c:x val="0.23988762705092231"/>
          <c:y val="0.25976266271610693"/>
          <c:w val="0.38657729392594103"/>
          <c:h val="0.65811795366016834"/>
        </c:manualLayout>
      </c:layout>
      <c:doughnutChart>
        <c:varyColors val="1"/>
        <c:ser>
          <c:idx val="0"/>
          <c:order val="0"/>
          <c:tx>
            <c:strRef>
              <c:f>'Структура СФ за 1кв 2018 '!$C$3</c:f>
              <c:strCache>
                <c:ptCount val="1"/>
                <c:pt idx="0">
                  <c:v>Структура спеціального фонду за 9 місяців 2018 року</c:v>
                </c:pt>
              </c:strCache>
            </c:strRef>
          </c:tx>
          <c:explosion val="11"/>
          <c:dLbls>
            <c:dLbl>
              <c:idx val="0"/>
              <c:layout>
                <c:manualLayout>
                  <c:x val="-0.14620513862170928"/>
                  <c:y val="-0.41882559659122132"/>
                </c:manualLayout>
              </c:layout>
              <c:tx>
                <c:rich>
                  <a:bodyPr/>
                  <a:lstStyle/>
                  <a:p>
                    <a:r>
                      <a:rPr lang="ru-RU" sz="1000" u="none">
                        <a:latin typeface="Times New Roman" pitchFamily="18" charset="0"/>
                        <a:cs typeface="Times New Roman" pitchFamily="18" charset="0"/>
                      </a:rPr>
                      <a:t>В</a:t>
                    </a:r>
                    <a:r>
                      <a:rPr lang="ru-RU" sz="1100" u="none">
                        <a:latin typeface="Times New Roman" pitchFamily="18" charset="0"/>
                        <a:cs typeface="Times New Roman" pitchFamily="18" charset="0"/>
                      </a:rPr>
                      <a:t>ласні надходження бюджетних установ </a:t>
                    </a:r>
                    <a:r>
                      <a:rPr lang="ru-RU" sz="1100">
                        <a:latin typeface="Times New Roman" pitchFamily="18" charset="0"/>
                        <a:cs typeface="Times New Roman" pitchFamily="18" charset="0"/>
                      </a:rPr>
                      <a:t>
169,6 млн.грн.
82,2%</a:t>
                    </a:r>
                  </a:p>
                </c:rich>
              </c:tx>
              <c:showLegendKey val="1"/>
              <c:showVal val="1"/>
              <c:showCatName val="1"/>
              <c:showPercent val="1"/>
            </c:dLbl>
            <c:dLbl>
              <c:idx val="1"/>
              <c:layout>
                <c:manualLayout>
                  <c:x val="0.11578266008068774"/>
                  <c:y val="-0.14543436812923208"/>
                </c:manualLayout>
              </c:layout>
              <c:tx>
                <c:rich>
                  <a:bodyPr/>
                  <a:lstStyle/>
                  <a:p>
                    <a:pPr algn="ctr" rtl="0">
                      <a:defRPr lang="ru-RU" sz="1000" b="0" i="0" u="sng" strike="noStrike" kern="1200" baseline="0">
                        <a:solidFill>
                          <a:sysClr val="windowText" lastClr="000000"/>
                        </a:solidFill>
                        <a:latin typeface="Times New Roman" pitchFamily="18" charset="0"/>
                        <a:ea typeface="+mn-ea"/>
                        <a:cs typeface="Times New Roman" pitchFamily="18" charset="0"/>
                      </a:defRPr>
                    </a:pPr>
                    <a:r>
                      <a:rPr lang="ru-RU" sz="1000" b="0" i="0" u="none" strike="noStrike" kern="1200" baseline="0">
                        <a:solidFill>
                          <a:sysClr val="windowText" lastClr="000000"/>
                        </a:solidFill>
                        <a:latin typeface="Times New Roman" pitchFamily="18" charset="0"/>
                        <a:ea typeface="+mn-ea"/>
                        <a:cs typeface="Times New Roman" pitchFamily="18" charset="0"/>
                      </a:rPr>
                      <a:t>Е</a:t>
                    </a:r>
                    <a:r>
                      <a:rPr lang="ru-RU" sz="1100" b="0" i="0" u="none" strike="noStrike" kern="1200" baseline="0">
                        <a:solidFill>
                          <a:sysClr val="windowText" lastClr="000000"/>
                        </a:solidFill>
                        <a:latin typeface="Times New Roman" pitchFamily="18" charset="0"/>
                        <a:ea typeface="+mn-ea"/>
                        <a:cs typeface="Times New Roman" pitchFamily="18" charset="0"/>
                      </a:rPr>
                      <a:t>кологічний податок
18,5 млн.грн.
9,0%</a:t>
                    </a:r>
                  </a:p>
                </c:rich>
              </c:tx>
              <c:numFmt formatCode="0.0%" sourceLinked="0"/>
              <c:spPr/>
              <c:showLegendKey val="1"/>
              <c:showVal val="1"/>
              <c:showCatName val="1"/>
              <c:showPercent val="1"/>
            </c:dLbl>
            <c:dLbl>
              <c:idx val="2"/>
              <c:layout>
                <c:manualLayout>
                  <c:x val="0.26292648673834923"/>
                  <c:y val="-0.1683153033255039"/>
                </c:manualLayout>
              </c:layout>
              <c:tx>
                <c:rich>
                  <a:bodyPr/>
                  <a:lstStyle/>
                  <a:p>
                    <a:pPr algn="ctr" rtl="0">
                      <a:defRPr lang="ru-RU" sz="1000" b="0" i="0" u="sng" strike="noStrike" kern="1200" baseline="0">
                        <a:solidFill>
                          <a:sysClr val="windowText" lastClr="000000"/>
                        </a:solidFill>
                        <a:latin typeface="Times New Roman" pitchFamily="18" charset="0"/>
                        <a:ea typeface="+mn-ea"/>
                        <a:cs typeface="Times New Roman" pitchFamily="18" charset="0"/>
                      </a:defRPr>
                    </a:pPr>
                    <a:r>
                      <a:rPr lang="ru-RU" sz="1000" b="0" i="0" u="none" strike="noStrike" kern="1200" baseline="0">
                        <a:solidFill>
                          <a:sysClr val="windowText" lastClr="000000"/>
                        </a:solidFill>
                        <a:latin typeface="Times New Roman" pitchFamily="18" charset="0"/>
                        <a:ea typeface="+mn-ea"/>
                        <a:cs typeface="Times New Roman" pitchFamily="18" charset="0"/>
                      </a:rPr>
                      <a:t>К</a:t>
                    </a:r>
                    <a:r>
                      <a:rPr lang="ru-RU" sz="1100" b="0" i="0" u="none" strike="noStrike" kern="1200" baseline="0">
                        <a:solidFill>
                          <a:sysClr val="windowText" lastClr="000000"/>
                        </a:solidFill>
                        <a:latin typeface="Times New Roman" pitchFamily="18" charset="0"/>
                        <a:ea typeface="+mn-ea"/>
                        <a:cs typeface="Times New Roman" pitchFamily="18" charset="0"/>
                      </a:rPr>
                      <a:t>ошти від відчуження майна
7,3 млн.грн.
3,5%</a:t>
                    </a:r>
                  </a:p>
                </c:rich>
              </c:tx>
              <c:numFmt formatCode="0.0%" sourceLinked="0"/>
              <c:spPr/>
              <c:showLegendKey val="1"/>
              <c:showVal val="1"/>
              <c:showCatName val="1"/>
              <c:showPercent val="1"/>
            </c:dLbl>
            <c:dLbl>
              <c:idx val="3"/>
              <c:layout>
                <c:manualLayout>
                  <c:x val="0.22697891898565767"/>
                  <c:y val="-1.1546140414456521E-2"/>
                </c:manualLayout>
              </c:layout>
              <c:tx>
                <c:rich>
                  <a:bodyPr/>
                  <a:lstStyle/>
                  <a:p>
                    <a:pPr algn="ctr" rtl="0">
                      <a:defRPr lang="ru-RU" sz="1000" b="0" i="0" u="sng" strike="noStrike" kern="1200" baseline="0">
                        <a:solidFill>
                          <a:sysClr val="windowText" lastClr="000000"/>
                        </a:solidFill>
                        <a:latin typeface="Times New Roman" pitchFamily="18" charset="0"/>
                        <a:ea typeface="+mn-ea"/>
                        <a:cs typeface="Times New Roman" pitchFamily="18" charset="0"/>
                      </a:defRPr>
                    </a:pPr>
                    <a:r>
                      <a:rPr lang="ru-RU" sz="1000" b="0" i="0" u="none" strike="noStrike" kern="1200" baseline="0">
                        <a:solidFill>
                          <a:sysClr val="windowText" lastClr="000000"/>
                        </a:solidFill>
                        <a:latin typeface="Times New Roman" pitchFamily="18" charset="0"/>
                        <a:ea typeface="+mn-ea"/>
                        <a:cs typeface="Times New Roman" pitchFamily="18" charset="0"/>
                      </a:rPr>
                      <a:t>К</a:t>
                    </a:r>
                    <a:r>
                      <a:rPr lang="ru-RU" sz="1100" b="0" i="0" u="none" strike="noStrike" kern="1200" baseline="0">
                        <a:solidFill>
                          <a:sysClr val="windowText" lastClr="000000"/>
                        </a:solidFill>
                        <a:latin typeface="Times New Roman" pitchFamily="18" charset="0"/>
                        <a:ea typeface="+mn-ea"/>
                        <a:cs typeface="Times New Roman" pitchFamily="18" charset="0"/>
                      </a:rPr>
                      <a:t>ошти пайової участі
4,1 млн.грн.
2,0%</a:t>
                    </a:r>
                  </a:p>
                </c:rich>
              </c:tx>
              <c:numFmt formatCode="0.0%" sourceLinked="0"/>
              <c:spPr/>
              <c:showLegendKey val="1"/>
              <c:showVal val="1"/>
              <c:showCatName val="1"/>
              <c:showPercent val="1"/>
            </c:dLbl>
            <c:dLbl>
              <c:idx val="4"/>
              <c:layout>
                <c:manualLayout>
                  <c:x val="0.22442419246115194"/>
                  <c:y val="0.15322238585746631"/>
                </c:manualLayout>
              </c:layout>
              <c:tx>
                <c:rich>
                  <a:bodyPr/>
                  <a:lstStyle/>
                  <a:p>
                    <a:pPr algn="ctr" rtl="0">
                      <a:defRPr lang="ru-RU" sz="1000" b="0" i="0" u="sng" strike="noStrike" kern="1200" baseline="0">
                        <a:solidFill>
                          <a:sysClr val="windowText" lastClr="000000"/>
                        </a:solidFill>
                        <a:latin typeface="Times New Roman" pitchFamily="18" charset="0"/>
                        <a:ea typeface="+mn-ea"/>
                        <a:cs typeface="Times New Roman" pitchFamily="18" charset="0"/>
                      </a:defRPr>
                    </a:pPr>
                    <a:r>
                      <a:rPr lang="ru-RU" sz="1000" b="0" i="0" u="none" strike="noStrike" kern="1200" baseline="0">
                        <a:solidFill>
                          <a:sysClr val="windowText" lastClr="000000"/>
                        </a:solidFill>
                        <a:latin typeface="Times New Roman" pitchFamily="18" charset="0"/>
                        <a:ea typeface="+mn-ea"/>
                        <a:cs typeface="Times New Roman" pitchFamily="18" charset="0"/>
                      </a:rPr>
                      <a:t>К</a:t>
                    </a:r>
                    <a:r>
                      <a:rPr lang="ru-RU" sz="1100" b="0" i="0" u="none" strike="noStrike" kern="1200" baseline="0">
                        <a:solidFill>
                          <a:sysClr val="windowText" lastClr="000000"/>
                        </a:solidFill>
                        <a:latin typeface="Times New Roman" pitchFamily="18" charset="0"/>
                        <a:ea typeface="+mn-ea"/>
                        <a:cs typeface="Times New Roman" pitchFamily="18" charset="0"/>
                      </a:rPr>
                      <a:t>ошти від продажу землі
5,8 млн.грн.
2,8%</a:t>
                    </a:r>
                  </a:p>
                </c:rich>
              </c:tx>
              <c:numFmt formatCode="0.0%" sourceLinked="0"/>
              <c:spPr/>
              <c:showLegendKey val="1"/>
              <c:showVal val="1"/>
              <c:showCatName val="1"/>
              <c:showPercent val="1"/>
            </c:dLbl>
            <c:dLbl>
              <c:idx val="5"/>
              <c:layout>
                <c:manualLayout>
                  <c:x val="0.12432260579439361"/>
                  <c:y val="0.2972841648831353"/>
                </c:manualLayout>
              </c:layout>
              <c:tx>
                <c:rich>
                  <a:bodyPr/>
                  <a:lstStyle/>
                  <a:p>
                    <a:pPr algn="ctr" rtl="0">
                      <a:defRPr lang="ru-RU" sz="1000" b="0" i="0" u="sng" strike="noStrike" kern="1200" baseline="0">
                        <a:solidFill>
                          <a:sysClr val="windowText" lastClr="000000"/>
                        </a:solidFill>
                        <a:latin typeface="Times New Roman" pitchFamily="18" charset="0"/>
                        <a:ea typeface="+mn-ea"/>
                        <a:cs typeface="Times New Roman" pitchFamily="18" charset="0"/>
                      </a:defRPr>
                    </a:pPr>
                    <a:r>
                      <a:rPr lang="ru-RU" sz="1000" b="0" i="0" u="none" strike="noStrike" kern="1200" baseline="0">
                        <a:solidFill>
                          <a:sysClr val="windowText" lastClr="000000"/>
                        </a:solidFill>
                        <a:latin typeface="Times New Roman" pitchFamily="18" charset="0"/>
                        <a:ea typeface="+mn-ea"/>
                        <a:cs typeface="Times New Roman" pitchFamily="18" charset="0"/>
                      </a:rPr>
                      <a:t>І</a:t>
                    </a:r>
                    <a:r>
                      <a:rPr lang="ru-RU" sz="1100" b="0" i="0" u="none" strike="noStrike" kern="1200" baseline="0">
                        <a:solidFill>
                          <a:sysClr val="windowText" lastClr="000000"/>
                        </a:solidFill>
                        <a:latin typeface="Times New Roman" pitchFamily="18" charset="0"/>
                        <a:ea typeface="+mn-ea"/>
                        <a:cs typeface="Times New Roman" pitchFamily="18" charset="0"/>
                      </a:rPr>
                      <a:t>нші
1,0 млн.грн.
0,5%</a:t>
                    </a:r>
                  </a:p>
                </c:rich>
              </c:tx>
              <c:numFmt formatCode="0.0%" sourceLinked="0"/>
              <c:spPr/>
              <c:showLegendKey val="1"/>
              <c:showVal val="1"/>
              <c:showCatName val="1"/>
              <c:showPercent val="1"/>
            </c:dLbl>
            <c:dLbl>
              <c:idx val="6"/>
              <c:layout>
                <c:manualLayout>
                  <c:x val="0.19460485791877052"/>
                  <c:y val="0.20621059581689699"/>
                </c:manualLayout>
              </c:layout>
              <c:tx>
                <c:rich>
                  <a:bodyPr/>
                  <a:lstStyle/>
                  <a:p>
                    <a:r>
                      <a:rPr lang="ru-RU" sz="1000">
                        <a:latin typeface="Times New Roman" pitchFamily="18" charset="0"/>
                        <a:cs typeface="Times New Roman" pitchFamily="18" charset="0"/>
                      </a:rPr>
                      <a:t>І</a:t>
                    </a:r>
                    <a:r>
                      <a:rPr lang="ru-RU" sz="1100"/>
                      <a:t>нші
0,8 млн.грн.
0,5%</a:t>
                    </a:r>
                    <a:endParaRPr lang="ru-RU"/>
                  </a:p>
                </c:rich>
              </c:tx>
              <c:showLegendKey val="1"/>
              <c:showVal val="1"/>
              <c:showCatName val="1"/>
              <c:showPercent val="1"/>
            </c:dLbl>
            <c:numFmt formatCode="0.0%" sourceLinked="0"/>
            <c:txPr>
              <a:bodyPr/>
              <a:lstStyle/>
              <a:p>
                <a:pPr>
                  <a:defRPr sz="1000">
                    <a:latin typeface="Times New Roman" pitchFamily="18" charset="0"/>
                    <a:cs typeface="Times New Roman" pitchFamily="18" charset="0"/>
                  </a:defRPr>
                </a:pPr>
                <a:endParaRPr lang="ru-RU"/>
              </a:p>
            </c:txPr>
            <c:showLegendKey val="1"/>
            <c:showVal val="1"/>
            <c:showCatName val="1"/>
            <c:showPercent val="1"/>
            <c:separator>
</c:separator>
            <c:showLeaderLines val="1"/>
          </c:dLbls>
          <c:cat>
            <c:strRef>
              <c:f>'Структура СФ за 1кв 2018 '!$B$4:$B$9</c:f>
              <c:strCache>
                <c:ptCount val="6"/>
                <c:pt idx="0">
                  <c:v>Власні надходження бюджетних установ </c:v>
                </c:pt>
                <c:pt idx="1">
                  <c:v>Екологічний податок</c:v>
                </c:pt>
                <c:pt idx="2">
                  <c:v>Кошти від відчуження майна</c:v>
                </c:pt>
                <c:pt idx="3">
                  <c:v>Кошти пайової участі</c:v>
                </c:pt>
                <c:pt idx="4">
                  <c:v>Кошти від продажу землі</c:v>
                </c:pt>
                <c:pt idx="5">
                  <c:v>Інші</c:v>
                </c:pt>
              </c:strCache>
            </c:strRef>
          </c:cat>
          <c:val>
            <c:numRef>
              <c:f>'Структура СФ за 1кв 2018 '!$C$4:$C$9</c:f>
              <c:numCache>
                <c:formatCode>#,##0.0</c:formatCode>
                <c:ptCount val="6"/>
                <c:pt idx="0">
                  <c:v>169.57056599999942</c:v>
                </c:pt>
                <c:pt idx="1">
                  <c:v>18.483296999999901</c:v>
                </c:pt>
                <c:pt idx="2">
                  <c:v>7.27986200000002</c:v>
                </c:pt>
                <c:pt idx="3">
                  <c:v>4.0709070000000001</c:v>
                </c:pt>
                <c:pt idx="4">
                  <c:v>5.7942339999999986</c:v>
                </c:pt>
                <c:pt idx="5">
                  <c:v>1.0927420000000001</c:v>
                </c:pt>
              </c:numCache>
            </c:numRef>
          </c:val>
        </c:ser>
        <c:dLbls>
          <c:showPercent val="1"/>
        </c:dLbls>
        <c:firstSliceAng val="92"/>
        <c:holeSize val="31"/>
      </c:doughnutChart>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8.5053018110727907E-2"/>
          <c:y val="5.7441157021015897E-2"/>
          <c:w val="0.87876280843996235"/>
          <c:h val="0.69311224712219821"/>
        </c:manualLayout>
      </c:layout>
      <c:barChart>
        <c:barDir val="col"/>
        <c:grouping val="stacked"/>
        <c:ser>
          <c:idx val="0"/>
          <c:order val="0"/>
          <c:tx>
            <c:strRef>
              <c:f>'захищені  (5)'!$B$13</c:f>
              <c:strCache>
                <c:ptCount val="1"/>
                <c:pt idx="0">
                  <c:v>За рахунок власних доходів бюджету міста</c:v>
                </c:pt>
              </c:strCache>
            </c:strRef>
          </c:tx>
          <c:dLbls>
            <c:txPr>
              <a:bodyPr/>
              <a:lstStyle/>
              <a:p>
                <a:pPr>
                  <a:defRPr b="1"/>
                </a:pPr>
                <a:endParaRPr lang="ru-RU"/>
              </a:p>
            </c:txPr>
            <c:showVal val="1"/>
          </c:dLbls>
          <c:cat>
            <c:strRef>
              <c:f>'захищені  (5)'!$A$14:$A$21</c:f>
              <c:strCache>
                <c:ptCount val="7"/>
                <c:pt idx="0">
                  <c:v>оплата праці
 з нарахуваннями</c:v>
                </c:pt>
                <c:pt idx="2">
                  <c:v>соціальні 
виплати </c:v>
                </c:pt>
                <c:pt idx="4">
                  <c:v>Інші  (енергоносії, реверс,
 медикаменти та харчування)</c:v>
                </c:pt>
                <c:pt idx="6">
                  <c:v>реверсна
 дотація </c:v>
                </c:pt>
              </c:strCache>
            </c:strRef>
          </c:cat>
          <c:val>
            <c:numRef>
              <c:f>'захищені  (5)'!$B$14:$B$21</c:f>
              <c:numCache>
                <c:formatCode>0.0</c:formatCode>
                <c:ptCount val="8"/>
                <c:pt idx="0">
                  <c:v>1276.5892439999998</c:v>
                </c:pt>
                <c:pt idx="1">
                  <c:v>987.83574327000008</c:v>
                </c:pt>
                <c:pt idx="2">
                  <c:v>115.82953199999996</c:v>
                </c:pt>
                <c:pt idx="3">
                  <c:v>117.89709999999992</c:v>
                </c:pt>
                <c:pt idx="4">
                  <c:v>397.87358499999999</c:v>
                </c:pt>
                <c:pt idx="5">
                  <c:v>310.11487499999998</c:v>
                </c:pt>
                <c:pt idx="6">
                  <c:v>263.5</c:v>
                </c:pt>
                <c:pt idx="7">
                  <c:v>171.1763</c:v>
                </c:pt>
              </c:numCache>
            </c:numRef>
          </c:val>
        </c:ser>
        <c:ser>
          <c:idx val="1"/>
          <c:order val="1"/>
          <c:tx>
            <c:strRef>
              <c:f>'захищені  (5)'!$C$13</c:f>
              <c:strCache>
                <c:ptCount val="1"/>
                <c:pt idx="0">
                  <c:v> За рахунок трансфертів з 
державного бюджету </c:v>
                </c:pt>
              </c:strCache>
            </c:strRef>
          </c:tx>
          <c:spPr>
            <a:solidFill>
              <a:schemeClr val="accent3">
                <a:lumMod val="40000"/>
                <a:lumOff val="60000"/>
              </a:schemeClr>
            </a:solidFill>
          </c:spPr>
          <c:dLbls>
            <c:dLbl>
              <c:idx val="4"/>
              <c:layout>
                <c:manualLayout>
                  <c:x val="-8.2987551867219917E-3"/>
                  <c:y val="-1.8592297476759726E-2"/>
                </c:manualLayout>
              </c:layout>
              <c:showVal val="1"/>
            </c:dLbl>
            <c:dLbl>
              <c:idx val="5"/>
              <c:layout>
                <c:manualLayout>
                  <c:x val="0"/>
                  <c:y val="-1.8592297476759626E-2"/>
                </c:manualLayout>
              </c:layout>
              <c:showVal val="1"/>
            </c:dLbl>
            <c:spPr>
              <a:ln>
                <a:noFill/>
              </a:ln>
            </c:spPr>
            <c:txPr>
              <a:bodyPr/>
              <a:lstStyle/>
              <a:p>
                <a:pPr>
                  <a:defRPr b="1"/>
                </a:pPr>
                <a:endParaRPr lang="ru-RU"/>
              </a:p>
            </c:txPr>
            <c:showVal val="1"/>
          </c:dLbls>
          <c:cat>
            <c:strRef>
              <c:f>'захищені  (5)'!$A$14:$A$21</c:f>
              <c:strCache>
                <c:ptCount val="7"/>
                <c:pt idx="0">
                  <c:v>оплата праці
 з нарахуваннями</c:v>
                </c:pt>
                <c:pt idx="2">
                  <c:v>соціальні 
виплати </c:v>
                </c:pt>
                <c:pt idx="4">
                  <c:v>Інші  (енергоносії, реверс,
 медикаменти та харчування)</c:v>
                </c:pt>
                <c:pt idx="6">
                  <c:v>реверсна
 дотація </c:v>
                </c:pt>
              </c:strCache>
            </c:strRef>
          </c:cat>
          <c:val>
            <c:numRef>
              <c:f>'захищені  (5)'!$C$14:$C$21</c:f>
              <c:numCache>
                <c:formatCode>0.0</c:formatCode>
                <c:ptCount val="8"/>
                <c:pt idx="0">
                  <c:v>1043.837256</c:v>
                </c:pt>
                <c:pt idx="1">
                  <c:v>981.45105673</c:v>
                </c:pt>
                <c:pt idx="2">
                  <c:v>1492.4543679999999</c:v>
                </c:pt>
                <c:pt idx="3">
                  <c:v>1388.8068000000001</c:v>
                </c:pt>
                <c:pt idx="4">
                  <c:v>9.8958150000000007</c:v>
                </c:pt>
                <c:pt idx="5">
                  <c:v>0.22842499999999999</c:v>
                </c:pt>
              </c:numCache>
            </c:numRef>
          </c:val>
        </c:ser>
        <c:dLbls>
          <c:showVal val="1"/>
        </c:dLbls>
        <c:gapWidth val="75"/>
        <c:overlap val="100"/>
        <c:axId val="50976640"/>
        <c:axId val="50978176"/>
      </c:barChart>
      <c:catAx>
        <c:axId val="50976640"/>
        <c:scaling>
          <c:orientation val="minMax"/>
        </c:scaling>
        <c:axPos val="b"/>
        <c:numFmt formatCode="General" sourceLinked="1"/>
        <c:majorTickMark val="none"/>
        <c:tickLblPos val="none"/>
        <c:spPr>
          <a:noFill/>
        </c:spPr>
        <c:txPr>
          <a:bodyPr rot="0" vert="horz" anchor="t" anchorCtr="1"/>
          <a:lstStyle/>
          <a:p>
            <a:pPr>
              <a:defRPr sz="1100">
                <a:latin typeface="+mj-lt"/>
              </a:defRPr>
            </a:pPr>
            <a:endParaRPr lang="ru-RU"/>
          </a:p>
        </c:txPr>
        <c:crossAx val="50978176"/>
        <c:crosses val="autoZero"/>
        <c:lblAlgn val="ctr"/>
        <c:lblOffset val="150"/>
      </c:catAx>
      <c:valAx>
        <c:axId val="50978176"/>
        <c:scaling>
          <c:orientation val="minMax"/>
        </c:scaling>
        <c:axPos val="l"/>
        <c:numFmt formatCode="0.0" sourceLinked="1"/>
        <c:majorTickMark val="none"/>
        <c:tickLblPos val="nextTo"/>
        <c:crossAx val="50976640"/>
        <c:crossesAt val="1"/>
        <c:crossBetween val="between"/>
      </c:valAx>
    </c:plotArea>
    <c:legend>
      <c:legendPos val="b"/>
      <c:layout>
        <c:manualLayout>
          <c:xMode val="edge"/>
          <c:yMode val="edge"/>
          <c:x val="6.6657036836527975E-2"/>
          <c:y val="0.85225174628381961"/>
          <c:w val="0.81587283954651024"/>
          <c:h val="0.12182576991841823"/>
        </c:manualLayout>
      </c:layout>
    </c:legend>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0.2154944314393141"/>
          <c:y val="0.21978941585790226"/>
          <c:w val="0.5590960219758766"/>
          <c:h val="0.53658639545056386"/>
        </c:manualLayout>
      </c:layout>
      <c:pie3DChart>
        <c:varyColors val="1"/>
        <c:ser>
          <c:idx val="0"/>
          <c:order val="0"/>
          <c:spPr>
            <a:ln>
              <a:solidFill>
                <a:schemeClr val="accent2">
                  <a:lumMod val="50000"/>
                </a:schemeClr>
              </a:solidFill>
            </a:ln>
            <a:scene3d>
              <a:camera prst="orthographicFront"/>
              <a:lightRig rig="threePt" dir="t">
                <a:rot lat="0" lon="0" rev="1200000"/>
              </a:lightRig>
            </a:scene3d>
            <a:sp3d>
              <a:bevelT w="406400" h="368300"/>
              <a:bevelB w="57150" h="184150"/>
            </a:sp3d>
          </c:spPr>
          <c:explosion val="9"/>
          <c:dLbls>
            <c:dLbl>
              <c:idx val="0"/>
              <c:layout>
                <c:manualLayout>
                  <c:x val="9.5287036008675316E-2"/>
                  <c:y val="-9.1675703710689289E-3"/>
                </c:manualLayout>
              </c:layout>
              <c:tx>
                <c:rich>
                  <a:bodyPr/>
                  <a:lstStyle/>
                  <a:p>
                    <a:r>
                      <a:rPr lang="ru-RU" sz="900"/>
                      <a:t>О</a:t>
                    </a:r>
                    <a:r>
                      <a:rPr lang="ru-RU"/>
                      <a:t>світа</a:t>
                    </a:r>
                  </a:p>
                  <a:p>
                    <a:r>
                      <a:rPr lang="ru-RU"/>
                      <a:t>1 708,2 млн.грн. 26%</a:t>
                    </a:r>
                  </a:p>
                </c:rich>
              </c:tx>
              <c:showVal val="1"/>
              <c:showCatName val="1"/>
              <c:showPercent val="1"/>
              <c:separator>
</c:separator>
            </c:dLbl>
            <c:dLbl>
              <c:idx val="1"/>
              <c:layout>
                <c:manualLayout>
                  <c:x val="3.5352820672989581E-2"/>
                  <c:y val="-1.7832052430571928E-3"/>
                </c:manualLayout>
              </c:layout>
              <c:tx>
                <c:rich>
                  <a:bodyPr/>
                  <a:lstStyle/>
                  <a:p>
                    <a:r>
                      <a:rPr lang="ru-RU" sz="900"/>
                      <a:t>О</a:t>
                    </a:r>
                    <a:r>
                      <a:rPr lang="ru-RU"/>
                      <a:t>хорона здоров'я </a:t>
                    </a:r>
                  </a:p>
                  <a:p>
                    <a:r>
                      <a:rPr lang="ru-RU"/>
                      <a:t>994,9 млн.грн. </a:t>
                    </a:r>
                  </a:p>
                  <a:p>
                    <a:r>
                      <a:rPr lang="ru-RU"/>
                      <a:t>15%</a:t>
                    </a:r>
                  </a:p>
                </c:rich>
              </c:tx>
              <c:showVal val="1"/>
              <c:showCatName val="1"/>
              <c:showPercent val="1"/>
              <c:separator>
</c:separator>
            </c:dLbl>
            <c:dLbl>
              <c:idx val="2"/>
              <c:layout>
                <c:manualLayout>
                  <c:x val="0.17291214442789327"/>
                  <c:y val="4.9326741134102549E-2"/>
                </c:manualLayout>
              </c:layout>
              <c:tx>
                <c:rich>
                  <a:bodyPr/>
                  <a:lstStyle/>
                  <a:p>
                    <a:r>
                      <a:rPr lang="ru-RU" sz="900"/>
                      <a:t>К</a:t>
                    </a:r>
                    <a:r>
                      <a:rPr lang="ru-RU"/>
                      <a:t>ультура</a:t>
                    </a:r>
                  </a:p>
                  <a:p>
                    <a:r>
                      <a:rPr lang="ru-RU"/>
                      <a:t> 53,7 млн.грн.</a:t>
                    </a:r>
                  </a:p>
                  <a:p>
                    <a:r>
                      <a:rPr lang="ru-RU"/>
                      <a:t> 1%</a:t>
                    </a:r>
                  </a:p>
                </c:rich>
              </c:tx>
              <c:showVal val="1"/>
              <c:showCatName val="1"/>
              <c:showPercent val="1"/>
              <c:separator>
</c:separator>
            </c:dLbl>
            <c:dLbl>
              <c:idx val="3"/>
              <c:layout>
                <c:manualLayout>
                  <c:x val="-1.5088415408186841E-2"/>
                  <c:y val="0.20040619548304991"/>
                </c:manualLayout>
              </c:layout>
              <c:tx>
                <c:rich>
                  <a:bodyPr/>
                  <a:lstStyle/>
                  <a:p>
                    <a:r>
                      <a:rPr lang="ru-RU" sz="900"/>
                      <a:t>Ф</a:t>
                    </a:r>
                    <a:r>
                      <a:rPr lang="ru-RU"/>
                      <a:t>ізична культура і спорт</a:t>
                    </a:r>
                  </a:p>
                  <a:p>
                    <a:r>
                      <a:rPr lang="ru-RU"/>
                      <a:t> 68,6 млн.грн.</a:t>
                    </a:r>
                  </a:p>
                  <a:p>
                    <a:r>
                      <a:rPr lang="ru-RU"/>
                      <a:t> 1%</a:t>
                    </a:r>
                  </a:p>
                </c:rich>
              </c:tx>
              <c:showVal val="1"/>
              <c:showCatName val="1"/>
              <c:showPercent val="1"/>
              <c:separator>
</c:separator>
            </c:dLbl>
            <c:dLbl>
              <c:idx val="4"/>
              <c:layout>
                <c:manualLayout>
                  <c:x val="-0.26807692329375993"/>
                  <c:y val="0.16711372530529492"/>
                </c:manualLayout>
              </c:layout>
              <c:tx>
                <c:rich>
                  <a:bodyPr/>
                  <a:lstStyle/>
                  <a:p>
                    <a:r>
                      <a:rPr lang="ru-RU" sz="900"/>
                      <a:t>У</a:t>
                    </a:r>
                    <a:r>
                      <a:rPr lang="ru-RU"/>
                      <a:t>тримання та заходи соціальних служб</a:t>
                    </a:r>
                  </a:p>
                  <a:p>
                    <a:r>
                      <a:rPr lang="ru-RU"/>
                      <a:t> 37,8 млн.грн.</a:t>
                    </a:r>
                  </a:p>
                  <a:p>
                    <a:r>
                      <a:rPr lang="ru-RU"/>
                      <a:t> 1%</a:t>
                    </a:r>
                  </a:p>
                </c:rich>
              </c:tx>
              <c:showVal val="1"/>
              <c:showCatName val="1"/>
              <c:showPercent val="1"/>
              <c:separator>
</c:separator>
            </c:dLbl>
            <c:dLbl>
              <c:idx val="5"/>
              <c:layout>
                <c:manualLayout>
                  <c:x val="-0.1270396092985526"/>
                  <c:y val="7.7447074355226866E-2"/>
                </c:manualLayout>
              </c:layout>
              <c:tx>
                <c:rich>
                  <a:bodyPr/>
                  <a:lstStyle/>
                  <a:p>
                    <a:r>
                      <a:rPr lang="ru-RU" sz="900"/>
                      <a:t>С</a:t>
                    </a:r>
                    <a:r>
                      <a:rPr lang="ru-RU"/>
                      <a:t>оціальний захист та соціальне  забезпечення, 
компенсація пільгового проїзду </a:t>
                    </a:r>
                  </a:p>
                  <a:p>
                    <a:r>
                      <a:rPr lang="ru-RU"/>
                      <a:t>1 645,5 млн.грн. 25%</a:t>
                    </a:r>
                  </a:p>
                </c:rich>
              </c:tx>
              <c:showVal val="1"/>
              <c:showCatName val="1"/>
              <c:showPercent val="1"/>
              <c:separator>
</c:separator>
            </c:dLbl>
            <c:dLbl>
              <c:idx val="6"/>
              <c:layout>
                <c:manualLayout>
                  <c:x val="-8.6382031637936785E-2"/>
                  <c:y val="9.0029298663248727E-3"/>
                </c:manualLayout>
              </c:layout>
              <c:tx>
                <c:rich>
                  <a:bodyPr/>
                  <a:lstStyle/>
                  <a:p>
                    <a:r>
                      <a:rPr lang="ru-RU" sz="900"/>
                      <a:t>Ж</a:t>
                    </a:r>
                    <a:r>
                      <a:rPr lang="ru-RU"/>
                      <a:t>итлово-комунальне  господарство</a:t>
                    </a:r>
                  </a:p>
                  <a:p>
                    <a:r>
                      <a:rPr lang="ru-RU"/>
                      <a:t> 973,2 млн.грн. </a:t>
                    </a:r>
                  </a:p>
                  <a:p>
                    <a:r>
                      <a:rPr lang="ru-RU"/>
                      <a:t>15%</a:t>
                    </a:r>
                  </a:p>
                </c:rich>
              </c:tx>
              <c:showVal val="1"/>
              <c:showCatName val="1"/>
              <c:showPercent val="1"/>
              <c:separator>
</c:separator>
            </c:dLbl>
            <c:dLbl>
              <c:idx val="7"/>
              <c:layout>
                <c:manualLayout>
                  <c:x val="-3.6905547279563175E-2"/>
                  <c:y val="-0.12482329243728289"/>
                </c:manualLayout>
              </c:layout>
              <c:tx>
                <c:rich>
                  <a:bodyPr/>
                  <a:lstStyle/>
                  <a:p>
                    <a:r>
                      <a:rPr lang="ru-RU" sz="900"/>
                      <a:t>К</a:t>
                    </a:r>
                    <a:r>
                      <a:rPr lang="ru-RU"/>
                      <a:t>ошти, що передаються до  держаного бюджету (реверсна</a:t>
                    </a:r>
                    <a:r>
                      <a:rPr lang="ru-RU" baseline="0"/>
                      <a:t> дотація)</a:t>
                    </a:r>
                    <a:endParaRPr lang="ru-RU"/>
                  </a:p>
                  <a:p>
                    <a:r>
                      <a:rPr lang="ru-RU"/>
                      <a:t> 263,5 млн.грн.</a:t>
                    </a:r>
                  </a:p>
                  <a:p>
                    <a:r>
                      <a:rPr lang="ru-RU"/>
                      <a:t> 4%</a:t>
                    </a:r>
                  </a:p>
                </c:rich>
              </c:tx>
              <c:showVal val="1"/>
              <c:showCatName val="1"/>
              <c:showPercent val="1"/>
              <c:separator>
</c:separator>
            </c:dLbl>
            <c:dLbl>
              <c:idx val="8"/>
              <c:layout>
                <c:manualLayout>
                  <c:x val="0.12851518829699804"/>
                  <c:y val="-0.11988118251685606"/>
                </c:manualLayout>
              </c:layout>
              <c:tx>
                <c:rich>
                  <a:bodyPr/>
                  <a:lstStyle/>
                  <a:p>
                    <a:r>
                      <a:rPr lang="ru-RU" sz="900"/>
                      <a:t>Т</a:t>
                    </a:r>
                    <a:r>
                      <a:rPr lang="ru-RU"/>
                      <a:t>ранспорт</a:t>
                    </a:r>
                  </a:p>
                  <a:p>
                    <a:r>
                      <a:rPr lang="ru-RU"/>
                      <a:t>443,7 млн.грн. </a:t>
                    </a:r>
                  </a:p>
                  <a:p>
                    <a:r>
                      <a:rPr lang="ru-RU"/>
                      <a:t>7%</a:t>
                    </a:r>
                  </a:p>
                </c:rich>
              </c:tx>
              <c:showVal val="1"/>
              <c:showCatName val="1"/>
              <c:showPercent val="1"/>
              <c:separator>
</c:separator>
            </c:dLbl>
            <c:dLbl>
              <c:idx val="9"/>
              <c:layout>
                <c:manualLayout>
                  <c:x val="0.28555216102227826"/>
                  <c:y val="-5.6550285256259096E-2"/>
                </c:manualLayout>
              </c:layout>
              <c:tx>
                <c:rich>
                  <a:bodyPr/>
                  <a:lstStyle/>
                  <a:p>
                    <a:r>
                      <a:rPr lang="ru-RU" sz="900"/>
                      <a:t>І</a:t>
                    </a:r>
                    <a:r>
                      <a:rPr lang="ru-RU"/>
                      <a:t>нші видатки</a:t>
                    </a:r>
                  </a:p>
                  <a:p>
                    <a:r>
                      <a:rPr lang="ru-RU"/>
                      <a:t> 321,3 млн.грн. </a:t>
                    </a:r>
                  </a:p>
                  <a:p>
                    <a:r>
                      <a:rPr lang="ru-RU"/>
                      <a:t>5%</a:t>
                    </a:r>
                  </a:p>
                </c:rich>
              </c:tx>
              <c:showVal val="1"/>
              <c:showCatName val="1"/>
              <c:showPercent val="1"/>
              <c:separator>
</c:separator>
            </c:dLbl>
            <c:spPr>
              <a:solidFill>
                <a:schemeClr val="bg1"/>
              </a:solidFill>
              <a:scene3d>
                <a:camera prst="orthographicFront"/>
                <a:lightRig rig="threePt" dir="t"/>
              </a:scene3d>
              <a:sp3d prstMaterial="flat"/>
            </c:spPr>
            <c:txPr>
              <a:bodyPr/>
              <a:lstStyle/>
              <a:p>
                <a:pPr>
                  <a:defRPr sz="900" b="1">
                    <a:latin typeface="Times New Roman" pitchFamily="18" charset="0"/>
                    <a:cs typeface="Times New Roman" pitchFamily="18" charset="0"/>
                  </a:defRPr>
                </a:pPr>
                <a:endParaRPr lang="ru-RU"/>
              </a:p>
            </c:txPr>
            <c:showVal val="1"/>
            <c:showCatName val="1"/>
            <c:showPercent val="1"/>
            <c:separator>
</c:separator>
            <c:showLeaderLines val="1"/>
            <c:leaderLines>
              <c:spPr>
                <a:ln w="6350" cap="rnd">
                  <a:bevel/>
                </a:ln>
              </c:spPr>
            </c:leaderLines>
          </c:dLbls>
          <c:cat>
            <c:strRef>
              <c:f>'з+с ф. функц.'!$A$1:$A$10</c:f>
              <c:strCache>
                <c:ptCount val="10"/>
                <c:pt idx="0">
                  <c:v>Освіта</c:v>
                </c:pt>
                <c:pt idx="1">
                  <c:v>Охорона здоров'я</c:v>
                </c:pt>
                <c:pt idx="2">
                  <c:v>Культура</c:v>
                </c:pt>
                <c:pt idx="3">
                  <c:v>Фізична культура і спорт</c:v>
                </c:pt>
                <c:pt idx="4">
                  <c:v>Утримання та заходи соціальних служб</c:v>
                </c:pt>
                <c:pt idx="5">
                  <c:v>Соціальний захист та соціальне  забезпечення, 
компенсація пільгового проїзду</c:v>
                </c:pt>
                <c:pt idx="6">
                  <c:v>Житлово-комунальне  господарство</c:v>
                </c:pt>
                <c:pt idx="7">
                  <c:v>Кошти, що передаються до  держаного бюджету</c:v>
                </c:pt>
                <c:pt idx="8">
                  <c:v>Транспорт</c:v>
                </c:pt>
                <c:pt idx="9">
                  <c:v>Інші видатки</c:v>
                </c:pt>
              </c:strCache>
            </c:strRef>
          </c:cat>
          <c:val>
            <c:numRef>
              <c:f>'з+с ф. функц.'!$B$1:$B$10</c:f>
              <c:numCache>
                <c:formatCode>#,##0.0</c:formatCode>
                <c:ptCount val="10"/>
                <c:pt idx="0">
                  <c:v>1708.2</c:v>
                </c:pt>
                <c:pt idx="1">
                  <c:v>994.9</c:v>
                </c:pt>
                <c:pt idx="2">
                  <c:v>53.7</c:v>
                </c:pt>
                <c:pt idx="3">
                  <c:v>68.599999999999994</c:v>
                </c:pt>
                <c:pt idx="4">
                  <c:v>37.800000000000004</c:v>
                </c:pt>
                <c:pt idx="5">
                  <c:v>1645.5</c:v>
                </c:pt>
                <c:pt idx="6">
                  <c:v>973.2</c:v>
                </c:pt>
                <c:pt idx="7">
                  <c:v>263.5</c:v>
                </c:pt>
                <c:pt idx="8">
                  <c:v>443.7</c:v>
                </c:pt>
                <c:pt idx="9">
                  <c:v>321.3</c:v>
                </c:pt>
              </c:numCache>
            </c:numRef>
          </c:val>
        </c:ser>
        <c:dLbls>
          <c:showVal val="1"/>
          <c:showCatName val="1"/>
        </c:dLbls>
      </c:pie3DChart>
      <c:spPr>
        <a:effectLst>
          <a:outerShdw blurRad="50800" dist="50800" dir="5400000" algn="ctr" rotWithShape="0">
            <a:srgbClr val="DCFCEE"/>
          </a:outerShdw>
        </a:effectLst>
      </c:spPr>
    </c:plotArea>
    <c:plotVisOnly val="1"/>
  </c:chart>
  <c:spPr>
    <a:noFill/>
    <a:ln>
      <a:noFill/>
    </a:ln>
    <a:effectLst>
      <a:outerShdw blurRad="50800" dist="50800" dir="5400000" sx="1000" sy="1000" algn="ctr" rotWithShape="0">
        <a:srgbClr val="000000"/>
      </a:outerShdw>
    </a:effectLst>
    <a:scene3d>
      <a:camera prst="orthographicFront"/>
      <a:lightRig rig="threePt" dir="t"/>
    </a:scene3d>
    <a:sp3d prstMaterial="translucentPowder">
      <a:bevelT w="165100" prst="coolSlant"/>
      <a:bevelB w="63500" h="165100"/>
    </a:sp3d>
  </c:spPr>
  <c:externalData r:id="rId1"/>
</c:chartSpace>
</file>

<file path=word/drawings/drawing1.xml><?xml version="1.0" encoding="utf-8"?>
<c:userShapes xmlns:c="http://schemas.openxmlformats.org/drawingml/2006/chart">
  <cdr:relSizeAnchor xmlns:cdr="http://schemas.openxmlformats.org/drawingml/2006/chartDrawing">
    <cdr:from>
      <cdr:x>0.01615</cdr:x>
      <cdr:y>0.11874</cdr:y>
    </cdr:from>
    <cdr:to>
      <cdr:x>0.2592</cdr:x>
      <cdr:y>0.42828</cdr:y>
    </cdr:to>
    <cdr:sp macro="" textlink="">
      <cdr:nvSpPr>
        <cdr:cNvPr id="2" name="Стрелка вправо 1"/>
        <cdr:cNvSpPr/>
      </cdr:nvSpPr>
      <cdr:spPr>
        <a:xfrm xmlns:a="http://schemas.openxmlformats.org/drawingml/2006/main">
          <a:off x="108126" y="559852"/>
          <a:ext cx="1627481" cy="1459442"/>
        </a:xfrm>
        <a:prstGeom xmlns:a="http://schemas.openxmlformats.org/drawingml/2006/main" prst="rightArrow">
          <a:avLst>
            <a:gd name="adj1" fmla="val 50000"/>
            <a:gd name="adj2" fmla="val 27209"/>
          </a:avLst>
        </a:prstGeom>
        <a:solidFill xmlns:a="http://schemas.openxmlformats.org/drawingml/2006/main">
          <a:schemeClr val="accent1">
            <a:alpha val="37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t"/>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Доходи загального фонду</a:t>
          </a:r>
        </a:p>
        <a:p xmlns:a="http://schemas.openxmlformats.org/drawingml/2006/main">
          <a:pPr algn="ctr"/>
          <a:r>
            <a:rPr lang="ru-RU" sz="1000" b="1">
              <a:solidFill>
                <a:sysClr val="windowText" lastClr="000000"/>
              </a:solidFill>
              <a:latin typeface="Times New Roman" pitchFamily="18" charset="0"/>
              <a:cs typeface="Times New Roman" pitchFamily="18" charset="0"/>
            </a:rPr>
            <a:t>3</a:t>
          </a:r>
          <a:r>
            <a:rPr lang="ru-RU" sz="1000" b="1" baseline="0">
              <a:solidFill>
                <a:sysClr val="windowText" lastClr="000000"/>
              </a:solidFill>
              <a:latin typeface="Times New Roman" pitchFamily="18" charset="0"/>
              <a:cs typeface="Times New Roman" pitchFamily="18" charset="0"/>
            </a:rPr>
            <a:t> 637,8</a:t>
          </a:r>
          <a:r>
            <a:rPr lang="ru-RU" sz="1000" b="1">
              <a:solidFill>
                <a:sysClr val="windowText" lastClr="000000"/>
              </a:solidFill>
              <a:latin typeface="Times New Roman" pitchFamily="18" charset="0"/>
              <a:cs typeface="Times New Roman" pitchFamily="18" charset="0"/>
            </a:rPr>
            <a:t> млн.грн.</a:t>
          </a:r>
        </a:p>
      </cdr:txBody>
    </cdr:sp>
  </cdr:relSizeAnchor>
  <cdr:relSizeAnchor xmlns:cdr="http://schemas.openxmlformats.org/drawingml/2006/chartDrawing">
    <cdr:from>
      <cdr:x>0.70383</cdr:x>
      <cdr:y>0.67597</cdr:y>
    </cdr:from>
    <cdr:to>
      <cdr:x>0.96254</cdr:x>
      <cdr:y>0.90101</cdr:y>
    </cdr:to>
    <cdr:sp macro="" textlink="">
      <cdr:nvSpPr>
        <cdr:cNvPr id="3" name="Стрелка влево 2"/>
        <cdr:cNvSpPr/>
      </cdr:nvSpPr>
      <cdr:spPr>
        <a:xfrm xmlns:a="http://schemas.openxmlformats.org/drawingml/2006/main">
          <a:off x="4712879" y="3187129"/>
          <a:ext cx="1732341" cy="1061035"/>
        </a:xfrm>
        <a:prstGeom xmlns:a="http://schemas.openxmlformats.org/drawingml/2006/main" prst="leftArrow">
          <a:avLst>
            <a:gd name="adj1" fmla="val 71277"/>
            <a:gd name="adj2" fmla="val 34772"/>
          </a:avLst>
        </a:prstGeom>
        <a:solidFill xmlns:a="http://schemas.openxmlformats.org/drawingml/2006/main">
          <a:schemeClr val="accent3">
            <a:lumMod val="60000"/>
            <a:lumOff val="40000"/>
            <a:alpha val="6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t"/>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Офіційні трансферти</a:t>
          </a:r>
        </a:p>
        <a:p xmlns:a="http://schemas.openxmlformats.org/drawingml/2006/main">
          <a:pPr algn="ctr"/>
          <a:r>
            <a:rPr lang="ru-RU" sz="1000" b="1">
              <a:solidFill>
                <a:sysClr val="windowText" lastClr="000000"/>
              </a:solidFill>
              <a:latin typeface="Times New Roman" pitchFamily="18" charset="0"/>
              <a:cs typeface="Times New Roman" pitchFamily="18" charset="0"/>
            </a:rPr>
            <a:t>2</a:t>
          </a:r>
          <a:r>
            <a:rPr lang="ru-RU" sz="1000" b="1" baseline="0">
              <a:solidFill>
                <a:sysClr val="windowText" lastClr="000000"/>
              </a:solidFill>
              <a:latin typeface="Times New Roman" pitchFamily="18" charset="0"/>
              <a:cs typeface="Times New Roman" pitchFamily="18" charset="0"/>
            </a:rPr>
            <a:t> 621,4</a:t>
          </a:r>
          <a:r>
            <a:rPr lang="ru-RU" sz="1000" b="1">
              <a:solidFill>
                <a:sysClr val="windowText" lastClr="000000"/>
              </a:solidFill>
              <a:latin typeface="Times New Roman" pitchFamily="18" charset="0"/>
              <a:cs typeface="Times New Roman" pitchFamily="18" charset="0"/>
            </a:rPr>
            <a:t> млн.грн.</a:t>
          </a:r>
        </a:p>
      </cdr:txBody>
    </cdr:sp>
  </cdr:relSizeAnchor>
  <cdr:relSizeAnchor xmlns:cdr="http://schemas.openxmlformats.org/drawingml/2006/chartDrawing">
    <cdr:from>
      <cdr:x>0.73766</cdr:x>
      <cdr:y>0.18873</cdr:y>
    </cdr:from>
    <cdr:to>
      <cdr:x>1</cdr:x>
      <cdr:y>0.46465</cdr:y>
    </cdr:to>
    <cdr:sp macro="" textlink="">
      <cdr:nvSpPr>
        <cdr:cNvPr id="4" name="Стрелка влево 3"/>
        <cdr:cNvSpPr/>
      </cdr:nvSpPr>
      <cdr:spPr>
        <a:xfrm xmlns:a="http://schemas.openxmlformats.org/drawingml/2006/main">
          <a:off x="4965167" y="889834"/>
          <a:ext cx="1756648" cy="1300928"/>
        </a:xfrm>
        <a:prstGeom xmlns:a="http://schemas.openxmlformats.org/drawingml/2006/main" prst="leftArrow">
          <a:avLst>
            <a:gd name="adj1" fmla="val 66403"/>
            <a:gd name="adj2" fmla="val 27825"/>
          </a:avLst>
        </a:prstGeom>
        <a:solidFill xmlns:a="http://schemas.openxmlformats.org/drawingml/2006/main">
          <a:schemeClr val="accent6">
            <a:lumMod val="60000"/>
            <a:lumOff val="40000"/>
            <a:alpha val="62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t"/>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Доходи спеціального фонду</a:t>
          </a:r>
        </a:p>
        <a:p xmlns:a="http://schemas.openxmlformats.org/drawingml/2006/main">
          <a:pPr algn="ctr"/>
          <a:r>
            <a:rPr lang="ru-RU" sz="1000" b="1">
              <a:solidFill>
                <a:sysClr val="windowText" lastClr="000000"/>
              </a:solidFill>
              <a:latin typeface="Times New Roman" pitchFamily="18" charset="0"/>
              <a:cs typeface="Times New Roman" pitchFamily="18" charset="0"/>
            </a:rPr>
            <a:t>206,3 млн.грн.</a:t>
          </a:r>
        </a:p>
      </cdr:txBody>
    </cdr:sp>
  </cdr:relSizeAnchor>
  <cdr:relSizeAnchor xmlns:cdr="http://schemas.openxmlformats.org/drawingml/2006/chartDrawing">
    <cdr:from>
      <cdr:x>0.12413</cdr:x>
      <cdr:y>0.00665</cdr:y>
    </cdr:from>
    <cdr:to>
      <cdr:x>0.95726</cdr:x>
      <cdr:y>0.12272</cdr:y>
    </cdr:to>
    <cdr:sp macro="" textlink="">
      <cdr:nvSpPr>
        <cdr:cNvPr id="5" name="TextBox 4"/>
        <cdr:cNvSpPr txBox="1"/>
      </cdr:nvSpPr>
      <cdr:spPr>
        <a:xfrm xmlns:a="http://schemas.openxmlformats.org/drawingml/2006/main">
          <a:off x="847726" y="31924"/>
          <a:ext cx="5689810" cy="5572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rtl="0"/>
          <a:r>
            <a:rPr lang="ru-RU" sz="1400" b="1" i="0" baseline="0">
              <a:latin typeface="Times New Roman" pitchFamily="18" charset="0"/>
              <a:ea typeface="+mn-ea"/>
              <a:cs typeface="Times New Roman" pitchFamily="18" charset="0"/>
            </a:rPr>
            <a:t>Структура доходної частини бюджету за 9 місяців 2018 року</a:t>
          </a:r>
          <a:endParaRPr lang="ru-RU" sz="14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0.11405</cdr:x>
      <cdr:y>0.01008</cdr:y>
    </cdr:from>
    <cdr:to>
      <cdr:x>0.92072</cdr:x>
      <cdr:y>0.14028</cdr:y>
    </cdr:to>
    <cdr:sp macro="" textlink="">
      <cdr:nvSpPr>
        <cdr:cNvPr id="2" name="TextBox 1"/>
        <cdr:cNvSpPr txBox="1">
          <a:spLocks xmlns:a="http://schemas.openxmlformats.org/drawingml/2006/main"/>
        </cdr:cNvSpPr>
      </cdr:nvSpPr>
      <cdr:spPr>
        <a:xfrm xmlns:a="http://schemas.openxmlformats.org/drawingml/2006/main">
          <a:off x="781051" y="47910"/>
          <a:ext cx="5524500" cy="6188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500" b="0">
              <a:solidFill>
                <a:sysClr val="windowText" lastClr="000000"/>
              </a:solidFill>
              <a:latin typeface="Times New Roman" pitchFamily="18" charset="0"/>
              <a:cs typeface="Times New Roman" pitchFamily="18" charset="0"/>
            </a:rPr>
            <a:t>Структура доходів  загального фонду бюджету міста Запоріжжя за 9 місяців 2018 року</a:t>
          </a:r>
        </a:p>
      </cdr:txBody>
    </cdr:sp>
  </cdr:relSizeAnchor>
</c:userShapes>
</file>

<file path=word/drawings/drawing3.xml><?xml version="1.0" encoding="utf-8"?>
<c:userShapes xmlns:c="http://schemas.openxmlformats.org/drawingml/2006/chart">
  <cdr:relSizeAnchor xmlns:cdr="http://schemas.openxmlformats.org/drawingml/2006/chartDrawing">
    <cdr:from>
      <cdr:x>0.11515</cdr:x>
      <cdr:y>0.03511</cdr:y>
    </cdr:from>
    <cdr:to>
      <cdr:x>0.24793</cdr:x>
      <cdr:y>0.08367</cdr:y>
    </cdr:to>
    <cdr:sp macro="" textlink="">
      <cdr:nvSpPr>
        <cdr:cNvPr id="6" name="TextBox 5"/>
        <cdr:cNvSpPr txBox="1"/>
      </cdr:nvSpPr>
      <cdr:spPr>
        <a:xfrm xmlns:a="http://schemas.openxmlformats.org/drawingml/2006/main">
          <a:off x="704850" y="167892"/>
          <a:ext cx="812800" cy="2321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0.20562</cdr:x>
      <cdr:y>0.78132</cdr:y>
    </cdr:from>
    <cdr:to>
      <cdr:x>0.29156</cdr:x>
      <cdr:y>0.84196</cdr:y>
    </cdr:to>
    <cdr:sp macro="" textlink="">
      <cdr:nvSpPr>
        <cdr:cNvPr id="7" name="TextBox 6"/>
        <cdr:cNvSpPr txBox="1"/>
      </cdr:nvSpPr>
      <cdr:spPr>
        <a:xfrm xmlns:a="http://schemas.openxmlformats.org/drawingml/2006/main">
          <a:off x="1185796" y="2598713"/>
          <a:ext cx="495599" cy="2016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2017</a:t>
          </a:r>
        </a:p>
      </cdr:txBody>
    </cdr:sp>
  </cdr:relSizeAnchor>
  <cdr:relSizeAnchor xmlns:cdr="http://schemas.openxmlformats.org/drawingml/2006/chartDrawing">
    <cdr:from>
      <cdr:x>0.09898</cdr:x>
      <cdr:y>0.78025</cdr:y>
    </cdr:from>
    <cdr:to>
      <cdr:x>0.19338</cdr:x>
      <cdr:y>0.85225</cdr:y>
    </cdr:to>
    <cdr:sp macro="" textlink="">
      <cdr:nvSpPr>
        <cdr:cNvPr id="9" name="TextBox 8"/>
        <cdr:cNvSpPr txBox="1"/>
      </cdr:nvSpPr>
      <cdr:spPr>
        <a:xfrm xmlns:a="http://schemas.openxmlformats.org/drawingml/2006/main">
          <a:off x="570777" y="2595153"/>
          <a:ext cx="544386" cy="2394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2018</a:t>
          </a:r>
        </a:p>
      </cdr:txBody>
    </cdr:sp>
  </cdr:relSizeAnchor>
  <cdr:relSizeAnchor xmlns:cdr="http://schemas.openxmlformats.org/drawingml/2006/chartDrawing">
    <cdr:from>
      <cdr:x>0.42767</cdr:x>
      <cdr:y>0.77109</cdr:y>
    </cdr:from>
    <cdr:to>
      <cdr:x>0.5148</cdr:x>
      <cdr:y>0.82955</cdr:y>
    </cdr:to>
    <cdr:sp macro="" textlink="">
      <cdr:nvSpPr>
        <cdr:cNvPr id="11" name="TextBox 10"/>
        <cdr:cNvSpPr txBox="1"/>
      </cdr:nvSpPr>
      <cdr:spPr>
        <a:xfrm xmlns:a="http://schemas.openxmlformats.org/drawingml/2006/main">
          <a:off x="2466284" y="2564684"/>
          <a:ext cx="502462" cy="1944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2017</a:t>
          </a:r>
        </a:p>
      </cdr:txBody>
    </cdr:sp>
  </cdr:relSizeAnchor>
  <cdr:relSizeAnchor xmlns:cdr="http://schemas.openxmlformats.org/drawingml/2006/chartDrawing">
    <cdr:from>
      <cdr:x>0.32397</cdr:x>
      <cdr:y>0.78221</cdr:y>
    </cdr:from>
    <cdr:to>
      <cdr:x>0.40903</cdr:x>
      <cdr:y>0.84123</cdr:y>
    </cdr:to>
    <cdr:sp macro="" textlink="">
      <cdr:nvSpPr>
        <cdr:cNvPr id="12" name="TextBox 11"/>
        <cdr:cNvSpPr txBox="1"/>
      </cdr:nvSpPr>
      <cdr:spPr>
        <a:xfrm xmlns:a="http://schemas.openxmlformats.org/drawingml/2006/main">
          <a:off x="1868298" y="2601690"/>
          <a:ext cx="490524" cy="196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2018</a:t>
          </a:r>
        </a:p>
      </cdr:txBody>
    </cdr:sp>
  </cdr:relSizeAnchor>
  <cdr:relSizeAnchor xmlns:cdr="http://schemas.openxmlformats.org/drawingml/2006/chartDrawing">
    <cdr:from>
      <cdr:x>0.64796</cdr:x>
      <cdr:y>0.76018</cdr:y>
    </cdr:from>
    <cdr:to>
      <cdr:x>0.73613</cdr:x>
      <cdr:y>0.8242</cdr:y>
    </cdr:to>
    <cdr:sp macro="" textlink="">
      <cdr:nvSpPr>
        <cdr:cNvPr id="13" name="TextBox 12"/>
        <cdr:cNvSpPr txBox="1"/>
      </cdr:nvSpPr>
      <cdr:spPr>
        <a:xfrm xmlns:a="http://schemas.openxmlformats.org/drawingml/2006/main">
          <a:off x="3736679" y="2528421"/>
          <a:ext cx="508459" cy="2129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2017</a:t>
          </a:r>
        </a:p>
      </cdr:txBody>
    </cdr:sp>
  </cdr:relSizeAnchor>
  <cdr:relSizeAnchor xmlns:cdr="http://schemas.openxmlformats.org/drawingml/2006/chartDrawing">
    <cdr:from>
      <cdr:x>0.53878</cdr:x>
      <cdr:y>0.76726</cdr:y>
    </cdr:from>
    <cdr:to>
      <cdr:x>0.62073</cdr:x>
      <cdr:y>0.82838</cdr:y>
    </cdr:to>
    <cdr:sp macro="" textlink="">
      <cdr:nvSpPr>
        <cdr:cNvPr id="14" name="TextBox 13"/>
        <cdr:cNvSpPr txBox="1"/>
      </cdr:nvSpPr>
      <cdr:spPr>
        <a:xfrm xmlns:a="http://schemas.openxmlformats.org/drawingml/2006/main">
          <a:off x="3107033" y="2551953"/>
          <a:ext cx="472590" cy="203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2018</a:t>
          </a:r>
        </a:p>
      </cdr:txBody>
    </cdr:sp>
  </cdr:relSizeAnchor>
  <cdr:relSizeAnchor xmlns:cdr="http://schemas.openxmlformats.org/drawingml/2006/chartDrawing">
    <cdr:from>
      <cdr:x>0.1534</cdr:x>
      <cdr:y>0</cdr:y>
    </cdr:from>
    <cdr:to>
      <cdr:x>0.388</cdr:x>
      <cdr:y>0.18437</cdr:y>
    </cdr:to>
    <cdr:sp macro="" textlink="">
      <cdr:nvSpPr>
        <cdr:cNvPr id="15" name="TextBox 14"/>
        <cdr:cNvSpPr txBox="1"/>
      </cdr:nvSpPr>
      <cdr:spPr>
        <a:xfrm xmlns:a="http://schemas.openxmlformats.org/drawingml/2006/main">
          <a:off x="884655" y="0"/>
          <a:ext cx="1352885" cy="750266"/>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ru-RU" sz="1100"/>
            <a:t>        оплата праці</a:t>
          </a:r>
        </a:p>
        <a:p xmlns:a="http://schemas.openxmlformats.org/drawingml/2006/main">
          <a:pPr algn="ctr"/>
          <a:r>
            <a:rPr lang="ru-RU" sz="1100"/>
            <a:t> з нарахуваннями</a:t>
          </a:r>
        </a:p>
      </cdr:txBody>
    </cdr:sp>
  </cdr:relSizeAnchor>
  <cdr:relSizeAnchor xmlns:cdr="http://schemas.openxmlformats.org/drawingml/2006/chartDrawing">
    <cdr:from>
      <cdr:x>0.31104</cdr:x>
      <cdr:y>0.13779</cdr:y>
    </cdr:from>
    <cdr:to>
      <cdr:x>0.54624</cdr:x>
      <cdr:y>0.31853</cdr:y>
    </cdr:to>
    <cdr:sp macro="" textlink="">
      <cdr:nvSpPr>
        <cdr:cNvPr id="16" name="TextBox 15"/>
        <cdr:cNvSpPr txBox="1"/>
      </cdr:nvSpPr>
      <cdr:spPr>
        <a:xfrm xmlns:a="http://schemas.openxmlformats.org/drawingml/2006/main">
          <a:off x="1793702" y="481125"/>
          <a:ext cx="1356352" cy="631113"/>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r>
            <a:rPr lang="ru-RU" sz="1100"/>
            <a:t>         соціальні </a:t>
          </a:r>
        </a:p>
        <a:p xmlns:a="http://schemas.openxmlformats.org/drawingml/2006/main">
          <a:pPr algn="ctr"/>
          <a:r>
            <a:rPr lang="ru-RU" sz="1100"/>
            <a:t>виплати </a:t>
          </a:r>
        </a:p>
      </cdr:txBody>
    </cdr:sp>
  </cdr:relSizeAnchor>
  <cdr:relSizeAnchor xmlns:cdr="http://schemas.openxmlformats.org/drawingml/2006/chartDrawing">
    <cdr:from>
      <cdr:x>0.33299</cdr:x>
      <cdr:y>0.18415</cdr:y>
    </cdr:from>
    <cdr:to>
      <cdr:x>0.56224</cdr:x>
      <cdr:y>0.2957</cdr:y>
    </cdr:to>
    <cdr:sp macro="" textlink="">
      <cdr:nvSpPr>
        <cdr:cNvPr id="17" name="TextBox 16"/>
        <cdr:cNvSpPr txBox="1"/>
      </cdr:nvSpPr>
      <cdr:spPr>
        <a:xfrm xmlns:a="http://schemas.openxmlformats.org/drawingml/2006/main">
          <a:off x="2038367" y="789318"/>
          <a:ext cx="1403330" cy="4781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0.72407</cdr:x>
      <cdr:y>0.45153</cdr:y>
    </cdr:from>
    <cdr:to>
      <cdr:x>0.91909</cdr:x>
      <cdr:y>0.57371</cdr:y>
    </cdr:to>
    <cdr:sp macro="" textlink="">
      <cdr:nvSpPr>
        <cdr:cNvPr id="18" name="TextBox 17"/>
        <cdr:cNvSpPr txBox="1"/>
      </cdr:nvSpPr>
      <cdr:spPr>
        <a:xfrm xmlns:a="http://schemas.openxmlformats.org/drawingml/2006/main">
          <a:off x="4432300" y="2159000"/>
          <a:ext cx="1193800" cy="584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0.53527</cdr:x>
      <cdr:y>0.39893</cdr:y>
    </cdr:from>
    <cdr:to>
      <cdr:x>0.77905</cdr:x>
      <cdr:y>0.58444</cdr:y>
    </cdr:to>
    <cdr:sp macro="" textlink="">
      <cdr:nvSpPr>
        <cdr:cNvPr id="19" name="TextBox 18"/>
        <cdr:cNvSpPr txBox="1"/>
      </cdr:nvSpPr>
      <cdr:spPr>
        <a:xfrm xmlns:a="http://schemas.openxmlformats.org/drawingml/2006/main">
          <a:off x="3276593" y="1849235"/>
          <a:ext cx="1492257" cy="85992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ru-RU" sz="1100"/>
            <a:t>Інші  (енергоносії,</a:t>
          </a:r>
        </a:p>
        <a:p xmlns:a="http://schemas.openxmlformats.org/drawingml/2006/main">
          <a:pPr algn="ctr"/>
          <a:r>
            <a:rPr lang="ru-RU" sz="1100"/>
            <a:t> медикаменти та харчування)</a:t>
          </a:r>
        </a:p>
      </cdr:txBody>
    </cdr:sp>
  </cdr:relSizeAnchor>
  <cdr:relSizeAnchor xmlns:cdr="http://schemas.openxmlformats.org/drawingml/2006/chartDrawing">
    <cdr:from>
      <cdr:x>0.76241</cdr:x>
      <cdr:y>0.76642</cdr:y>
    </cdr:from>
    <cdr:to>
      <cdr:x>0.84436</cdr:x>
      <cdr:y>0.8242</cdr:y>
    </cdr:to>
    <cdr:sp macro="" textlink="">
      <cdr:nvSpPr>
        <cdr:cNvPr id="20" name="TextBox 1"/>
        <cdr:cNvSpPr txBox="1"/>
      </cdr:nvSpPr>
      <cdr:spPr>
        <a:xfrm xmlns:a="http://schemas.openxmlformats.org/drawingml/2006/main">
          <a:off x="4396680" y="2549157"/>
          <a:ext cx="472589" cy="1921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2018</a:t>
          </a:r>
        </a:p>
      </cdr:txBody>
    </cdr:sp>
  </cdr:relSizeAnchor>
  <cdr:relSizeAnchor xmlns:cdr="http://schemas.openxmlformats.org/drawingml/2006/chartDrawing">
    <cdr:from>
      <cdr:x>0.86951</cdr:x>
      <cdr:y>0.76036</cdr:y>
    </cdr:from>
    <cdr:to>
      <cdr:x>0.96134</cdr:x>
      <cdr:y>0.82092</cdr:y>
    </cdr:to>
    <cdr:sp macro="" textlink="">
      <cdr:nvSpPr>
        <cdr:cNvPr id="21" name="TextBox 1"/>
        <cdr:cNvSpPr txBox="1"/>
      </cdr:nvSpPr>
      <cdr:spPr>
        <a:xfrm xmlns:a="http://schemas.openxmlformats.org/drawingml/2006/main" rot="10800000" flipV="1">
          <a:off x="5014319" y="2528996"/>
          <a:ext cx="529566" cy="2014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2017</a:t>
          </a:r>
        </a:p>
      </cdr:txBody>
    </cdr:sp>
  </cdr:relSizeAnchor>
  <cdr:relSizeAnchor xmlns:cdr="http://schemas.openxmlformats.org/drawingml/2006/chartDrawing">
    <cdr:from>
      <cdr:x>0.0083</cdr:x>
      <cdr:y>0</cdr:y>
    </cdr:from>
    <cdr:to>
      <cdr:x>0.12656</cdr:x>
      <cdr:y>0.06641</cdr:y>
    </cdr:to>
    <cdr:sp macro="" textlink="">
      <cdr:nvSpPr>
        <cdr:cNvPr id="22" name="TextBox 21"/>
        <cdr:cNvSpPr txBox="1"/>
      </cdr:nvSpPr>
      <cdr:spPr>
        <a:xfrm xmlns:a="http://schemas.openxmlformats.org/drawingml/2006/main">
          <a:off x="50800" y="0"/>
          <a:ext cx="7239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млн.грн.</a:t>
          </a:r>
        </a:p>
      </cdr:txBody>
    </cdr:sp>
  </cdr:relSizeAnchor>
  <cdr:relSizeAnchor xmlns:cdr="http://schemas.openxmlformats.org/drawingml/2006/chartDrawing">
    <cdr:from>
      <cdr:x>0.89108</cdr:x>
      <cdr:y>0.86609</cdr:y>
    </cdr:from>
    <cdr:to>
      <cdr:x>1</cdr:x>
      <cdr:y>0.92989</cdr:y>
    </cdr:to>
    <cdr:sp macro="" textlink="">
      <cdr:nvSpPr>
        <cdr:cNvPr id="23" name="TextBox 22"/>
        <cdr:cNvSpPr txBox="1"/>
      </cdr:nvSpPr>
      <cdr:spPr>
        <a:xfrm xmlns:a="http://schemas.openxmlformats.org/drawingml/2006/main">
          <a:off x="5315147" y="2880683"/>
          <a:ext cx="628120" cy="2122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роки</a:t>
          </a:r>
        </a:p>
      </cdr:txBody>
    </cdr:sp>
  </cdr:relSizeAnchor>
  <cdr:relSizeAnchor xmlns:cdr="http://schemas.openxmlformats.org/drawingml/2006/chartDrawing">
    <cdr:from>
      <cdr:x>0.79668</cdr:x>
      <cdr:y>0.4732</cdr:y>
    </cdr:from>
    <cdr:to>
      <cdr:x>0.94191</cdr:x>
      <cdr:y>0.64063</cdr:y>
    </cdr:to>
    <cdr:sp macro="" textlink="">
      <cdr:nvSpPr>
        <cdr:cNvPr id="24" name="TextBox 23"/>
        <cdr:cNvSpPr txBox="1"/>
      </cdr:nvSpPr>
      <cdr:spPr>
        <a:xfrm xmlns:a="http://schemas.openxmlformats.org/drawingml/2006/main">
          <a:off x="4594297" y="1652337"/>
          <a:ext cx="837512" cy="5846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реверсна дотація</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097F6-1AC6-4619-ACAC-961F9656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10</Pages>
  <Words>3118</Words>
  <Characters>20680</Characters>
  <Application>Microsoft Office Word</Application>
  <DocSecurity>0</DocSecurity>
  <Lines>172</Lines>
  <Paragraphs>47</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Microsoft</Company>
  <LinksUpToDate>false</LinksUpToDate>
  <CharactersWithSpaces>23751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Jilia20</dc:creator>
  <cp:lastModifiedBy>Осипова Анастасия</cp:lastModifiedBy>
  <cp:revision>43</cp:revision>
  <cp:lastPrinted>2018-11-23T08:54:00Z</cp:lastPrinted>
  <dcterms:created xsi:type="dcterms:W3CDTF">2018-08-22T12:09:00Z</dcterms:created>
  <dcterms:modified xsi:type="dcterms:W3CDTF">2018-11-23T08:56:00Z</dcterms:modified>
</cp:coreProperties>
</file>