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E08" w:rsidRDefault="00345E08" w:rsidP="00675437">
      <w:pPr>
        <w:pStyle w:val="a4"/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</w:rPr>
        <w:t>Довідка про</w:t>
      </w:r>
      <w:r w:rsidR="00675437" w:rsidRPr="005F3723">
        <w:rPr>
          <w:b/>
          <w:bCs/>
          <w:szCs w:val="28"/>
        </w:rPr>
        <w:t xml:space="preserve"> виконання бюджету</w:t>
      </w:r>
      <w:r>
        <w:rPr>
          <w:b/>
          <w:bCs/>
          <w:szCs w:val="28"/>
        </w:rPr>
        <w:t xml:space="preserve"> міста Запоріжжя</w:t>
      </w:r>
    </w:p>
    <w:p w:rsidR="00675437" w:rsidRDefault="00675437" w:rsidP="00675437">
      <w:pPr>
        <w:pStyle w:val="a4"/>
        <w:ind w:firstLine="708"/>
        <w:jc w:val="center"/>
        <w:rPr>
          <w:b/>
          <w:bCs/>
          <w:szCs w:val="28"/>
        </w:rPr>
      </w:pPr>
      <w:r w:rsidRPr="005F3723">
        <w:rPr>
          <w:b/>
          <w:bCs/>
          <w:szCs w:val="28"/>
        </w:rPr>
        <w:t xml:space="preserve">за </w:t>
      </w:r>
      <w:r w:rsidR="00DB2BBA">
        <w:rPr>
          <w:b/>
          <w:bCs/>
          <w:szCs w:val="28"/>
        </w:rPr>
        <w:t>І</w:t>
      </w:r>
      <w:r w:rsidR="00510FEF">
        <w:rPr>
          <w:b/>
          <w:bCs/>
          <w:szCs w:val="28"/>
        </w:rPr>
        <w:t xml:space="preserve"> </w:t>
      </w:r>
      <w:r w:rsidR="00F37068">
        <w:rPr>
          <w:b/>
          <w:bCs/>
          <w:szCs w:val="28"/>
        </w:rPr>
        <w:t xml:space="preserve">квартал </w:t>
      </w:r>
      <w:r w:rsidR="00510FEF">
        <w:rPr>
          <w:b/>
          <w:bCs/>
          <w:szCs w:val="28"/>
        </w:rPr>
        <w:t xml:space="preserve"> </w:t>
      </w:r>
      <w:r w:rsidR="00050D58" w:rsidRPr="005F3723">
        <w:rPr>
          <w:b/>
          <w:bCs/>
          <w:szCs w:val="28"/>
        </w:rPr>
        <w:t>201</w:t>
      </w:r>
      <w:r w:rsidR="00E11015">
        <w:rPr>
          <w:b/>
          <w:bCs/>
          <w:szCs w:val="28"/>
        </w:rPr>
        <w:t>9</w:t>
      </w:r>
      <w:r w:rsidRPr="005F3723">
        <w:rPr>
          <w:b/>
          <w:bCs/>
          <w:szCs w:val="28"/>
        </w:rPr>
        <w:t xml:space="preserve"> р</w:t>
      </w:r>
      <w:r w:rsidR="00FD2F5C" w:rsidRPr="005F3723">
        <w:rPr>
          <w:b/>
          <w:bCs/>
          <w:szCs w:val="28"/>
        </w:rPr>
        <w:t>о</w:t>
      </w:r>
      <w:r w:rsidR="00D853F7" w:rsidRPr="005F3723">
        <w:rPr>
          <w:b/>
          <w:bCs/>
          <w:szCs w:val="28"/>
        </w:rPr>
        <w:t>к</w:t>
      </w:r>
      <w:r w:rsidR="00FD2F5C" w:rsidRPr="005F3723">
        <w:rPr>
          <w:b/>
          <w:bCs/>
          <w:szCs w:val="28"/>
        </w:rPr>
        <w:t>у</w:t>
      </w:r>
    </w:p>
    <w:p w:rsidR="000076AF" w:rsidRPr="002C29AF" w:rsidRDefault="000076AF" w:rsidP="000076AF">
      <w:pPr>
        <w:ind w:firstLine="709"/>
        <w:contextualSpacing/>
        <w:jc w:val="center"/>
        <w:rPr>
          <w:b/>
          <w:sz w:val="28"/>
          <w:szCs w:val="28"/>
          <w:lang w:val="uk-UA"/>
        </w:rPr>
      </w:pPr>
    </w:p>
    <w:p w:rsidR="00F91804" w:rsidRDefault="00F91804" w:rsidP="001829A0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F91804">
        <w:rPr>
          <w:sz w:val="28"/>
          <w:szCs w:val="28"/>
        </w:rPr>
        <w:t>Обсяг</w:t>
      </w:r>
      <w:proofErr w:type="spellEnd"/>
      <w:r w:rsidRPr="00F91804">
        <w:rPr>
          <w:sz w:val="28"/>
          <w:szCs w:val="28"/>
        </w:rPr>
        <w:t xml:space="preserve"> </w:t>
      </w:r>
      <w:proofErr w:type="spellStart"/>
      <w:r w:rsidRPr="00F91804">
        <w:rPr>
          <w:sz w:val="28"/>
          <w:szCs w:val="28"/>
        </w:rPr>
        <w:t>доходів</w:t>
      </w:r>
      <w:proofErr w:type="spellEnd"/>
      <w:r w:rsidRPr="00F91804">
        <w:rPr>
          <w:sz w:val="28"/>
          <w:szCs w:val="28"/>
        </w:rPr>
        <w:t xml:space="preserve"> бюджету </w:t>
      </w:r>
      <w:proofErr w:type="spellStart"/>
      <w:r w:rsidRPr="00F91804">
        <w:rPr>
          <w:sz w:val="28"/>
          <w:szCs w:val="28"/>
        </w:rPr>
        <w:t>міста</w:t>
      </w:r>
      <w:proofErr w:type="spellEnd"/>
      <w:r w:rsidRPr="00F91804">
        <w:rPr>
          <w:sz w:val="28"/>
          <w:szCs w:val="28"/>
        </w:rPr>
        <w:t xml:space="preserve"> за перший </w:t>
      </w:r>
      <w:proofErr w:type="spellStart"/>
      <w:r w:rsidRPr="00F91804">
        <w:rPr>
          <w:sz w:val="28"/>
          <w:szCs w:val="28"/>
        </w:rPr>
        <w:t>звітний</w:t>
      </w:r>
      <w:proofErr w:type="spellEnd"/>
      <w:r w:rsidRPr="00F91804">
        <w:rPr>
          <w:sz w:val="28"/>
          <w:szCs w:val="28"/>
        </w:rPr>
        <w:t xml:space="preserve"> квартал </w:t>
      </w:r>
      <w:proofErr w:type="gramStart"/>
      <w:r w:rsidRPr="00F91804">
        <w:rPr>
          <w:sz w:val="28"/>
          <w:szCs w:val="28"/>
        </w:rPr>
        <w:t>поточного</w:t>
      </w:r>
      <w:proofErr w:type="gramEnd"/>
      <w:r w:rsidRPr="00F91804">
        <w:rPr>
          <w:sz w:val="28"/>
          <w:szCs w:val="28"/>
        </w:rPr>
        <w:t xml:space="preserve"> року </w:t>
      </w:r>
      <w:proofErr w:type="spellStart"/>
      <w:r w:rsidRPr="00F91804">
        <w:rPr>
          <w:sz w:val="28"/>
          <w:szCs w:val="28"/>
        </w:rPr>
        <w:t>склав</w:t>
      </w:r>
      <w:proofErr w:type="spellEnd"/>
      <w:r w:rsidRPr="00F91804">
        <w:rPr>
          <w:sz w:val="28"/>
          <w:szCs w:val="28"/>
        </w:rPr>
        <w:t xml:space="preserve"> 2 134,7 млн.грн., в тому </w:t>
      </w:r>
      <w:proofErr w:type="spellStart"/>
      <w:r w:rsidRPr="00F91804">
        <w:rPr>
          <w:sz w:val="28"/>
          <w:szCs w:val="28"/>
        </w:rPr>
        <w:t>числі</w:t>
      </w:r>
      <w:proofErr w:type="spellEnd"/>
      <w:r w:rsidRPr="00F91804">
        <w:rPr>
          <w:sz w:val="28"/>
          <w:szCs w:val="28"/>
        </w:rPr>
        <w:t xml:space="preserve"> </w:t>
      </w:r>
      <w:proofErr w:type="spellStart"/>
      <w:r w:rsidRPr="00F91804">
        <w:rPr>
          <w:sz w:val="28"/>
          <w:szCs w:val="28"/>
        </w:rPr>
        <w:t>офіційні</w:t>
      </w:r>
      <w:proofErr w:type="spellEnd"/>
      <w:r w:rsidRPr="00F91804">
        <w:rPr>
          <w:sz w:val="28"/>
          <w:szCs w:val="28"/>
        </w:rPr>
        <w:t xml:space="preserve"> </w:t>
      </w:r>
      <w:proofErr w:type="spellStart"/>
      <w:r w:rsidRPr="00F91804">
        <w:rPr>
          <w:sz w:val="28"/>
          <w:szCs w:val="28"/>
        </w:rPr>
        <w:t>трансферти</w:t>
      </w:r>
      <w:proofErr w:type="spellEnd"/>
      <w:r w:rsidRPr="00F91804">
        <w:rPr>
          <w:sz w:val="28"/>
          <w:szCs w:val="28"/>
        </w:rPr>
        <w:t xml:space="preserve"> – 732,7 млн.грн. </w:t>
      </w:r>
    </w:p>
    <w:p w:rsidR="0070216A" w:rsidRPr="0070216A" w:rsidRDefault="0070216A" w:rsidP="00F91804">
      <w:pPr>
        <w:spacing w:line="264" w:lineRule="auto"/>
        <w:ind w:firstLine="708"/>
        <w:jc w:val="both"/>
        <w:rPr>
          <w:sz w:val="16"/>
          <w:szCs w:val="16"/>
          <w:lang w:val="uk-UA"/>
        </w:rPr>
      </w:pPr>
    </w:p>
    <w:p w:rsidR="00F91804" w:rsidRPr="003359C2" w:rsidRDefault="00F91804" w:rsidP="00F91804">
      <w:pPr>
        <w:spacing w:line="264" w:lineRule="auto"/>
        <w:jc w:val="both"/>
        <w:rPr>
          <w:szCs w:val="28"/>
        </w:rPr>
      </w:pPr>
      <w:r w:rsidRPr="003359C2">
        <w:rPr>
          <w:szCs w:val="28"/>
        </w:rPr>
        <w:tab/>
      </w:r>
      <w:r>
        <w:rPr>
          <w:noProof/>
          <w:szCs w:val="28"/>
        </w:rPr>
        <w:drawing>
          <wp:inline distT="0" distB="0" distL="0" distR="0">
            <wp:extent cx="5344160" cy="1758950"/>
            <wp:effectExtent l="76200" t="19050" r="46990" b="12700"/>
            <wp:docPr id="5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0216A" w:rsidRPr="0070216A" w:rsidRDefault="0070216A" w:rsidP="00F91804">
      <w:pPr>
        <w:spacing w:line="264" w:lineRule="auto"/>
        <w:ind w:firstLine="708"/>
        <w:jc w:val="both"/>
        <w:rPr>
          <w:sz w:val="16"/>
          <w:szCs w:val="16"/>
          <w:lang w:val="uk-UA"/>
        </w:rPr>
      </w:pPr>
    </w:p>
    <w:p w:rsidR="00F91804" w:rsidRPr="0070216A" w:rsidRDefault="00F91804" w:rsidP="001829A0">
      <w:pPr>
        <w:ind w:firstLine="708"/>
        <w:jc w:val="both"/>
        <w:rPr>
          <w:sz w:val="28"/>
          <w:szCs w:val="28"/>
          <w:lang w:val="uk-UA"/>
        </w:rPr>
      </w:pPr>
      <w:r w:rsidRPr="0070216A">
        <w:rPr>
          <w:sz w:val="28"/>
          <w:szCs w:val="28"/>
          <w:lang w:val="uk-UA"/>
        </w:rPr>
        <w:t xml:space="preserve">В порівнянні з </w:t>
      </w:r>
      <w:r w:rsidR="0070216A" w:rsidRPr="0070216A">
        <w:rPr>
          <w:sz w:val="28"/>
          <w:szCs w:val="28"/>
          <w:lang w:val="uk-UA"/>
        </w:rPr>
        <w:t>аналогічним періодом минулого року</w:t>
      </w:r>
      <w:r w:rsidRPr="0070216A">
        <w:rPr>
          <w:sz w:val="28"/>
          <w:szCs w:val="28"/>
          <w:lang w:val="uk-UA"/>
        </w:rPr>
        <w:t xml:space="preserve"> власні доходи (без урахування трансфертів) збільшились на 16,9% або на 202,2 млн.грн. </w:t>
      </w:r>
    </w:p>
    <w:p w:rsidR="00F91804" w:rsidRPr="0070216A" w:rsidRDefault="00F91804" w:rsidP="001829A0">
      <w:pPr>
        <w:ind w:firstLine="708"/>
        <w:jc w:val="both"/>
        <w:rPr>
          <w:sz w:val="28"/>
          <w:szCs w:val="28"/>
          <w:lang w:val="uk-UA"/>
        </w:rPr>
      </w:pPr>
      <w:r w:rsidRPr="0070216A">
        <w:rPr>
          <w:sz w:val="28"/>
          <w:szCs w:val="28"/>
          <w:lang w:val="uk-UA"/>
        </w:rPr>
        <w:t xml:space="preserve">План звітного періоду по доходах загального фонду без урахування трансфертів виконаний на 102,3%, понад планового показника надійшло 29,6 млн.грн. </w:t>
      </w:r>
    </w:p>
    <w:p w:rsidR="00F91804" w:rsidRPr="0070216A" w:rsidRDefault="00F91804" w:rsidP="001829A0">
      <w:pPr>
        <w:ind w:firstLine="540"/>
        <w:jc w:val="both"/>
        <w:rPr>
          <w:sz w:val="28"/>
          <w:szCs w:val="28"/>
          <w:lang w:val="uk-UA"/>
        </w:rPr>
      </w:pPr>
      <w:r w:rsidRPr="0070216A">
        <w:rPr>
          <w:sz w:val="28"/>
          <w:szCs w:val="28"/>
          <w:lang w:val="uk-UA"/>
        </w:rPr>
        <w:t>Найбільшим чином поповнив бюджет податок на доходи фізичних осіб (849,7 млн.грн. або 64,4% в доходах загального фонду). План виконаний на 102,9%. Порівняно з минулорічним показником надходження цього податку збільшились на 23,2% або на 159,8 млн.грн., в тому числі податку з доходів у вигляді заробітної плати – на 21,5% або на 139,0 млн.грн. (відбулось збільшення перерахувань податку на таких великих промислових підприємствах міста як ПАТ «Запоріжсталь», ПАТ «Мотор Січ», ПАТ «</w:t>
      </w:r>
      <w:proofErr w:type="spellStart"/>
      <w:r w:rsidRPr="0070216A">
        <w:rPr>
          <w:sz w:val="28"/>
          <w:szCs w:val="28"/>
          <w:lang w:val="uk-UA"/>
        </w:rPr>
        <w:t>Дніпроспецсталь</w:t>
      </w:r>
      <w:proofErr w:type="spellEnd"/>
      <w:r w:rsidRPr="0070216A">
        <w:rPr>
          <w:sz w:val="28"/>
          <w:szCs w:val="28"/>
          <w:lang w:val="uk-UA"/>
        </w:rPr>
        <w:t>», ПАТ «</w:t>
      </w:r>
      <w:proofErr w:type="spellStart"/>
      <w:r w:rsidRPr="0070216A">
        <w:rPr>
          <w:sz w:val="28"/>
          <w:szCs w:val="28"/>
          <w:lang w:val="uk-UA"/>
        </w:rPr>
        <w:t>Укрграфіт</w:t>
      </w:r>
      <w:proofErr w:type="spellEnd"/>
      <w:r w:rsidRPr="0070216A">
        <w:rPr>
          <w:sz w:val="28"/>
          <w:szCs w:val="28"/>
          <w:lang w:val="uk-UA"/>
        </w:rPr>
        <w:t>», ПАТ «</w:t>
      </w:r>
      <w:proofErr w:type="spellStart"/>
      <w:r w:rsidRPr="0070216A">
        <w:rPr>
          <w:sz w:val="28"/>
          <w:szCs w:val="28"/>
          <w:lang w:val="uk-UA"/>
        </w:rPr>
        <w:t>Запоріжвогнетрив</w:t>
      </w:r>
      <w:proofErr w:type="spellEnd"/>
      <w:r w:rsidRPr="0070216A">
        <w:rPr>
          <w:sz w:val="28"/>
          <w:szCs w:val="28"/>
          <w:lang w:val="uk-UA"/>
        </w:rPr>
        <w:t xml:space="preserve">», ПАТ «ЗФЗ», </w:t>
      </w:r>
      <w:proofErr w:type="spellStart"/>
      <w:r w:rsidRPr="0070216A">
        <w:rPr>
          <w:sz w:val="28"/>
          <w:szCs w:val="28"/>
          <w:lang w:val="uk-UA"/>
        </w:rPr>
        <w:t>ПрАТ</w:t>
      </w:r>
      <w:proofErr w:type="spellEnd"/>
      <w:r w:rsidRPr="0070216A">
        <w:rPr>
          <w:sz w:val="28"/>
          <w:szCs w:val="28"/>
          <w:lang w:val="uk-UA"/>
        </w:rPr>
        <w:t xml:space="preserve"> «ЗЕРЗ» та інших).</w:t>
      </w:r>
    </w:p>
    <w:p w:rsidR="00F91804" w:rsidRPr="003359C2" w:rsidRDefault="00F91804" w:rsidP="00F91804">
      <w:pPr>
        <w:spacing w:line="264" w:lineRule="auto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63167" cy="3331633"/>
            <wp:effectExtent l="0" t="0" r="0" b="0"/>
            <wp:docPr id="4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1804" w:rsidRPr="003359C2" w:rsidRDefault="00F91804" w:rsidP="001829A0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359C2">
        <w:rPr>
          <w:sz w:val="28"/>
          <w:szCs w:val="28"/>
          <w:lang w:val="uk-UA"/>
        </w:rPr>
        <w:lastRenderedPageBreak/>
        <w:t>Також збільшились надходження податку за результатами річного декларування фізичних осіб на 1,8 млн.грн. (на 21,9%), з доходів військовослужбовців - на 8,4 млн.грн. (на 33,1%) та з інших (ніж заробітна плата) доходів платників – на 10,8 млн.грн. (у 2,5 рази).</w:t>
      </w:r>
    </w:p>
    <w:p w:rsidR="00F91804" w:rsidRPr="003359C2" w:rsidRDefault="00F91804" w:rsidP="001829A0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359C2">
        <w:rPr>
          <w:sz w:val="28"/>
          <w:szCs w:val="28"/>
          <w:lang w:val="uk-UA"/>
        </w:rPr>
        <w:t xml:space="preserve">Акцизний податок у звітному кварталі надходив лише з реалізації суб’єктами господарювання роздрібної торгівлі підакцизних товарів та склав 33,2 млн.грн. План виконаний на 54,9%. В порівнянні з аналогічним періодом </w:t>
      </w:r>
      <w:r w:rsidR="00B51A46">
        <w:rPr>
          <w:sz w:val="28"/>
          <w:szCs w:val="28"/>
          <w:lang w:val="uk-UA"/>
        </w:rPr>
        <w:t>минулого</w:t>
      </w:r>
      <w:r w:rsidRPr="003359C2">
        <w:rPr>
          <w:sz w:val="28"/>
          <w:szCs w:val="28"/>
          <w:lang w:val="uk-UA"/>
        </w:rPr>
        <w:t xml:space="preserve"> року надходження </w:t>
      </w:r>
      <w:r>
        <w:rPr>
          <w:sz w:val="28"/>
          <w:szCs w:val="28"/>
          <w:lang w:val="uk-UA"/>
        </w:rPr>
        <w:t>скорот</w:t>
      </w:r>
      <w:r w:rsidRPr="003359C2">
        <w:rPr>
          <w:sz w:val="28"/>
          <w:szCs w:val="28"/>
          <w:lang w:val="uk-UA"/>
        </w:rPr>
        <w:t xml:space="preserve">ились на 28,6 млн.грн. (на 46,2%). Це пояснюється зменшенням надходжень акцизного податку з пального на 30,2 млн.грн., </w:t>
      </w:r>
      <w:r w:rsidR="00B51A46">
        <w:rPr>
          <w:sz w:val="28"/>
          <w:szCs w:val="28"/>
          <w:lang w:val="uk-UA"/>
        </w:rPr>
        <w:t>що</w:t>
      </w:r>
      <w:r w:rsidRPr="003359C2">
        <w:rPr>
          <w:sz w:val="28"/>
          <w:szCs w:val="28"/>
          <w:lang w:val="uk-UA"/>
        </w:rPr>
        <w:t xml:space="preserve"> пов’язано із затримкою його перерахування з державного бюджету</w:t>
      </w:r>
      <w:r w:rsidR="00B51A46">
        <w:rPr>
          <w:sz w:val="28"/>
          <w:szCs w:val="28"/>
          <w:lang w:val="uk-UA"/>
        </w:rPr>
        <w:t xml:space="preserve"> (</w:t>
      </w:r>
      <w:r w:rsidRPr="003359C2">
        <w:rPr>
          <w:sz w:val="28"/>
          <w:szCs w:val="28"/>
          <w:lang w:val="uk-UA"/>
        </w:rPr>
        <w:t>Порядок зарахування частини акцизного податку з виробленого в Україні та ввезеного на митну територію України пального до бюджетів місцевого самоврядування затверджений Кабінетом Міністрів України наприкінці кварталу (постанова від 27.03.2019 №259)</w:t>
      </w:r>
      <w:r w:rsidR="00B51A46">
        <w:rPr>
          <w:sz w:val="28"/>
          <w:szCs w:val="28"/>
          <w:lang w:val="uk-UA"/>
        </w:rPr>
        <w:t xml:space="preserve">). </w:t>
      </w:r>
      <w:r w:rsidRPr="003359C2">
        <w:rPr>
          <w:sz w:val="28"/>
          <w:szCs w:val="28"/>
          <w:lang w:val="uk-UA"/>
        </w:rPr>
        <w:t>Поряд з цим, відбулось зростання перерахувань роздрібного акцизу на 1,6 млн.грн. (з реалізації алкогольних напоїв – збільшення на 2,5 млн.грн., від реалізації тютюнових виробів - зниження на 0,9 млн.грн.).</w:t>
      </w:r>
    </w:p>
    <w:p w:rsidR="00F91804" w:rsidRPr="003359C2" w:rsidRDefault="00F91804" w:rsidP="001829A0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359C2">
        <w:rPr>
          <w:sz w:val="28"/>
          <w:szCs w:val="28"/>
          <w:lang w:val="uk-UA"/>
        </w:rPr>
        <w:t xml:space="preserve">Надходження місцевих податків і зборів склали 407,7 млн.грн., в тому </w:t>
      </w:r>
      <w:r>
        <w:rPr>
          <w:sz w:val="28"/>
          <w:szCs w:val="28"/>
          <w:lang w:val="uk-UA"/>
        </w:rPr>
        <w:t xml:space="preserve">числі </w:t>
      </w:r>
      <w:r w:rsidRPr="003359C2">
        <w:rPr>
          <w:sz w:val="28"/>
          <w:szCs w:val="28"/>
          <w:lang w:val="uk-UA"/>
        </w:rPr>
        <w:t xml:space="preserve">податку на майно – 236,8 млн.грн. В його складі найбільшою за величиною є плата за землю (224,4 млн.грн. або 109,8% до плану). В порівнянні з січнем-березнем </w:t>
      </w:r>
      <w:r>
        <w:rPr>
          <w:sz w:val="28"/>
          <w:szCs w:val="28"/>
          <w:lang w:val="uk-UA"/>
        </w:rPr>
        <w:t>минулого</w:t>
      </w:r>
      <w:r w:rsidRPr="003359C2">
        <w:rPr>
          <w:sz w:val="28"/>
          <w:szCs w:val="28"/>
          <w:lang w:val="uk-UA"/>
        </w:rPr>
        <w:t xml:space="preserve"> року відбулось збільшення на 24,6 млн.грн. або на 12,3%. Зазначене пояснюється скасуванням пільги по земельному податку (в якості знижен</w:t>
      </w:r>
      <w:r>
        <w:rPr>
          <w:sz w:val="28"/>
          <w:szCs w:val="28"/>
          <w:lang w:val="uk-UA"/>
        </w:rPr>
        <w:t>ня</w:t>
      </w:r>
      <w:r w:rsidRPr="003359C2">
        <w:rPr>
          <w:sz w:val="28"/>
          <w:szCs w:val="28"/>
          <w:lang w:val="uk-UA"/>
        </w:rPr>
        <w:t xml:space="preserve"> ставки на 75%) для земельних ділянок, наданих для залізниць у межах смуг відведення та збільшенням ставок для земель під розміщення та експлуатацію будівель і споруд залізничного транспорту. Крім того, у звітному кварталі ПАТ «</w:t>
      </w:r>
      <w:proofErr w:type="spellStart"/>
      <w:r w:rsidRPr="003359C2">
        <w:rPr>
          <w:sz w:val="28"/>
          <w:szCs w:val="28"/>
          <w:lang w:val="uk-UA"/>
        </w:rPr>
        <w:t>Запоріжжяобленерго</w:t>
      </w:r>
      <w:proofErr w:type="spellEnd"/>
      <w:r w:rsidRPr="003359C2">
        <w:rPr>
          <w:sz w:val="28"/>
          <w:szCs w:val="28"/>
          <w:lang w:val="uk-UA"/>
        </w:rPr>
        <w:t xml:space="preserve">» повністю погашена заборгованість по платі за землю на загальну суму 7,3 млн.грн. </w:t>
      </w:r>
    </w:p>
    <w:p w:rsidR="00F91804" w:rsidRPr="003359C2" w:rsidRDefault="00F91804" w:rsidP="001829A0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3359C2">
        <w:rPr>
          <w:sz w:val="28"/>
          <w:szCs w:val="28"/>
          <w:lang w:val="uk-UA"/>
        </w:rPr>
        <w:t>Обсяг сплати єдиного податку склав 170,6 млн.грн. План виконаний на 103,0%. В порівнянні з минулорічним показником відбулось зростання на 35,3 млн.грн. (або на 26,1%), що обумовлено збільшенням ставок для платників І та ІІ груп єдиного податку, які мають прив’язку до розміру мінімальної заробітної плати та прожиткового мінімуму, зростанням кількості платників (фізичних осіб - на 9,1%, юридичних осіб – на 4,0%) та підвищенням загального рівня цін на товари і послуги (індекс інфляції станом на 01.04.2019 року складав 102,4%), яке позначилось на перерахуваннях платників ІІІ групи єдиного податку та юридичних осіб, які використовують спрощену систему оподаткування.</w:t>
      </w:r>
    </w:p>
    <w:p w:rsidR="00F91804" w:rsidRPr="00F91804" w:rsidRDefault="00F91804" w:rsidP="001829A0">
      <w:pPr>
        <w:ind w:firstLine="540"/>
        <w:jc w:val="both"/>
        <w:rPr>
          <w:sz w:val="28"/>
          <w:szCs w:val="28"/>
          <w:lang w:val="uk-UA"/>
        </w:rPr>
      </w:pPr>
      <w:r w:rsidRPr="00F91804">
        <w:rPr>
          <w:sz w:val="28"/>
          <w:szCs w:val="28"/>
          <w:lang w:val="uk-UA"/>
        </w:rPr>
        <w:t xml:space="preserve">Плати за надання інших адміністративних послуг надійшло в розмірі 8,8 млн.грн. (123,3% до плану). В порівнянні з надходженнями у аналогічному періоді </w:t>
      </w:r>
      <w:r w:rsidR="00B51A46">
        <w:rPr>
          <w:sz w:val="28"/>
          <w:szCs w:val="28"/>
          <w:lang w:val="uk-UA"/>
        </w:rPr>
        <w:t>минулого</w:t>
      </w:r>
      <w:r w:rsidRPr="00F91804">
        <w:rPr>
          <w:sz w:val="28"/>
          <w:szCs w:val="28"/>
          <w:lang w:val="uk-UA"/>
        </w:rPr>
        <w:t xml:space="preserve"> року </w:t>
      </w:r>
      <w:r w:rsidR="00B51A46">
        <w:rPr>
          <w:sz w:val="28"/>
          <w:szCs w:val="28"/>
          <w:lang w:val="uk-UA"/>
        </w:rPr>
        <w:t>надходження зменшились</w:t>
      </w:r>
      <w:r w:rsidRPr="00F91804">
        <w:rPr>
          <w:sz w:val="28"/>
          <w:szCs w:val="28"/>
          <w:lang w:val="uk-UA"/>
        </w:rPr>
        <w:t xml:space="preserve"> на 1,7 млн.грн. або на 16,1%, що пов’язане зі зниженням перерахувань від підрозділів Головного управління Державної міграційної служби України у Запорізькій області на 2,5 млн.грн. або на 32,7% у зв’язку з падінням попиту населення щодо оформлення біометричних закордонних паспортів (якщо надходження у січні – березні 2018 року становили 7,6 млн.грн., то у поточному році – лише 5,1 млн.грн.). </w:t>
      </w:r>
    </w:p>
    <w:p w:rsidR="00F91804" w:rsidRPr="003359C2" w:rsidRDefault="00F91804" w:rsidP="001829A0">
      <w:pPr>
        <w:pStyle w:val="a4"/>
        <w:ind w:firstLine="540"/>
        <w:rPr>
          <w:szCs w:val="28"/>
        </w:rPr>
      </w:pPr>
      <w:r w:rsidRPr="003359C2">
        <w:rPr>
          <w:szCs w:val="28"/>
        </w:rPr>
        <w:t xml:space="preserve">Крім того, до бюджету надійшло податку на прибуток підприємств комунальної власності та частини чистого прибутку, що вилучається до </w:t>
      </w:r>
      <w:r w:rsidRPr="003359C2">
        <w:rPr>
          <w:szCs w:val="28"/>
        </w:rPr>
        <w:lastRenderedPageBreak/>
        <w:t>бюджету, в сумі 7,8 млн.грн. та 1,3 млн.грн. відповідно, орендної плати за користування майном комунальної власності – 4,8 млн.грн., плати за розміщення тимчасово вільних бюджетних коштів – 1,2 млн.грн., адміністративного збору за проведення державної реєстрації юридичних осіб, фізичних осіб – підприємств та громадських формувань – 0,8 млн.грн., адміністративного збору за державну реєстрацію речових прав на нерухоме майно та їх обтяжень – 0,4 млн.грн. та інших податків, зборів і обов’язкових платежів на загальну суму 3,8 млн.грн.</w:t>
      </w:r>
    </w:p>
    <w:p w:rsidR="00F91804" w:rsidRDefault="00F91804" w:rsidP="001829A0">
      <w:pPr>
        <w:pStyle w:val="2"/>
        <w:spacing w:after="0" w:line="240" w:lineRule="auto"/>
        <w:ind w:left="0" w:firstLine="540"/>
        <w:jc w:val="both"/>
        <w:rPr>
          <w:sz w:val="28"/>
          <w:szCs w:val="28"/>
          <w:lang w:val="uk-UA"/>
        </w:rPr>
      </w:pPr>
      <w:r w:rsidRPr="003359C2">
        <w:rPr>
          <w:sz w:val="28"/>
          <w:szCs w:val="28"/>
          <w:lang w:val="uk-UA"/>
        </w:rPr>
        <w:t>Доходи спеціального фонду в порівнянні з минулорічним показником збільшилися на 11,1 млн.грн. (на 15,6%), в тому числі по власних надходженнях бюджетних установ на 4,9 млн.грн., коштах від продажу землі - на 5,1 млн.грн., коштах пайової участі у розвитку інфраструктури міста - на 0,9 млн.грн. та екологічному податку - на 0,7 млн.грн.</w:t>
      </w:r>
    </w:p>
    <w:p w:rsidR="00CF2428" w:rsidRPr="00CF2428" w:rsidRDefault="00CF2428" w:rsidP="001829A0">
      <w:pPr>
        <w:pStyle w:val="2"/>
        <w:spacing w:after="0" w:line="240" w:lineRule="auto"/>
        <w:ind w:left="0" w:firstLine="540"/>
        <w:jc w:val="both"/>
        <w:rPr>
          <w:sz w:val="12"/>
          <w:szCs w:val="12"/>
          <w:lang w:val="uk-UA"/>
        </w:rPr>
      </w:pPr>
    </w:p>
    <w:p w:rsidR="00F91804" w:rsidRPr="003359C2" w:rsidRDefault="00F91804" w:rsidP="00F91804">
      <w:pPr>
        <w:pStyle w:val="2"/>
        <w:spacing w:after="0" w:line="264" w:lineRule="auto"/>
        <w:ind w:left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6153401" cy="3429000"/>
            <wp:effectExtent l="19050" t="0" r="0" b="0"/>
            <wp:docPr id="3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91804" w:rsidRPr="0048361D" w:rsidRDefault="00F91804" w:rsidP="001829A0">
      <w:pPr>
        <w:ind w:firstLine="539"/>
        <w:jc w:val="both"/>
        <w:rPr>
          <w:sz w:val="28"/>
          <w:szCs w:val="28"/>
          <w:lang w:val="uk-UA"/>
        </w:rPr>
      </w:pPr>
      <w:r w:rsidRPr="0048361D">
        <w:rPr>
          <w:sz w:val="28"/>
          <w:szCs w:val="28"/>
          <w:lang w:val="uk-UA"/>
        </w:rPr>
        <w:t xml:space="preserve">Обсяг доходів бюджету розвитку склав 11,4 млн.грн., в тому числі коштів від продажу землі – 7,1 млн.грн., пайової участі у розвитку інфраструктури міста – 2,4 млн.грн. та від відчуження майна, що перебуває у комунальній власності, - 1,9 млн.грн. </w:t>
      </w:r>
    </w:p>
    <w:p w:rsidR="00F91804" w:rsidRPr="00573262" w:rsidRDefault="00F91804" w:rsidP="00F91804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звітний період до</w:t>
      </w:r>
      <w:r w:rsidRPr="00573262">
        <w:rPr>
          <w:sz w:val="28"/>
          <w:szCs w:val="28"/>
          <w:lang w:val="uk-UA"/>
        </w:rPr>
        <w:t xml:space="preserve"> загальн</w:t>
      </w:r>
      <w:r>
        <w:rPr>
          <w:sz w:val="28"/>
          <w:szCs w:val="28"/>
          <w:lang w:val="uk-UA"/>
        </w:rPr>
        <w:t>ого</w:t>
      </w:r>
      <w:r w:rsidRPr="00573262">
        <w:rPr>
          <w:sz w:val="28"/>
          <w:szCs w:val="28"/>
          <w:lang w:val="uk-UA"/>
        </w:rPr>
        <w:t xml:space="preserve"> фонд</w:t>
      </w:r>
      <w:r>
        <w:rPr>
          <w:sz w:val="28"/>
          <w:szCs w:val="28"/>
          <w:lang w:val="uk-UA"/>
        </w:rPr>
        <w:t>у</w:t>
      </w:r>
      <w:r w:rsidRPr="00573262">
        <w:rPr>
          <w:sz w:val="28"/>
          <w:szCs w:val="28"/>
          <w:lang w:val="uk-UA"/>
        </w:rPr>
        <w:t xml:space="preserve"> бюджету міста </w:t>
      </w:r>
      <w:r>
        <w:rPr>
          <w:sz w:val="28"/>
          <w:szCs w:val="28"/>
          <w:lang w:val="uk-UA"/>
        </w:rPr>
        <w:t>надійшло</w:t>
      </w:r>
      <w:r w:rsidRPr="00573262">
        <w:rPr>
          <w:sz w:val="28"/>
          <w:szCs w:val="28"/>
          <w:lang w:val="uk-UA"/>
        </w:rPr>
        <w:t xml:space="preserve"> офіційних трансфертів на загальну суму </w:t>
      </w:r>
      <w:r>
        <w:rPr>
          <w:sz w:val="28"/>
          <w:szCs w:val="28"/>
          <w:lang w:val="uk-UA"/>
        </w:rPr>
        <w:t>732,</w:t>
      </w:r>
      <w:r w:rsidRPr="00682F87">
        <w:rPr>
          <w:sz w:val="28"/>
          <w:szCs w:val="28"/>
          <w:lang w:val="uk-UA"/>
        </w:rPr>
        <w:t>7 млн.грн.,</w:t>
      </w:r>
      <w:r w:rsidRPr="00573262">
        <w:rPr>
          <w:sz w:val="28"/>
          <w:szCs w:val="28"/>
          <w:lang w:val="uk-UA"/>
        </w:rPr>
        <w:t xml:space="preserve"> в тому числі:</w:t>
      </w:r>
    </w:p>
    <w:p w:rsidR="00F91804" w:rsidRPr="00573262" w:rsidRDefault="00F91804" w:rsidP="00F9180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субвенції з державного бюджету </w:t>
      </w:r>
      <w:r w:rsidRPr="00573262">
        <w:rPr>
          <w:sz w:val="28"/>
          <w:szCs w:val="28"/>
          <w:lang w:val="uk-UA"/>
        </w:rPr>
        <w:t>соціального характеру (надання державної допомоги сім’ям з дітьми, малозабезпеченим сім’ям, пільг</w:t>
      </w:r>
      <w:r>
        <w:rPr>
          <w:sz w:val="28"/>
          <w:szCs w:val="28"/>
          <w:lang w:val="uk-UA"/>
        </w:rPr>
        <w:t xml:space="preserve"> на оплату комунальних послуг та енергоносіїв</w:t>
      </w:r>
      <w:r w:rsidRPr="00573262">
        <w:rPr>
          <w:sz w:val="28"/>
          <w:szCs w:val="28"/>
          <w:lang w:val="uk-UA"/>
        </w:rPr>
        <w:t xml:space="preserve">, житлових субсидій) – </w:t>
      </w:r>
      <w:r>
        <w:rPr>
          <w:sz w:val="28"/>
          <w:szCs w:val="28"/>
          <w:lang w:val="uk-UA"/>
        </w:rPr>
        <w:t>381,7</w:t>
      </w:r>
      <w:r w:rsidRPr="00573262">
        <w:rPr>
          <w:sz w:val="28"/>
          <w:szCs w:val="28"/>
          <w:lang w:val="uk-UA"/>
        </w:rPr>
        <w:t> млн.грн.;</w:t>
      </w:r>
    </w:p>
    <w:p w:rsidR="00F91804" w:rsidRPr="00573262" w:rsidRDefault="00F91804" w:rsidP="00F9180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освітн</w:t>
      </w:r>
      <w:r>
        <w:rPr>
          <w:sz w:val="28"/>
          <w:szCs w:val="28"/>
          <w:lang w:val="uk-UA"/>
        </w:rPr>
        <w:t xml:space="preserve">ьої </w:t>
      </w:r>
      <w:r w:rsidRPr="00573262">
        <w:rPr>
          <w:sz w:val="28"/>
          <w:szCs w:val="28"/>
          <w:lang w:val="uk-UA"/>
        </w:rPr>
        <w:t>субвенці</w:t>
      </w:r>
      <w:r>
        <w:rPr>
          <w:sz w:val="28"/>
          <w:szCs w:val="28"/>
          <w:lang w:val="uk-UA"/>
        </w:rPr>
        <w:t xml:space="preserve">ї </w:t>
      </w:r>
      <w:r w:rsidRPr="00573262">
        <w:rPr>
          <w:sz w:val="28"/>
          <w:szCs w:val="28"/>
          <w:lang w:val="uk-UA"/>
        </w:rPr>
        <w:t>– 17</w:t>
      </w:r>
      <w:r>
        <w:rPr>
          <w:sz w:val="28"/>
          <w:szCs w:val="28"/>
          <w:lang w:val="uk-UA"/>
        </w:rPr>
        <w:t>8</w:t>
      </w:r>
      <w:r w:rsidRPr="00573262">
        <w:rPr>
          <w:sz w:val="28"/>
          <w:szCs w:val="28"/>
          <w:lang w:val="uk-UA"/>
        </w:rPr>
        <w:t>,6 млн.грн.;</w:t>
      </w:r>
    </w:p>
    <w:p w:rsidR="00F91804" w:rsidRPr="00573262" w:rsidRDefault="00F91804" w:rsidP="00F9180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573262">
        <w:rPr>
          <w:sz w:val="28"/>
          <w:szCs w:val="28"/>
          <w:lang w:val="uk-UA"/>
        </w:rPr>
        <w:t>медичн</w:t>
      </w:r>
      <w:r>
        <w:rPr>
          <w:sz w:val="28"/>
          <w:szCs w:val="28"/>
          <w:lang w:val="uk-UA"/>
        </w:rPr>
        <w:t>ої</w:t>
      </w:r>
      <w:r w:rsidRPr="00573262">
        <w:rPr>
          <w:sz w:val="28"/>
          <w:szCs w:val="28"/>
          <w:lang w:val="uk-UA"/>
        </w:rPr>
        <w:t xml:space="preserve"> субвенці</w:t>
      </w:r>
      <w:r>
        <w:rPr>
          <w:sz w:val="28"/>
          <w:szCs w:val="28"/>
          <w:lang w:val="uk-UA"/>
        </w:rPr>
        <w:t>ї</w:t>
      </w:r>
      <w:r w:rsidRPr="00573262">
        <w:rPr>
          <w:sz w:val="28"/>
          <w:szCs w:val="28"/>
          <w:lang w:val="uk-UA"/>
        </w:rPr>
        <w:t xml:space="preserve"> – 1</w:t>
      </w:r>
      <w:r>
        <w:rPr>
          <w:sz w:val="28"/>
          <w:szCs w:val="28"/>
          <w:lang w:val="uk-UA"/>
        </w:rPr>
        <w:t>38</w:t>
      </w:r>
      <w:r w:rsidRPr="00573262">
        <w:rPr>
          <w:sz w:val="28"/>
          <w:szCs w:val="28"/>
          <w:lang w:val="uk-UA"/>
        </w:rPr>
        <w:t>,0 млн.грн.;</w:t>
      </w:r>
    </w:p>
    <w:p w:rsidR="00F91804" w:rsidRDefault="00F91804" w:rsidP="00F9180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субвенцій та дотації </w:t>
      </w:r>
      <w:r w:rsidRPr="00B75A0B">
        <w:rPr>
          <w:sz w:val="28"/>
          <w:szCs w:val="28"/>
          <w:lang w:val="uk-UA"/>
        </w:rPr>
        <w:t xml:space="preserve">на виконання окремих заходів та державних програм у сфері освіти та охорони здоров’я – </w:t>
      </w:r>
      <w:r>
        <w:rPr>
          <w:sz w:val="28"/>
          <w:szCs w:val="28"/>
          <w:lang w:val="uk-UA"/>
        </w:rPr>
        <w:t>25,7</w:t>
      </w:r>
      <w:r w:rsidRPr="00B75A0B">
        <w:rPr>
          <w:sz w:val="28"/>
          <w:szCs w:val="28"/>
          <w:lang w:val="uk-UA"/>
        </w:rPr>
        <w:t> млн.грн.</w:t>
      </w:r>
      <w:r>
        <w:rPr>
          <w:sz w:val="28"/>
          <w:szCs w:val="28"/>
          <w:lang w:val="uk-UA"/>
        </w:rPr>
        <w:t>;</w:t>
      </w:r>
    </w:p>
    <w:p w:rsidR="00F91804" w:rsidRPr="00B75A0B" w:rsidRDefault="00F91804" w:rsidP="00F91804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субвенції на здійснення заходів щодо соціально-економічного розвитку окремих територій – 5,8 млн.грн.;</w:t>
      </w:r>
    </w:p>
    <w:p w:rsidR="00B75A0B" w:rsidRPr="0048361D" w:rsidRDefault="00F91804" w:rsidP="0048361D">
      <w:pPr>
        <w:pStyle w:val="2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додаткової </w:t>
      </w:r>
      <w:r w:rsidRPr="00573262">
        <w:rPr>
          <w:sz w:val="28"/>
          <w:szCs w:val="28"/>
          <w:lang w:val="uk-UA"/>
        </w:rPr>
        <w:t>дотаці</w:t>
      </w:r>
      <w:r>
        <w:rPr>
          <w:sz w:val="28"/>
          <w:szCs w:val="28"/>
          <w:lang w:val="uk-UA"/>
        </w:rPr>
        <w:t>ї</w:t>
      </w:r>
      <w:r w:rsidRPr="00573262">
        <w:rPr>
          <w:sz w:val="28"/>
          <w:szCs w:val="28"/>
          <w:lang w:val="uk-UA"/>
        </w:rPr>
        <w:t xml:space="preserve"> на компенсацію втрат доходів місцевих бюджетів внаслідок наданих державою податкових пільг зі сплати земельного податку суб’єктам </w:t>
      </w:r>
      <w:r>
        <w:rPr>
          <w:sz w:val="28"/>
          <w:szCs w:val="28"/>
          <w:lang w:val="uk-UA"/>
        </w:rPr>
        <w:t xml:space="preserve">космічної діяльності та </w:t>
      </w:r>
      <w:r w:rsidRPr="00573262">
        <w:rPr>
          <w:sz w:val="28"/>
          <w:szCs w:val="28"/>
          <w:lang w:val="uk-UA"/>
        </w:rPr>
        <w:t xml:space="preserve">літакобудування – </w:t>
      </w:r>
      <w:r>
        <w:rPr>
          <w:sz w:val="28"/>
          <w:szCs w:val="28"/>
          <w:lang w:val="uk-UA"/>
        </w:rPr>
        <w:t>2,9 млн.грн.</w:t>
      </w:r>
    </w:p>
    <w:p w:rsidR="00057BFF" w:rsidRDefault="00057BFF" w:rsidP="00555DCF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48361D" w:rsidRDefault="00612A5A" w:rsidP="00555DCF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Видатки бюджету </w:t>
      </w:r>
      <w:r w:rsidR="00B75A0B">
        <w:rPr>
          <w:rFonts w:eastAsia="Calibri"/>
          <w:sz w:val="28"/>
          <w:szCs w:val="28"/>
          <w:lang w:val="uk-UA"/>
        </w:rPr>
        <w:t>міста проведені</w:t>
      </w:r>
      <w:r w:rsidR="00F37068">
        <w:rPr>
          <w:rFonts w:eastAsia="Calibri"/>
          <w:sz w:val="28"/>
          <w:szCs w:val="28"/>
          <w:lang w:val="uk-UA"/>
        </w:rPr>
        <w:t xml:space="preserve"> в обсязі </w:t>
      </w:r>
      <w:r w:rsidR="00D858A9">
        <w:rPr>
          <w:rFonts w:eastAsia="Calibri"/>
          <w:sz w:val="28"/>
          <w:szCs w:val="28"/>
          <w:lang w:val="uk-UA"/>
        </w:rPr>
        <w:t>1</w:t>
      </w:r>
      <w:r w:rsidR="00B75A0B">
        <w:rPr>
          <w:rFonts w:eastAsia="Calibri"/>
          <w:sz w:val="28"/>
          <w:szCs w:val="28"/>
          <w:lang w:val="uk-UA"/>
        </w:rPr>
        <w:t> </w:t>
      </w:r>
      <w:r w:rsidR="00D858A9">
        <w:rPr>
          <w:rFonts w:eastAsia="Calibri"/>
          <w:sz w:val="28"/>
          <w:szCs w:val="28"/>
          <w:lang w:val="uk-UA"/>
        </w:rPr>
        <w:t>972</w:t>
      </w:r>
      <w:r w:rsidR="00F37068" w:rsidRPr="00F37068">
        <w:rPr>
          <w:rFonts w:eastAsia="Calibri"/>
          <w:sz w:val="28"/>
          <w:szCs w:val="28"/>
          <w:lang w:val="uk-UA"/>
        </w:rPr>
        <w:t>,</w:t>
      </w:r>
      <w:r w:rsidR="00D858A9">
        <w:rPr>
          <w:rFonts w:eastAsia="Calibri"/>
          <w:sz w:val="28"/>
          <w:szCs w:val="28"/>
          <w:lang w:val="uk-UA"/>
        </w:rPr>
        <w:t>4</w:t>
      </w:r>
      <w:r w:rsidR="00B75A0B">
        <w:rPr>
          <w:rFonts w:eastAsia="Calibri"/>
          <w:sz w:val="28"/>
          <w:szCs w:val="28"/>
          <w:lang w:val="uk-UA"/>
        </w:rPr>
        <w:t> </w:t>
      </w:r>
      <w:r w:rsidRPr="00497120">
        <w:rPr>
          <w:rFonts w:eastAsia="Calibri"/>
          <w:sz w:val="28"/>
          <w:szCs w:val="28"/>
          <w:lang w:val="uk-UA"/>
        </w:rPr>
        <w:t>млн.грн., в тому чис</w:t>
      </w:r>
      <w:r w:rsidR="00F37068">
        <w:rPr>
          <w:rFonts w:eastAsia="Calibri"/>
          <w:sz w:val="28"/>
          <w:szCs w:val="28"/>
          <w:lang w:val="uk-UA"/>
        </w:rPr>
        <w:t xml:space="preserve">лі </w:t>
      </w:r>
      <w:r w:rsidR="00B75A0B" w:rsidRPr="001C445E">
        <w:rPr>
          <w:sz w:val="28"/>
          <w:szCs w:val="28"/>
          <w:lang w:val="uk-UA"/>
        </w:rPr>
        <w:t>за</w:t>
      </w:r>
      <w:r w:rsidR="00F37068" w:rsidRPr="001C445E">
        <w:rPr>
          <w:sz w:val="28"/>
          <w:szCs w:val="28"/>
          <w:lang w:val="uk-UA"/>
        </w:rPr>
        <w:t xml:space="preserve"> загальн</w:t>
      </w:r>
      <w:r w:rsidR="00B75A0B" w:rsidRPr="001C445E">
        <w:rPr>
          <w:sz w:val="28"/>
          <w:szCs w:val="28"/>
          <w:lang w:val="uk-UA"/>
        </w:rPr>
        <w:t>и</w:t>
      </w:r>
      <w:r w:rsidR="00F37068" w:rsidRPr="001C445E">
        <w:rPr>
          <w:sz w:val="28"/>
          <w:szCs w:val="28"/>
          <w:lang w:val="uk-UA"/>
        </w:rPr>
        <w:t>м фонд</w:t>
      </w:r>
      <w:r w:rsidR="00B75A0B" w:rsidRPr="001C445E">
        <w:rPr>
          <w:sz w:val="28"/>
          <w:szCs w:val="28"/>
          <w:lang w:val="uk-UA"/>
        </w:rPr>
        <w:t>ом</w:t>
      </w:r>
      <w:r w:rsidR="00F37068" w:rsidRPr="001C445E">
        <w:rPr>
          <w:sz w:val="28"/>
          <w:szCs w:val="28"/>
          <w:lang w:val="uk-UA"/>
        </w:rPr>
        <w:t xml:space="preserve"> – 1 </w:t>
      </w:r>
      <w:r w:rsidR="00D858A9" w:rsidRPr="001C445E">
        <w:rPr>
          <w:sz w:val="28"/>
          <w:szCs w:val="28"/>
          <w:lang w:val="uk-UA"/>
        </w:rPr>
        <w:t>849</w:t>
      </w:r>
      <w:r w:rsidR="00F37068" w:rsidRPr="001C445E">
        <w:rPr>
          <w:sz w:val="28"/>
          <w:szCs w:val="28"/>
          <w:lang w:val="uk-UA"/>
        </w:rPr>
        <w:t>,</w:t>
      </w:r>
      <w:r w:rsidR="00D858A9" w:rsidRPr="001C445E">
        <w:rPr>
          <w:sz w:val="28"/>
          <w:szCs w:val="28"/>
          <w:lang w:val="uk-UA"/>
        </w:rPr>
        <w:t>5</w:t>
      </w:r>
      <w:r w:rsidR="00F37068" w:rsidRPr="001C445E">
        <w:rPr>
          <w:sz w:val="28"/>
          <w:szCs w:val="28"/>
          <w:lang w:val="uk-UA"/>
        </w:rPr>
        <w:t> млн.грн. або 9</w:t>
      </w:r>
      <w:r w:rsidR="00D858A9" w:rsidRPr="001C445E">
        <w:rPr>
          <w:sz w:val="28"/>
          <w:szCs w:val="28"/>
          <w:lang w:val="uk-UA"/>
        </w:rPr>
        <w:t>0</w:t>
      </w:r>
      <w:r w:rsidR="00F37068" w:rsidRPr="001C445E">
        <w:rPr>
          <w:sz w:val="28"/>
          <w:szCs w:val="28"/>
          <w:lang w:val="uk-UA"/>
        </w:rPr>
        <w:t>,</w:t>
      </w:r>
      <w:r w:rsidR="00D858A9" w:rsidRPr="001C445E">
        <w:rPr>
          <w:sz w:val="28"/>
          <w:szCs w:val="28"/>
          <w:lang w:val="uk-UA"/>
        </w:rPr>
        <w:t>3</w:t>
      </w:r>
      <w:r w:rsidRPr="001C445E">
        <w:rPr>
          <w:sz w:val="28"/>
          <w:szCs w:val="28"/>
          <w:lang w:val="uk-UA"/>
        </w:rPr>
        <w:t>% планових показників на відповідний періо</w:t>
      </w:r>
      <w:r w:rsidR="00F37068" w:rsidRPr="001C445E">
        <w:rPr>
          <w:sz w:val="28"/>
          <w:szCs w:val="28"/>
          <w:lang w:val="uk-UA"/>
        </w:rPr>
        <w:t xml:space="preserve">д, </w:t>
      </w:r>
      <w:r w:rsidR="00B75A0B" w:rsidRPr="001C445E">
        <w:rPr>
          <w:sz w:val="28"/>
          <w:szCs w:val="28"/>
          <w:lang w:val="uk-UA"/>
        </w:rPr>
        <w:t>за</w:t>
      </w:r>
      <w:r w:rsidR="00F37068" w:rsidRPr="001C445E">
        <w:rPr>
          <w:sz w:val="28"/>
          <w:szCs w:val="28"/>
          <w:lang w:val="uk-UA"/>
        </w:rPr>
        <w:t xml:space="preserve"> спеціальн</w:t>
      </w:r>
      <w:r w:rsidR="00B75A0B" w:rsidRPr="001C445E">
        <w:rPr>
          <w:sz w:val="28"/>
          <w:szCs w:val="28"/>
          <w:lang w:val="uk-UA"/>
        </w:rPr>
        <w:t>им</w:t>
      </w:r>
      <w:r w:rsidR="00F37068" w:rsidRPr="001C445E">
        <w:rPr>
          <w:sz w:val="28"/>
          <w:szCs w:val="28"/>
          <w:lang w:val="uk-UA"/>
        </w:rPr>
        <w:t xml:space="preserve"> фонд</w:t>
      </w:r>
      <w:r w:rsidR="00B75A0B" w:rsidRPr="001C445E">
        <w:rPr>
          <w:sz w:val="28"/>
          <w:szCs w:val="28"/>
          <w:lang w:val="uk-UA"/>
        </w:rPr>
        <w:t>ом</w:t>
      </w:r>
      <w:r w:rsidR="00F37068" w:rsidRPr="001C445E">
        <w:rPr>
          <w:sz w:val="28"/>
          <w:szCs w:val="28"/>
          <w:lang w:val="uk-UA"/>
        </w:rPr>
        <w:t xml:space="preserve"> – 1</w:t>
      </w:r>
      <w:r w:rsidR="00D858A9" w:rsidRPr="001C445E">
        <w:rPr>
          <w:sz w:val="28"/>
          <w:szCs w:val="28"/>
          <w:lang w:val="uk-UA"/>
        </w:rPr>
        <w:t>22</w:t>
      </w:r>
      <w:r w:rsidR="00F37068" w:rsidRPr="001C445E">
        <w:rPr>
          <w:sz w:val="28"/>
          <w:szCs w:val="28"/>
          <w:lang w:val="uk-UA"/>
        </w:rPr>
        <w:t>,</w:t>
      </w:r>
      <w:r w:rsidR="00D858A9" w:rsidRPr="001C445E">
        <w:rPr>
          <w:sz w:val="28"/>
          <w:szCs w:val="28"/>
          <w:lang w:val="uk-UA"/>
        </w:rPr>
        <w:t>9</w:t>
      </w:r>
      <w:r w:rsidRPr="001C445E">
        <w:rPr>
          <w:sz w:val="28"/>
          <w:szCs w:val="28"/>
          <w:lang w:val="uk-UA"/>
        </w:rPr>
        <w:t xml:space="preserve"> млн.грн., з яких </w:t>
      </w:r>
      <w:r w:rsidR="00F37068" w:rsidRPr="001C445E">
        <w:rPr>
          <w:sz w:val="28"/>
          <w:szCs w:val="28"/>
          <w:lang w:val="uk-UA"/>
        </w:rPr>
        <w:t>видатки бюджету розвитку</w:t>
      </w:r>
      <w:r w:rsidR="00F37068">
        <w:rPr>
          <w:rFonts w:eastAsia="Calibri"/>
          <w:sz w:val="28"/>
          <w:szCs w:val="28"/>
          <w:lang w:val="uk-UA"/>
        </w:rPr>
        <w:t xml:space="preserve"> – </w:t>
      </w:r>
      <w:r w:rsidR="00D858A9">
        <w:rPr>
          <w:rFonts w:eastAsia="Calibri"/>
          <w:sz w:val="28"/>
          <w:szCs w:val="28"/>
          <w:lang w:val="uk-UA"/>
        </w:rPr>
        <w:t>61</w:t>
      </w:r>
      <w:r w:rsidR="00F37068">
        <w:rPr>
          <w:rFonts w:eastAsia="Calibri"/>
          <w:sz w:val="28"/>
          <w:szCs w:val="28"/>
          <w:lang w:val="uk-UA"/>
        </w:rPr>
        <w:t>,</w:t>
      </w:r>
      <w:r w:rsidR="00D858A9">
        <w:rPr>
          <w:rFonts w:eastAsia="Calibri"/>
          <w:sz w:val="28"/>
          <w:szCs w:val="28"/>
          <w:lang w:val="uk-UA"/>
        </w:rPr>
        <w:t>1</w:t>
      </w:r>
      <w:r w:rsidR="00F37068">
        <w:rPr>
          <w:rFonts w:eastAsia="Calibri"/>
          <w:sz w:val="28"/>
          <w:szCs w:val="28"/>
          <w:lang w:val="uk-UA"/>
        </w:rPr>
        <w:t xml:space="preserve"> млн.грн., що становить </w:t>
      </w:r>
      <w:r w:rsidR="00D858A9">
        <w:rPr>
          <w:rFonts w:eastAsia="Calibri"/>
          <w:sz w:val="28"/>
          <w:szCs w:val="28"/>
          <w:lang w:val="uk-UA"/>
        </w:rPr>
        <w:t>50</w:t>
      </w:r>
      <w:r w:rsidR="00F37068">
        <w:rPr>
          <w:rFonts w:eastAsia="Calibri"/>
          <w:sz w:val="28"/>
          <w:szCs w:val="28"/>
          <w:lang w:val="uk-UA"/>
        </w:rPr>
        <w:t>,</w:t>
      </w:r>
      <w:r w:rsidR="00D858A9">
        <w:rPr>
          <w:rFonts w:eastAsia="Calibri"/>
          <w:sz w:val="28"/>
          <w:szCs w:val="28"/>
          <w:lang w:val="uk-UA"/>
        </w:rPr>
        <w:t>3</w:t>
      </w:r>
      <w:r w:rsidRPr="00497120">
        <w:rPr>
          <w:rFonts w:eastAsia="Calibri"/>
          <w:sz w:val="28"/>
          <w:szCs w:val="28"/>
          <w:lang w:val="uk-UA"/>
        </w:rPr>
        <w:t>% планових показників на відповідний період. До державного бюджету перерахован</w:t>
      </w:r>
      <w:r w:rsidR="00F37068">
        <w:rPr>
          <w:rFonts w:eastAsia="Calibri"/>
          <w:sz w:val="28"/>
          <w:szCs w:val="28"/>
          <w:lang w:val="uk-UA"/>
        </w:rPr>
        <w:t xml:space="preserve">о реверсної дотації в сумі </w:t>
      </w:r>
      <w:r w:rsidR="00447DF7">
        <w:rPr>
          <w:rFonts w:eastAsia="Calibri"/>
          <w:sz w:val="28"/>
          <w:szCs w:val="28"/>
          <w:lang w:val="uk-UA"/>
        </w:rPr>
        <w:t>93</w:t>
      </w:r>
      <w:r w:rsidR="00F37068">
        <w:rPr>
          <w:rFonts w:eastAsia="Calibri"/>
          <w:sz w:val="28"/>
          <w:szCs w:val="28"/>
          <w:lang w:val="uk-UA"/>
        </w:rPr>
        <w:t>,8</w:t>
      </w:r>
      <w:r w:rsidRPr="00497120">
        <w:rPr>
          <w:rFonts w:eastAsia="Calibri"/>
          <w:sz w:val="28"/>
          <w:szCs w:val="28"/>
          <w:lang w:val="uk-UA"/>
        </w:rPr>
        <w:t> млн.грн., що дорівнює плановим показникам.</w:t>
      </w:r>
    </w:p>
    <w:p w:rsidR="00612A5A" w:rsidRDefault="00904452" w:rsidP="00612A5A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Майже</w:t>
      </w:r>
      <w:r w:rsidR="00872DD0">
        <w:rPr>
          <w:rFonts w:eastAsia="Calibri"/>
          <w:sz w:val="28"/>
          <w:szCs w:val="28"/>
          <w:lang w:val="uk-UA"/>
        </w:rPr>
        <w:t xml:space="preserve"> </w:t>
      </w:r>
      <w:r w:rsidRPr="00904452">
        <w:rPr>
          <w:rFonts w:eastAsia="Calibri"/>
          <w:sz w:val="28"/>
          <w:szCs w:val="28"/>
          <w:lang w:val="uk-UA"/>
        </w:rPr>
        <w:t>7</w:t>
      </w:r>
      <w:r>
        <w:rPr>
          <w:rFonts w:eastAsia="Calibri"/>
          <w:sz w:val="28"/>
          <w:szCs w:val="28"/>
          <w:lang w:val="uk-UA"/>
        </w:rPr>
        <w:t>5</w:t>
      </w:r>
      <w:r w:rsidR="00612A5A" w:rsidRPr="00904452">
        <w:rPr>
          <w:rFonts w:eastAsia="Calibri"/>
          <w:sz w:val="28"/>
          <w:szCs w:val="28"/>
          <w:lang w:val="uk-UA"/>
        </w:rPr>
        <w:t>,0%</w:t>
      </w:r>
      <w:r w:rsidR="00612A5A" w:rsidRPr="00497120">
        <w:rPr>
          <w:rFonts w:eastAsia="Calibri"/>
          <w:sz w:val="28"/>
          <w:szCs w:val="28"/>
          <w:lang w:val="uk-UA"/>
        </w:rPr>
        <w:t xml:space="preserve"> загального обсягу витрат склали захищені статті видатків, на які спрямовано </w:t>
      </w:r>
      <w:r w:rsidR="00872DD0">
        <w:rPr>
          <w:rFonts w:eastAsia="Calibri"/>
          <w:sz w:val="28"/>
          <w:szCs w:val="28"/>
          <w:lang w:val="uk-UA"/>
        </w:rPr>
        <w:t>1 </w:t>
      </w:r>
      <w:r w:rsidR="007A1574">
        <w:rPr>
          <w:rFonts w:eastAsia="Calibri"/>
          <w:sz w:val="28"/>
          <w:szCs w:val="28"/>
          <w:lang w:val="uk-UA"/>
        </w:rPr>
        <w:t>473</w:t>
      </w:r>
      <w:r w:rsidR="00872DD0">
        <w:rPr>
          <w:rFonts w:eastAsia="Calibri"/>
          <w:sz w:val="28"/>
          <w:szCs w:val="28"/>
          <w:lang w:val="uk-UA"/>
        </w:rPr>
        <w:t>,</w:t>
      </w:r>
      <w:r w:rsidR="007A1574">
        <w:rPr>
          <w:rFonts w:eastAsia="Calibri"/>
          <w:sz w:val="28"/>
          <w:szCs w:val="28"/>
          <w:lang w:val="uk-UA"/>
        </w:rPr>
        <w:t>7</w:t>
      </w:r>
      <w:r w:rsidR="00612A5A" w:rsidRPr="00497120">
        <w:rPr>
          <w:rFonts w:eastAsia="Calibri"/>
          <w:sz w:val="28"/>
          <w:szCs w:val="28"/>
          <w:lang w:val="uk-UA"/>
        </w:rPr>
        <w:t> млн.грн. Виплата заробітної плати здійснювалась своєчасно та в повному обсязі, заборгованість перед працівниками бюджетних установ відсутня.</w:t>
      </w:r>
    </w:p>
    <w:p w:rsidR="00CF2428" w:rsidRPr="00CF2428" w:rsidRDefault="00CF2428" w:rsidP="00612A5A">
      <w:pPr>
        <w:ind w:firstLine="708"/>
        <w:jc w:val="both"/>
        <w:rPr>
          <w:rFonts w:eastAsia="Calibri"/>
          <w:sz w:val="12"/>
          <w:szCs w:val="12"/>
          <w:lang w:val="uk-UA"/>
        </w:rPr>
      </w:pPr>
    </w:p>
    <w:p w:rsidR="00612A5A" w:rsidRPr="00057BFF" w:rsidRDefault="00612A5A" w:rsidP="00612A5A">
      <w:pPr>
        <w:ind w:firstLine="709"/>
        <w:jc w:val="center"/>
        <w:rPr>
          <w:b/>
          <w:sz w:val="26"/>
          <w:szCs w:val="26"/>
          <w:lang w:val="uk-UA"/>
        </w:rPr>
      </w:pPr>
      <w:r w:rsidRPr="00057BFF">
        <w:rPr>
          <w:b/>
          <w:sz w:val="26"/>
          <w:szCs w:val="26"/>
          <w:lang w:val="uk-UA"/>
        </w:rPr>
        <w:t xml:space="preserve">Структура видатків бюджету міста за функціональною ознакою </w:t>
      </w:r>
    </w:p>
    <w:p w:rsidR="00612A5A" w:rsidRPr="00057BFF" w:rsidRDefault="00612A5A" w:rsidP="00612A5A">
      <w:pPr>
        <w:ind w:firstLine="709"/>
        <w:jc w:val="center"/>
        <w:rPr>
          <w:b/>
          <w:sz w:val="26"/>
          <w:szCs w:val="26"/>
          <w:lang w:val="uk-UA"/>
        </w:rPr>
      </w:pPr>
      <w:r w:rsidRPr="00057BFF">
        <w:rPr>
          <w:b/>
          <w:sz w:val="26"/>
          <w:szCs w:val="26"/>
          <w:lang w:val="uk-UA"/>
        </w:rPr>
        <w:t xml:space="preserve">за І </w:t>
      </w:r>
      <w:r w:rsidR="00872DD0" w:rsidRPr="00057BFF">
        <w:rPr>
          <w:b/>
          <w:sz w:val="26"/>
          <w:szCs w:val="26"/>
          <w:lang w:val="uk-UA"/>
        </w:rPr>
        <w:t>квартал 201</w:t>
      </w:r>
      <w:r w:rsidR="007A1574" w:rsidRPr="00057BFF">
        <w:rPr>
          <w:b/>
          <w:sz w:val="26"/>
          <w:szCs w:val="26"/>
          <w:lang w:val="uk-UA"/>
        </w:rPr>
        <w:t>9</w:t>
      </w:r>
      <w:r w:rsidRPr="00057BFF">
        <w:rPr>
          <w:b/>
          <w:sz w:val="26"/>
          <w:szCs w:val="26"/>
          <w:lang w:val="uk-UA"/>
        </w:rPr>
        <w:t xml:space="preserve"> року</w:t>
      </w:r>
    </w:p>
    <w:p w:rsidR="00C901DE" w:rsidRPr="00C901DE" w:rsidRDefault="00C901DE" w:rsidP="00612A5A">
      <w:pPr>
        <w:ind w:firstLine="709"/>
        <w:jc w:val="center"/>
        <w:rPr>
          <w:b/>
          <w:i/>
          <w:sz w:val="16"/>
          <w:szCs w:val="16"/>
          <w:lang w:val="uk-UA"/>
        </w:rPr>
      </w:pPr>
    </w:p>
    <w:p w:rsidR="00C901DE" w:rsidRPr="0071315B" w:rsidRDefault="007A1574" w:rsidP="00C901DE">
      <w:pPr>
        <w:jc w:val="center"/>
        <w:rPr>
          <w:b/>
          <w:i/>
          <w:sz w:val="26"/>
          <w:szCs w:val="26"/>
          <w:lang w:val="uk-UA"/>
        </w:rPr>
      </w:pPr>
      <w:r w:rsidRPr="007A1574">
        <w:rPr>
          <w:b/>
          <w:i/>
          <w:noProof/>
          <w:sz w:val="26"/>
          <w:szCs w:val="26"/>
        </w:rPr>
        <w:drawing>
          <wp:inline distT="0" distB="0" distL="0" distR="0">
            <wp:extent cx="5905500" cy="3041650"/>
            <wp:effectExtent l="57150" t="1905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3A60" w:rsidRDefault="00D33A60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12A5A" w:rsidRPr="00497120" w:rsidRDefault="00612A5A" w:rsidP="00612A5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Видатки проведені за наступними основними напрямками:</w:t>
      </w:r>
    </w:p>
    <w:p w:rsidR="00612A5A" w:rsidRDefault="00612A5A" w:rsidP="00612A5A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 xml:space="preserve">На реалізацію державних та міських програм соціального </w:t>
      </w:r>
      <w:r w:rsidR="003202A3">
        <w:rPr>
          <w:rFonts w:eastAsia="Calibri"/>
          <w:sz w:val="28"/>
          <w:szCs w:val="28"/>
          <w:lang w:val="uk-UA"/>
        </w:rPr>
        <w:t xml:space="preserve">захисту витрачено </w:t>
      </w:r>
      <w:r w:rsidR="009F652D">
        <w:rPr>
          <w:rFonts w:eastAsia="Calibri"/>
          <w:sz w:val="28"/>
          <w:szCs w:val="28"/>
          <w:lang w:val="uk-UA"/>
        </w:rPr>
        <w:t>401</w:t>
      </w:r>
      <w:r w:rsidR="003202A3">
        <w:rPr>
          <w:rFonts w:eastAsia="Calibri"/>
          <w:sz w:val="28"/>
          <w:szCs w:val="28"/>
          <w:lang w:val="uk-UA"/>
        </w:rPr>
        <w:t>,</w:t>
      </w:r>
      <w:r w:rsidR="009F652D">
        <w:rPr>
          <w:rFonts w:eastAsia="Calibri"/>
          <w:sz w:val="28"/>
          <w:szCs w:val="28"/>
          <w:lang w:val="uk-UA"/>
        </w:rPr>
        <w:t>5</w:t>
      </w:r>
      <w:r w:rsidR="00872DD0">
        <w:rPr>
          <w:rFonts w:eastAsia="Calibri"/>
          <w:sz w:val="28"/>
          <w:szCs w:val="28"/>
          <w:lang w:val="uk-UA"/>
        </w:rPr>
        <w:t xml:space="preserve"> млн.грн. або </w:t>
      </w:r>
      <w:r w:rsidR="009F652D">
        <w:rPr>
          <w:rFonts w:eastAsia="Calibri"/>
          <w:sz w:val="28"/>
          <w:szCs w:val="28"/>
          <w:lang w:val="uk-UA"/>
        </w:rPr>
        <w:t>84,1</w:t>
      </w:r>
      <w:r w:rsidRPr="00497120">
        <w:rPr>
          <w:rFonts w:eastAsia="Calibri"/>
          <w:sz w:val="28"/>
          <w:szCs w:val="28"/>
          <w:lang w:val="uk-UA"/>
        </w:rPr>
        <w:t>% до плану на звітний період, з яких за рахунок відповідних субвен</w:t>
      </w:r>
      <w:r w:rsidR="00872DD0">
        <w:rPr>
          <w:rFonts w:eastAsia="Calibri"/>
          <w:sz w:val="28"/>
          <w:szCs w:val="28"/>
          <w:lang w:val="uk-UA"/>
        </w:rPr>
        <w:t xml:space="preserve">цій з державного бюджету – </w:t>
      </w:r>
      <w:r w:rsidR="009F652D">
        <w:rPr>
          <w:rFonts w:eastAsia="Calibri"/>
          <w:sz w:val="28"/>
          <w:szCs w:val="28"/>
          <w:lang w:val="uk-UA"/>
        </w:rPr>
        <w:t>381</w:t>
      </w:r>
      <w:r w:rsidR="00872DD0">
        <w:rPr>
          <w:rFonts w:eastAsia="Calibri"/>
          <w:sz w:val="28"/>
          <w:szCs w:val="28"/>
          <w:lang w:val="uk-UA"/>
        </w:rPr>
        <w:t>,</w:t>
      </w:r>
      <w:r w:rsidR="009F652D">
        <w:rPr>
          <w:rFonts w:eastAsia="Calibri"/>
          <w:sz w:val="28"/>
          <w:szCs w:val="28"/>
          <w:lang w:val="uk-UA"/>
        </w:rPr>
        <w:t>7</w:t>
      </w:r>
      <w:r w:rsidRPr="00497120">
        <w:rPr>
          <w:rFonts w:eastAsia="Calibri"/>
          <w:sz w:val="28"/>
          <w:szCs w:val="28"/>
          <w:lang w:val="uk-UA"/>
        </w:rPr>
        <w:t> млн.грн.</w:t>
      </w:r>
    </w:p>
    <w:p w:rsidR="00612A5A" w:rsidRPr="00497120" w:rsidRDefault="00612A5A" w:rsidP="009933ED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497120">
        <w:rPr>
          <w:rFonts w:eastAsia="Calibri"/>
          <w:sz w:val="28"/>
          <w:szCs w:val="28"/>
          <w:lang w:val="uk-UA"/>
        </w:rPr>
        <w:t>Кошти субвенцій спрямовані на надання допомоги сім’ям з дітьми, малозабезпеченим сім’ям, інвалідам з дитинства, дітям-інвалідам, тимчасової держа</w:t>
      </w:r>
      <w:r w:rsidR="00872DD0">
        <w:rPr>
          <w:rFonts w:eastAsia="Calibri"/>
          <w:sz w:val="28"/>
          <w:szCs w:val="28"/>
          <w:lang w:val="uk-UA"/>
        </w:rPr>
        <w:t xml:space="preserve">вної допомоги дітям у сумі </w:t>
      </w:r>
      <w:r w:rsidR="009933ED">
        <w:rPr>
          <w:rFonts w:eastAsia="Calibri"/>
          <w:sz w:val="28"/>
          <w:szCs w:val="28"/>
          <w:lang w:val="uk-UA"/>
        </w:rPr>
        <w:t>177,</w:t>
      </w:r>
      <w:r w:rsidR="00B57558">
        <w:rPr>
          <w:rFonts w:eastAsia="Calibri"/>
          <w:sz w:val="28"/>
          <w:szCs w:val="28"/>
          <w:lang w:val="uk-UA"/>
        </w:rPr>
        <w:t>3</w:t>
      </w:r>
      <w:r w:rsidRPr="00497120">
        <w:rPr>
          <w:rFonts w:eastAsia="Calibri"/>
          <w:sz w:val="28"/>
          <w:szCs w:val="28"/>
          <w:lang w:val="uk-UA"/>
        </w:rPr>
        <w:t xml:space="preserve"> млн.грн., надання пільг і субсидій населенню при оплаті електроенергії, природного газу, послуг </w:t>
      </w:r>
      <w:proofErr w:type="spellStart"/>
      <w:r w:rsidRPr="00497120">
        <w:rPr>
          <w:rFonts w:eastAsia="Calibri"/>
          <w:sz w:val="28"/>
          <w:szCs w:val="28"/>
          <w:lang w:val="uk-UA"/>
        </w:rPr>
        <w:t>тепло-</w:t>
      </w:r>
      <w:proofErr w:type="spellEnd"/>
      <w:r w:rsidRPr="00497120">
        <w:rPr>
          <w:rFonts w:eastAsia="Calibri"/>
          <w:sz w:val="28"/>
          <w:szCs w:val="28"/>
          <w:lang w:val="uk-UA"/>
        </w:rPr>
        <w:t>, водопостачання і водовідведення, квартирної плати, вивезення побутового сміття та рідких нечистот, твердого та рідкого пічного побутового п</w:t>
      </w:r>
      <w:r w:rsidR="00872DD0">
        <w:rPr>
          <w:rFonts w:eastAsia="Calibri"/>
          <w:sz w:val="28"/>
          <w:szCs w:val="28"/>
          <w:lang w:val="uk-UA"/>
        </w:rPr>
        <w:t xml:space="preserve">алива і скрапленого газу – </w:t>
      </w:r>
      <w:r w:rsidR="009933ED">
        <w:rPr>
          <w:rFonts w:eastAsia="Calibri"/>
          <w:sz w:val="28"/>
          <w:szCs w:val="28"/>
          <w:lang w:val="uk-UA"/>
        </w:rPr>
        <w:t>203,2</w:t>
      </w:r>
      <w:r w:rsidRPr="00497120">
        <w:rPr>
          <w:rFonts w:eastAsia="Calibri"/>
          <w:sz w:val="28"/>
          <w:szCs w:val="28"/>
          <w:lang w:val="uk-UA"/>
        </w:rPr>
        <w:t xml:space="preserve"> млн.грн.</w:t>
      </w:r>
      <w:r w:rsidR="00872DD0">
        <w:rPr>
          <w:rFonts w:eastAsia="Calibri"/>
          <w:sz w:val="28"/>
          <w:szCs w:val="28"/>
          <w:lang w:val="uk-UA"/>
        </w:rPr>
        <w:t xml:space="preserve">, </w:t>
      </w:r>
      <w:r w:rsidR="0015658B">
        <w:rPr>
          <w:rFonts w:eastAsia="Calibri"/>
          <w:sz w:val="28"/>
          <w:szCs w:val="28"/>
          <w:lang w:val="uk-UA"/>
        </w:rPr>
        <w:t xml:space="preserve">виплату державної соціальної допомоги на дітей-сиріт та дітей, позбавлених батьківського піклування та грошового забезпечення батькам-вихователям – </w:t>
      </w:r>
      <w:r w:rsidR="008B4DB5">
        <w:rPr>
          <w:rFonts w:eastAsia="Calibri"/>
          <w:sz w:val="28"/>
          <w:szCs w:val="28"/>
          <w:lang w:val="uk-UA"/>
        </w:rPr>
        <w:t>1</w:t>
      </w:r>
      <w:r w:rsidR="0015658B">
        <w:rPr>
          <w:rFonts w:eastAsia="Calibri"/>
          <w:sz w:val="28"/>
          <w:szCs w:val="28"/>
          <w:lang w:val="uk-UA"/>
        </w:rPr>
        <w:t>,</w:t>
      </w:r>
      <w:r w:rsidR="008B4DB5">
        <w:rPr>
          <w:rFonts w:eastAsia="Calibri"/>
          <w:sz w:val="28"/>
          <w:szCs w:val="28"/>
          <w:lang w:val="uk-UA"/>
        </w:rPr>
        <w:t>1</w:t>
      </w:r>
      <w:r w:rsidR="0015658B">
        <w:rPr>
          <w:rFonts w:eastAsia="Calibri"/>
          <w:sz w:val="28"/>
          <w:szCs w:val="28"/>
          <w:lang w:val="uk-UA"/>
        </w:rPr>
        <w:t xml:space="preserve"> млн.грн.</w:t>
      </w:r>
      <w:r w:rsidRPr="00497120">
        <w:rPr>
          <w:rFonts w:eastAsia="Calibri"/>
          <w:sz w:val="28"/>
          <w:szCs w:val="28"/>
          <w:lang w:val="uk-UA"/>
        </w:rPr>
        <w:t xml:space="preserve"> </w:t>
      </w:r>
    </w:p>
    <w:p w:rsidR="00B57558" w:rsidRPr="00BC5D9D" w:rsidRDefault="00B57558" w:rsidP="00B57558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174B30">
        <w:rPr>
          <w:rFonts w:eastAsia="Calibri"/>
          <w:sz w:val="28"/>
          <w:szCs w:val="28"/>
          <w:lang w:val="uk-UA"/>
        </w:rPr>
        <w:lastRenderedPageBreak/>
        <w:t xml:space="preserve">Порівняно з відповідним періодом минулого року кількість домогосподарств, які отримали житлові субсидії, зменшилася майже вдвічі, в опалювальний період їх кількість становила понад 76 </w:t>
      </w:r>
      <w:proofErr w:type="spellStart"/>
      <w:r w:rsidRPr="00174B30">
        <w:rPr>
          <w:rFonts w:eastAsia="Calibri"/>
          <w:sz w:val="28"/>
          <w:szCs w:val="28"/>
          <w:lang w:val="uk-UA"/>
        </w:rPr>
        <w:t>тис.сімей</w:t>
      </w:r>
      <w:proofErr w:type="spellEnd"/>
      <w:r w:rsidRPr="00174B30">
        <w:rPr>
          <w:rFonts w:eastAsia="Calibri"/>
          <w:sz w:val="28"/>
          <w:szCs w:val="28"/>
          <w:lang w:val="uk-UA"/>
        </w:rPr>
        <w:t>.</w:t>
      </w:r>
      <w:r w:rsidRPr="00BC5D9D">
        <w:rPr>
          <w:rFonts w:eastAsia="Calibri"/>
          <w:sz w:val="28"/>
          <w:szCs w:val="28"/>
          <w:lang w:val="uk-UA"/>
        </w:rPr>
        <w:t xml:space="preserve"> </w:t>
      </w:r>
    </w:p>
    <w:p w:rsidR="00B57558" w:rsidRPr="00BC5D9D" w:rsidRDefault="00BC5D9D" w:rsidP="00B57558">
      <w:pPr>
        <w:pStyle w:val="justifyfull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C5D9D">
        <w:rPr>
          <w:rFonts w:eastAsia="Calibri"/>
          <w:sz w:val="28"/>
          <w:szCs w:val="28"/>
          <w:lang w:val="uk-UA"/>
        </w:rPr>
        <w:t>На надання пільг на послуги зв’язку та інших, передбачених законодавством пільг, спрямовано 0,</w:t>
      </w:r>
      <w:r w:rsidR="00BE186D">
        <w:rPr>
          <w:rFonts w:eastAsia="Calibri"/>
          <w:sz w:val="28"/>
          <w:szCs w:val="28"/>
          <w:lang w:val="uk-UA"/>
        </w:rPr>
        <w:t>4</w:t>
      </w:r>
      <w:r w:rsidRPr="00BC5D9D">
        <w:rPr>
          <w:rFonts w:eastAsia="Calibri"/>
          <w:sz w:val="28"/>
          <w:szCs w:val="28"/>
          <w:lang w:val="uk-UA"/>
        </w:rPr>
        <w:t xml:space="preserve"> млн.грн. </w:t>
      </w:r>
      <w:r w:rsidR="00B57558" w:rsidRPr="00174B30">
        <w:rPr>
          <w:rFonts w:eastAsia="Calibri"/>
          <w:sz w:val="28"/>
          <w:szCs w:val="28"/>
          <w:lang w:val="uk-UA"/>
        </w:rPr>
        <w:t>Цими пільгами скористалось 3,1 </w:t>
      </w:r>
      <w:proofErr w:type="spellStart"/>
      <w:r w:rsidR="00B57558" w:rsidRPr="00174B30">
        <w:rPr>
          <w:rFonts w:eastAsia="Calibri"/>
          <w:sz w:val="28"/>
          <w:szCs w:val="28"/>
          <w:lang w:val="uk-UA"/>
        </w:rPr>
        <w:t>тис.чол</w:t>
      </w:r>
      <w:proofErr w:type="spellEnd"/>
      <w:r w:rsidR="00B57558" w:rsidRPr="00174B30">
        <w:rPr>
          <w:rFonts w:eastAsia="Calibri"/>
          <w:sz w:val="28"/>
          <w:szCs w:val="28"/>
          <w:lang w:val="uk-UA"/>
        </w:rPr>
        <w:t>. На компенсацію пільгового перевезення окремих категорій громадян різними видами транспорту використано 2,3 млн.грн.</w:t>
      </w:r>
      <w:r w:rsidR="00FD645C">
        <w:rPr>
          <w:rFonts w:eastAsia="Calibri"/>
          <w:sz w:val="28"/>
          <w:szCs w:val="28"/>
          <w:lang w:val="uk-UA"/>
        </w:rPr>
        <w:t xml:space="preserve"> </w:t>
      </w:r>
      <w:r w:rsidR="00B57558" w:rsidRPr="00174B30">
        <w:rPr>
          <w:rFonts w:eastAsia="Calibri"/>
          <w:sz w:val="28"/>
          <w:szCs w:val="28"/>
          <w:lang w:val="uk-UA"/>
        </w:rPr>
        <w:t xml:space="preserve">Також </w:t>
      </w:r>
      <w:r w:rsidR="00B57558" w:rsidRPr="00174B30">
        <w:rPr>
          <w:sz w:val="28"/>
          <w:szCs w:val="28"/>
          <w:lang w:val="uk-UA"/>
        </w:rPr>
        <w:t>623</w:t>
      </w:r>
      <w:r w:rsidR="00B57558" w:rsidRPr="00174B30">
        <w:rPr>
          <w:bCs/>
          <w:sz w:val="28"/>
          <w:szCs w:val="28"/>
          <w:lang w:val="uk-UA"/>
        </w:rPr>
        <w:t xml:space="preserve"> багатодітні родини </w:t>
      </w:r>
      <w:r w:rsidR="00FD645C">
        <w:rPr>
          <w:bCs/>
          <w:sz w:val="28"/>
          <w:szCs w:val="28"/>
          <w:lang w:val="uk-UA"/>
        </w:rPr>
        <w:t>скористались правом</w:t>
      </w:r>
      <w:r w:rsidR="00B57558" w:rsidRPr="00174B30">
        <w:rPr>
          <w:bCs/>
          <w:sz w:val="28"/>
          <w:szCs w:val="28"/>
          <w:lang w:val="uk-UA"/>
        </w:rPr>
        <w:t xml:space="preserve"> безкоштовн</w:t>
      </w:r>
      <w:r w:rsidR="00FD645C">
        <w:rPr>
          <w:bCs/>
          <w:sz w:val="28"/>
          <w:szCs w:val="28"/>
          <w:lang w:val="uk-UA"/>
        </w:rPr>
        <w:t>ого</w:t>
      </w:r>
      <w:r w:rsidR="00B57558" w:rsidRPr="00174B30">
        <w:rPr>
          <w:bCs/>
          <w:sz w:val="28"/>
          <w:szCs w:val="28"/>
          <w:lang w:val="uk-UA"/>
        </w:rPr>
        <w:t xml:space="preserve"> проїзд</w:t>
      </w:r>
      <w:r w:rsidR="00FD645C">
        <w:rPr>
          <w:bCs/>
          <w:sz w:val="28"/>
          <w:szCs w:val="28"/>
          <w:lang w:val="uk-UA"/>
        </w:rPr>
        <w:t>у</w:t>
      </w:r>
      <w:r w:rsidR="00B57558" w:rsidRPr="00174B30">
        <w:rPr>
          <w:bCs/>
          <w:sz w:val="28"/>
          <w:szCs w:val="28"/>
          <w:lang w:val="uk-UA"/>
        </w:rPr>
        <w:t xml:space="preserve"> </w:t>
      </w:r>
      <w:r w:rsidR="00B57558" w:rsidRPr="00174B30">
        <w:rPr>
          <w:sz w:val="28"/>
          <w:szCs w:val="28"/>
          <w:lang w:val="uk-UA"/>
        </w:rPr>
        <w:t>одного з батьків в трамваях, тролейбусах та автобусах З</w:t>
      </w:r>
      <w:r w:rsidR="00FD645C">
        <w:rPr>
          <w:sz w:val="28"/>
          <w:szCs w:val="28"/>
          <w:lang w:val="uk-UA"/>
        </w:rPr>
        <w:t xml:space="preserve">КП </w:t>
      </w:r>
      <w:proofErr w:type="spellStart"/>
      <w:r w:rsidR="00FD645C">
        <w:rPr>
          <w:sz w:val="28"/>
          <w:szCs w:val="28"/>
          <w:lang w:val="uk-UA"/>
        </w:rPr>
        <w:t>МЕ</w:t>
      </w:r>
      <w:proofErr w:type="spellEnd"/>
      <w:r w:rsidR="00FD645C">
        <w:rPr>
          <w:sz w:val="28"/>
          <w:szCs w:val="28"/>
          <w:lang w:val="uk-UA"/>
        </w:rPr>
        <w:t xml:space="preserve"> </w:t>
      </w:r>
      <w:r w:rsidR="00B57558" w:rsidRPr="00174B30">
        <w:rPr>
          <w:sz w:val="28"/>
          <w:szCs w:val="28"/>
          <w:lang w:val="uk-UA"/>
        </w:rPr>
        <w:t>«</w:t>
      </w:r>
      <w:proofErr w:type="spellStart"/>
      <w:r w:rsidR="00B57558" w:rsidRPr="00174B30">
        <w:rPr>
          <w:sz w:val="28"/>
          <w:szCs w:val="28"/>
          <w:lang w:val="uk-UA"/>
        </w:rPr>
        <w:t>Запоріжелектротранс</w:t>
      </w:r>
      <w:proofErr w:type="spellEnd"/>
      <w:r w:rsidR="00B57558" w:rsidRPr="00174B30">
        <w:rPr>
          <w:sz w:val="28"/>
          <w:szCs w:val="28"/>
          <w:lang w:val="uk-UA"/>
        </w:rPr>
        <w:t>» на суму 0,7</w:t>
      </w:r>
      <w:r w:rsidR="00B57558" w:rsidRPr="00174B30">
        <w:rPr>
          <w:rFonts w:eastAsia="Calibri"/>
          <w:sz w:val="28"/>
          <w:szCs w:val="28"/>
          <w:lang w:val="uk-UA"/>
        </w:rPr>
        <w:t> </w:t>
      </w:r>
      <w:r w:rsidR="00B57558" w:rsidRPr="00174B30">
        <w:rPr>
          <w:sz w:val="28"/>
          <w:szCs w:val="28"/>
          <w:lang w:val="uk-UA"/>
        </w:rPr>
        <w:t>млн.грн.</w:t>
      </w:r>
    </w:p>
    <w:p w:rsidR="00FD645C" w:rsidRPr="00253ED8" w:rsidRDefault="00612A5A" w:rsidP="00FD645C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BC5D9D">
        <w:rPr>
          <w:rFonts w:eastAsia="Calibri"/>
          <w:sz w:val="28"/>
          <w:szCs w:val="28"/>
          <w:lang w:val="uk-UA"/>
        </w:rPr>
        <w:t>На підтримку ветеранських</w:t>
      </w:r>
      <w:r w:rsidR="006B608B" w:rsidRPr="00BC5D9D">
        <w:rPr>
          <w:rFonts w:eastAsia="Calibri"/>
          <w:sz w:val="28"/>
          <w:szCs w:val="28"/>
          <w:lang w:val="uk-UA"/>
        </w:rPr>
        <w:t xml:space="preserve"> організацій</w:t>
      </w:r>
      <w:r w:rsidR="006B608B">
        <w:rPr>
          <w:rFonts w:eastAsia="Calibri"/>
          <w:sz w:val="28"/>
          <w:szCs w:val="28"/>
          <w:lang w:val="uk-UA"/>
        </w:rPr>
        <w:t xml:space="preserve"> міста витрачено </w:t>
      </w:r>
      <w:r w:rsidR="008215E3">
        <w:rPr>
          <w:rFonts w:eastAsia="Calibri"/>
          <w:sz w:val="28"/>
          <w:szCs w:val="28"/>
          <w:lang w:val="uk-UA"/>
        </w:rPr>
        <w:t>0,4</w:t>
      </w:r>
      <w:r w:rsidRPr="00497120">
        <w:rPr>
          <w:rFonts w:eastAsia="Calibri"/>
          <w:sz w:val="28"/>
          <w:szCs w:val="28"/>
          <w:lang w:val="uk-UA"/>
        </w:rPr>
        <w:t xml:space="preserve"> млн.грн. Виплати грошової компенсації фізичним особам, які надають соціальні послуги громадянам похилого віку, інвалідам, хворим, які не здатні до самообслуговування та потребують сторонньої допомоги, </w:t>
      </w:r>
      <w:r w:rsidR="00FD645C">
        <w:rPr>
          <w:rFonts w:eastAsia="Calibri"/>
          <w:sz w:val="28"/>
          <w:szCs w:val="28"/>
          <w:lang w:val="uk-UA"/>
        </w:rPr>
        <w:t>проведені в сумі</w:t>
      </w:r>
      <w:r w:rsidR="00BE186D">
        <w:rPr>
          <w:rFonts w:eastAsia="Calibri"/>
          <w:sz w:val="28"/>
          <w:szCs w:val="28"/>
          <w:lang w:val="uk-UA"/>
        </w:rPr>
        <w:t xml:space="preserve"> 1,2</w:t>
      </w:r>
      <w:r w:rsidR="00FD645C">
        <w:rPr>
          <w:rFonts w:eastAsia="Calibri"/>
          <w:sz w:val="28"/>
          <w:szCs w:val="28"/>
          <w:lang w:val="uk-UA"/>
        </w:rPr>
        <w:t> млн.грн.</w:t>
      </w:r>
      <w:r w:rsidR="00FD645C" w:rsidRPr="00FD645C">
        <w:rPr>
          <w:rFonts w:eastAsia="Calibri"/>
          <w:sz w:val="28"/>
          <w:szCs w:val="28"/>
          <w:lang w:val="uk-UA"/>
        </w:rPr>
        <w:t xml:space="preserve"> </w:t>
      </w:r>
      <w:r w:rsidR="00FD645C">
        <w:rPr>
          <w:rFonts w:eastAsia="Calibri"/>
          <w:sz w:val="28"/>
          <w:szCs w:val="28"/>
          <w:lang w:val="uk-UA"/>
        </w:rPr>
        <w:t>На організацію та проведення громадських робіт витрачено 0,3 млн.грн.</w:t>
      </w:r>
    </w:p>
    <w:p w:rsidR="00BC5D9D" w:rsidRPr="009D4729" w:rsidRDefault="00870FDB" w:rsidP="00DF65D3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C86B19">
        <w:rPr>
          <w:rFonts w:eastAsia="Calibri"/>
          <w:sz w:val="28"/>
          <w:szCs w:val="28"/>
          <w:lang w:val="uk-UA"/>
        </w:rPr>
        <w:t xml:space="preserve">Інші видатки на соціальний захист населенню склали </w:t>
      </w:r>
      <w:r w:rsidR="006B608B">
        <w:rPr>
          <w:rFonts w:eastAsia="Calibri"/>
          <w:sz w:val="28"/>
          <w:szCs w:val="28"/>
          <w:lang w:val="uk-UA"/>
        </w:rPr>
        <w:t>15,</w:t>
      </w:r>
      <w:r w:rsidR="008215E3">
        <w:rPr>
          <w:rFonts w:eastAsia="Calibri"/>
          <w:sz w:val="28"/>
          <w:szCs w:val="28"/>
          <w:lang w:val="uk-UA"/>
        </w:rPr>
        <w:t>3</w:t>
      </w:r>
      <w:r w:rsidRPr="00C86B19">
        <w:rPr>
          <w:rFonts w:eastAsia="Calibri"/>
          <w:sz w:val="28"/>
          <w:szCs w:val="28"/>
          <w:lang w:val="uk-UA"/>
        </w:rPr>
        <w:t xml:space="preserve"> млн.грн. </w:t>
      </w:r>
      <w:r w:rsidR="00DF65D3" w:rsidRPr="00DF65D3">
        <w:rPr>
          <w:rFonts w:eastAsia="Calibri"/>
          <w:sz w:val="28"/>
          <w:szCs w:val="28"/>
          <w:lang w:val="uk-UA"/>
        </w:rPr>
        <w:t>В рамках Міської комплексної програми соціального захисту населення матеріальну допомогу отримали 4,9 тис. громадян міста, за рахунок коштів депутатського фонду бюджету міста надано підтримку 2,7 тис. мешканців.</w:t>
      </w:r>
      <w:r w:rsidR="00DF65D3" w:rsidRPr="009D4729">
        <w:rPr>
          <w:rFonts w:eastAsia="Calibri"/>
          <w:sz w:val="28"/>
          <w:szCs w:val="28"/>
          <w:lang w:val="uk-UA"/>
        </w:rPr>
        <w:t xml:space="preserve"> </w:t>
      </w:r>
    </w:p>
    <w:p w:rsidR="0084173F" w:rsidRPr="00F91804" w:rsidRDefault="00612A5A" w:rsidP="00F9180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6E51E7">
        <w:rPr>
          <w:rFonts w:eastAsia="Calibri"/>
          <w:sz w:val="28"/>
          <w:szCs w:val="28"/>
          <w:lang w:val="uk-UA"/>
        </w:rPr>
        <w:t>На забезпечення функціонування та розвиток установ соціально-к</w:t>
      </w:r>
      <w:r w:rsidR="009C208F">
        <w:rPr>
          <w:rFonts w:eastAsia="Calibri"/>
          <w:sz w:val="28"/>
          <w:szCs w:val="28"/>
          <w:lang w:val="uk-UA"/>
        </w:rPr>
        <w:t xml:space="preserve">ультурної сфери спрямовано </w:t>
      </w:r>
      <w:r w:rsidR="00C12921">
        <w:rPr>
          <w:rFonts w:eastAsia="Calibri"/>
          <w:sz w:val="28"/>
          <w:szCs w:val="28"/>
          <w:lang w:val="uk-UA"/>
        </w:rPr>
        <w:t>976,4</w:t>
      </w:r>
      <w:r w:rsidR="00FD645C">
        <w:rPr>
          <w:rFonts w:eastAsia="Calibri"/>
          <w:sz w:val="28"/>
          <w:szCs w:val="28"/>
          <w:lang w:val="uk-UA"/>
        </w:rPr>
        <w:t> </w:t>
      </w:r>
      <w:r w:rsidR="009C208F">
        <w:rPr>
          <w:rFonts w:eastAsia="Calibri"/>
          <w:sz w:val="28"/>
          <w:szCs w:val="28"/>
          <w:lang w:val="uk-UA"/>
        </w:rPr>
        <w:t xml:space="preserve">млн.грн., що становить </w:t>
      </w:r>
      <w:r w:rsidR="00C12921">
        <w:rPr>
          <w:rFonts w:eastAsia="Calibri"/>
          <w:sz w:val="28"/>
          <w:szCs w:val="28"/>
          <w:lang w:val="uk-UA"/>
        </w:rPr>
        <w:t>49,5</w:t>
      </w:r>
      <w:r w:rsidRPr="006E51E7">
        <w:rPr>
          <w:rFonts w:eastAsia="Calibri"/>
          <w:sz w:val="28"/>
          <w:szCs w:val="28"/>
          <w:lang w:val="uk-UA"/>
        </w:rPr>
        <w:t xml:space="preserve">% загального обсягу витрат бюджету міста, </w:t>
      </w:r>
      <w:r w:rsidR="009C208F">
        <w:rPr>
          <w:rFonts w:eastAsia="Calibri"/>
          <w:sz w:val="28"/>
          <w:szCs w:val="28"/>
          <w:lang w:val="uk-UA"/>
        </w:rPr>
        <w:t xml:space="preserve">в тому числі на освіту – </w:t>
      </w:r>
      <w:r w:rsidR="00C12921">
        <w:rPr>
          <w:rFonts w:eastAsia="Calibri"/>
          <w:sz w:val="28"/>
          <w:szCs w:val="28"/>
          <w:lang w:val="uk-UA"/>
        </w:rPr>
        <w:t>628,8</w:t>
      </w:r>
      <w:r w:rsidR="00FD645C">
        <w:rPr>
          <w:rFonts w:eastAsia="Calibri"/>
          <w:sz w:val="28"/>
          <w:szCs w:val="28"/>
          <w:lang w:val="uk-UA"/>
        </w:rPr>
        <w:t> </w:t>
      </w:r>
      <w:r w:rsidRPr="006E51E7">
        <w:rPr>
          <w:rFonts w:eastAsia="Calibri"/>
          <w:sz w:val="28"/>
          <w:szCs w:val="28"/>
          <w:lang w:val="uk-UA"/>
        </w:rPr>
        <w:t>млн.грн.</w:t>
      </w:r>
      <w:r w:rsidR="00D85376">
        <w:rPr>
          <w:rFonts w:eastAsia="Calibri"/>
          <w:sz w:val="28"/>
          <w:szCs w:val="28"/>
          <w:lang w:val="uk-UA"/>
        </w:rPr>
        <w:t xml:space="preserve"> (за рахунок освітньої субвен</w:t>
      </w:r>
      <w:r w:rsidR="009C208F">
        <w:rPr>
          <w:rFonts w:eastAsia="Calibri"/>
          <w:sz w:val="28"/>
          <w:szCs w:val="28"/>
          <w:lang w:val="uk-UA"/>
        </w:rPr>
        <w:t xml:space="preserve">ції – </w:t>
      </w:r>
      <w:r w:rsidR="00C12921">
        <w:rPr>
          <w:rFonts w:eastAsia="Calibri"/>
          <w:sz w:val="28"/>
          <w:szCs w:val="28"/>
          <w:lang w:val="uk-UA"/>
        </w:rPr>
        <w:t>178,3</w:t>
      </w:r>
      <w:r w:rsidR="00D85376">
        <w:rPr>
          <w:rFonts w:eastAsia="Calibri"/>
          <w:sz w:val="28"/>
          <w:szCs w:val="28"/>
          <w:lang w:val="uk-UA"/>
        </w:rPr>
        <w:t> млн.грн.)</w:t>
      </w:r>
      <w:r w:rsidR="009C208F">
        <w:rPr>
          <w:rFonts w:eastAsia="Calibri"/>
          <w:sz w:val="28"/>
          <w:szCs w:val="28"/>
          <w:lang w:val="uk-UA"/>
        </w:rPr>
        <w:t xml:space="preserve">, охорону здоров'я – </w:t>
      </w:r>
      <w:r w:rsidR="00C12921">
        <w:rPr>
          <w:rFonts w:eastAsia="Calibri"/>
          <w:sz w:val="28"/>
          <w:szCs w:val="28"/>
          <w:lang w:val="uk-UA"/>
        </w:rPr>
        <w:t>292,7</w:t>
      </w:r>
      <w:r w:rsidRPr="006E51E7">
        <w:rPr>
          <w:rFonts w:eastAsia="Calibri"/>
          <w:sz w:val="28"/>
          <w:szCs w:val="28"/>
        </w:rPr>
        <w:t> </w:t>
      </w:r>
      <w:r w:rsidRPr="006E51E7">
        <w:rPr>
          <w:rFonts w:eastAsia="Calibri"/>
          <w:sz w:val="28"/>
          <w:szCs w:val="28"/>
          <w:lang w:val="uk-UA"/>
        </w:rPr>
        <w:t>млн.грн.</w:t>
      </w:r>
      <w:r w:rsidR="00D85376">
        <w:rPr>
          <w:rFonts w:eastAsia="Calibri"/>
          <w:sz w:val="28"/>
          <w:szCs w:val="28"/>
          <w:lang w:val="uk-UA"/>
        </w:rPr>
        <w:t xml:space="preserve"> (за рахунок </w:t>
      </w:r>
      <w:r w:rsidR="00FD645C">
        <w:rPr>
          <w:rFonts w:eastAsia="Calibri"/>
          <w:sz w:val="28"/>
          <w:szCs w:val="28"/>
          <w:lang w:val="uk-UA"/>
        </w:rPr>
        <w:t xml:space="preserve">медичної та інших </w:t>
      </w:r>
      <w:r w:rsidR="00D85376">
        <w:rPr>
          <w:rFonts w:eastAsia="Calibri"/>
          <w:sz w:val="28"/>
          <w:szCs w:val="28"/>
          <w:lang w:val="uk-UA"/>
        </w:rPr>
        <w:t>субвенці</w:t>
      </w:r>
      <w:r w:rsidR="00FD645C">
        <w:rPr>
          <w:rFonts w:eastAsia="Calibri"/>
          <w:sz w:val="28"/>
          <w:szCs w:val="28"/>
          <w:lang w:val="uk-UA"/>
        </w:rPr>
        <w:t>й</w:t>
      </w:r>
      <w:r w:rsidR="009C208F">
        <w:rPr>
          <w:rFonts w:eastAsia="Calibri"/>
          <w:sz w:val="28"/>
          <w:szCs w:val="28"/>
          <w:lang w:val="uk-UA"/>
        </w:rPr>
        <w:t xml:space="preserve"> – </w:t>
      </w:r>
      <w:r w:rsidR="00C12921">
        <w:rPr>
          <w:rFonts w:eastAsia="Calibri"/>
          <w:sz w:val="28"/>
          <w:szCs w:val="28"/>
          <w:lang w:val="uk-UA"/>
        </w:rPr>
        <w:t>141,2</w:t>
      </w:r>
      <w:r w:rsidR="00D85376">
        <w:rPr>
          <w:rFonts w:eastAsia="Calibri"/>
          <w:sz w:val="28"/>
          <w:szCs w:val="28"/>
          <w:lang w:val="uk-UA"/>
        </w:rPr>
        <w:t> тис.грн.)</w:t>
      </w:r>
      <w:r w:rsidR="009C208F">
        <w:rPr>
          <w:rFonts w:eastAsia="Calibri"/>
          <w:sz w:val="28"/>
          <w:szCs w:val="28"/>
          <w:lang w:val="uk-UA"/>
        </w:rPr>
        <w:t xml:space="preserve">, культуру – </w:t>
      </w:r>
      <w:r w:rsidR="00C12921">
        <w:rPr>
          <w:rFonts w:eastAsia="Calibri"/>
          <w:sz w:val="28"/>
          <w:szCs w:val="28"/>
          <w:lang w:val="uk-UA"/>
        </w:rPr>
        <w:t>16,6</w:t>
      </w:r>
      <w:r w:rsidRPr="006E51E7">
        <w:rPr>
          <w:rFonts w:eastAsia="Calibri"/>
          <w:sz w:val="28"/>
          <w:szCs w:val="28"/>
          <w:lang w:val="uk-UA"/>
        </w:rPr>
        <w:t> млн.грн.,</w:t>
      </w:r>
      <w:r w:rsidR="009C208F">
        <w:rPr>
          <w:rFonts w:eastAsia="Calibri"/>
          <w:sz w:val="28"/>
          <w:szCs w:val="28"/>
          <w:lang w:val="uk-UA"/>
        </w:rPr>
        <w:t xml:space="preserve"> фізичну культуру і спорт – </w:t>
      </w:r>
      <w:r w:rsidR="00C12921">
        <w:rPr>
          <w:rFonts w:eastAsia="Calibri"/>
          <w:sz w:val="28"/>
          <w:szCs w:val="28"/>
          <w:lang w:val="uk-UA"/>
        </w:rPr>
        <w:t>24,5</w:t>
      </w:r>
      <w:r w:rsidRPr="006E51E7">
        <w:rPr>
          <w:rFonts w:eastAsia="Calibri"/>
          <w:sz w:val="28"/>
          <w:szCs w:val="28"/>
          <w:lang w:val="uk-UA"/>
        </w:rPr>
        <w:t xml:space="preserve"> млн.грн., установи соціального захисту – </w:t>
      </w:r>
      <w:r w:rsidR="00C12921">
        <w:rPr>
          <w:rFonts w:eastAsia="Calibri"/>
          <w:sz w:val="28"/>
          <w:szCs w:val="28"/>
          <w:lang w:val="uk-UA"/>
        </w:rPr>
        <w:t>13,8</w:t>
      </w:r>
      <w:r w:rsidRPr="006E51E7">
        <w:rPr>
          <w:rFonts w:eastAsia="Calibri"/>
          <w:sz w:val="28"/>
          <w:szCs w:val="28"/>
          <w:lang w:val="uk-UA"/>
        </w:rPr>
        <w:t xml:space="preserve"> млн.грн. </w:t>
      </w:r>
    </w:p>
    <w:p w:rsidR="001501D9" w:rsidRDefault="001501D9" w:rsidP="001501D9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Поточні видатки загального фонду бюджету на утримання установ склали </w:t>
      </w:r>
      <w:r w:rsidR="00555DCF">
        <w:rPr>
          <w:rFonts w:eastAsia="Calibri"/>
          <w:sz w:val="28"/>
          <w:szCs w:val="28"/>
          <w:lang w:val="uk-UA"/>
        </w:rPr>
        <w:t>908,2</w:t>
      </w:r>
      <w:r w:rsidR="001C17EE">
        <w:rPr>
          <w:rFonts w:eastAsia="Calibri"/>
          <w:sz w:val="28"/>
          <w:szCs w:val="28"/>
          <w:lang w:val="uk-UA"/>
        </w:rPr>
        <w:t> млн.грн., з яких найбільшу частку займають витрати на оплату</w:t>
      </w:r>
      <w:r w:rsidR="005C789B">
        <w:rPr>
          <w:rFonts w:eastAsia="Calibri"/>
          <w:sz w:val="28"/>
          <w:szCs w:val="28"/>
          <w:lang w:val="uk-UA"/>
        </w:rPr>
        <w:t xml:space="preserve"> праці з нарахуваннями – </w:t>
      </w:r>
      <w:r w:rsidR="00551750">
        <w:rPr>
          <w:rFonts w:eastAsia="Calibri"/>
          <w:sz w:val="28"/>
          <w:szCs w:val="28"/>
          <w:lang w:val="uk-UA"/>
        </w:rPr>
        <w:t>698</w:t>
      </w:r>
      <w:r w:rsidR="00397EE0">
        <w:rPr>
          <w:rFonts w:eastAsia="Calibri"/>
          <w:sz w:val="28"/>
          <w:szCs w:val="28"/>
          <w:lang w:val="uk-UA"/>
        </w:rPr>
        <w:t>,</w:t>
      </w:r>
      <w:r w:rsidR="00551750">
        <w:rPr>
          <w:rFonts w:eastAsia="Calibri"/>
          <w:sz w:val="28"/>
          <w:szCs w:val="28"/>
          <w:lang w:val="uk-UA"/>
        </w:rPr>
        <w:t>3</w:t>
      </w:r>
      <w:r w:rsidR="00397EE0">
        <w:rPr>
          <w:rFonts w:eastAsia="Calibri"/>
          <w:sz w:val="28"/>
          <w:szCs w:val="28"/>
          <w:lang w:val="uk-UA"/>
        </w:rPr>
        <w:t> </w:t>
      </w:r>
      <w:r w:rsidR="001C17EE">
        <w:rPr>
          <w:rFonts w:eastAsia="Calibri"/>
          <w:sz w:val="28"/>
          <w:szCs w:val="28"/>
          <w:lang w:val="uk-UA"/>
        </w:rPr>
        <w:t>млн.грн. та проведення розрахунків за спожиті комуналь</w:t>
      </w:r>
      <w:r w:rsidR="005C789B">
        <w:rPr>
          <w:rFonts w:eastAsia="Calibri"/>
          <w:sz w:val="28"/>
          <w:szCs w:val="28"/>
          <w:lang w:val="uk-UA"/>
        </w:rPr>
        <w:t xml:space="preserve">ні послуги та енергоносії – </w:t>
      </w:r>
      <w:r w:rsidR="00551750">
        <w:rPr>
          <w:rFonts w:eastAsia="Calibri"/>
          <w:sz w:val="28"/>
          <w:szCs w:val="28"/>
          <w:lang w:val="uk-UA"/>
        </w:rPr>
        <w:t>123,5</w:t>
      </w:r>
      <w:r w:rsidR="00397EE0">
        <w:rPr>
          <w:rFonts w:eastAsia="Calibri"/>
          <w:sz w:val="28"/>
          <w:szCs w:val="28"/>
          <w:lang w:val="uk-UA"/>
        </w:rPr>
        <w:t xml:space="preserve"> </w:t>
      </w:r>
      <w:r w:rsidR="001C17EE">
        <w:rPr>
          <w:rFonts w:eastAsia="Calibri"/>
          <w:sz w:val="28"/>
          <w:szCs w:val="28"/>
          <w:lang w:val="uk-UA"/>
        </w:rPr>
        <w:t>млн.грн.</w:t>
      </w:r>
    </w:p>
    <w:p w:rsidR="00551750" w:rsidRPr="008837DE" w:rsidRDefault="00551750" w:rsidP="00551750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455DCC">
        <w:rPr>
          <w:rFonts w:eastAsia="Calibri"/>
          <w:sz w:val="28"/>
          <w:szCs w:val="28"/>
          <w:lang w:val="uk-UA"/>
        </w:rPr>
        <w:t>За звітний період по лікарнях міста за програмою «Доступні ліки» відшкодовано вартість лікарських засобів для осіб, що страждають на серцево-судинні захворювання, цукровий діабет II типу, бронхіальну астму на загальну суму 5,1 млн.грн. (понад 72,0 тис. рецептів).</w:t>
      </w:r>
      <w:r w:rsidRPr="00A838CA">
        <w:rPr>
          <w:rFonts w:eastAsia="Calibri"/>
          <w:color w:val="FF0000"/>
          <w:sz w:val="28"/>
          <w:szCs w:val="28"/>
          <w:lang w:val="uk-UA"/>
        </w:rPr>
        <w:t xml:space="preserve"> </w:t>
      </w:r>
      <w:r w:rsidRPr="005E4389">
        <w:rPr>
          <w:rFonts w:eastAsia="Calibri"/>
          <w:sz w:val="28"/>
          <w:szCs w:val="28"/>
          <w:lang w:val="uk-UA"/>
        </w:rPr>
        <w:t>У стоматологічних поліклініках міста зубопротезуванням на пільгових умовах охоплено 234 ос</w:t>
      </w:r>
      <w:r w:rsidR="00FD645C">
        <w:rPr>
          <w:rFonts w:eastAsia="Calibri"/>
          <w:sz w:val="28"/>
          <w:szCs w:val="28"/>
          <w:lang w:val="uk-UA"/>
        </w:rPr>
        <w:t>о</w:t>
      </w:r>
      <w:r w:rsidRPr="005E4389">
        <w:rPr>
          <w:rFonts w:eastAsia="Calibri"/>
          <w:sz w:val="28"/>
          <w:szCs w:val="28"/>
          <w:lang w:val="uk-UA"/>
        </w:rPr>
        <w:t>б</w:t>
      </w:r>
      <w:r w:rsidR="00FD645C">
        <w:rPr>
          <w:rFonts w:eastAsia="Calibri"/>
          <w:sz w:val="28"/>
          <w:szCs w:val="28"/>
          <w:lang w:val="uk-UA"/>
        </w:rPr>
        <w:t>и</w:t>
      </w:r>
      <w:r w:rsidRPr="005E4389">
        <w:rPr>
          <w:rFonts w:eastAsia="Calibri"/>
          <w:sz w:val="28"/>
          <w:szCs w:val="28"/>
          <w:lang w:val="uk-UA"/>
        </w:rPr>
        <w:t xml:space="preserve"> пільгових категорій (інваліди війни, учасники бойових дій та ін.), фактичні видатки за напрямком становили 0,7 млн.грн. </w:t>
      </w:r>
      <w:r w:rsidRPr="008837DE">
        <w:rPr>
          <w:rFonts w:eastAsia="Calibri"/>
          <w:sz w:val="28"/>
          <w:szCs w:val="28"/>
          <w:lang w:val="uk-UA"/>
        </w:rPr>
        <w:t>На забезпечення здійснення централізованих заходів з лікування хворих на цукровий та нецукровий діабет шляхом відшкодування вартості інсуліну використано 3,2 млн.грн.</w:t>
      </w:r>
    </w:p>
    <w:p w:rsidR="003C5CE0" w:rsidRDefault="003C5CE0" w:rsidP="003C5CE0">
      <w:pPr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Видатки капітального характеру за рахунок надходжень бюджету розвитку </w:t>
      </w:r>
      <w:r w:rsidR="00710A66">
        <w:rPr>
          <w:rFonts w:eastAsia="Calibri"/>
          <w:sz w:val="28"/>
          <w:szCs w:val="28"/>
          <w:lang w:val="uk-UA"/>
        </w:rPr>
        <w:t>проведені в сумі</w:t>
      </w:r>
      <w:r>
        <w:rPr>
          <w:rFonts w:eastAsia="Calibri"/>
          <w:sz w:val="28"/>
          <w:szCs w:val="28"/>
          <w:lang w:val="uk-UA"/>
        </w:rPr>
        <w:t xml:space="preserve"> </w:t>
      </w:r>
      <w:r w:rsidR="00691BC5">
        <w:rPr>
          <w:rFonts w:eastAsia="Calibri"/>
          <w:color w:val="000000" w:themeColor="text1"/>
          <w:sz w:val="28"/>
          <w:szCs w:val="28"/>
          <w:lang w:val="uk-UA"/>
        </w:rPr>
        <w:t>6,8</w:t>
      </w:r>
      <w:r w:rsidRPr="004D299F">
        <w:rPr>
          <w:rFonts w:eastAsia="Calibri"/>
          <w:color w:val="000000" w:themeColor="text1"/>
          <w:sz w:val="28"/>
          <w:szCs w:val="28"/>
          <w:lang w:val="uk-UA"/>
        </w:rPr>
        <w:t> млн.грн.</w:t>
      </w:r>
      <w:r>
        <w:rPr>
          <w:rFonts w:eastAsia="Calibri"/>
          <w:sz w:val="28"/>
          <w:szCs w:val="28"/>
          <w:lang w:val="uk-UA"/>
        </w:rPr>
        <w:t xml:space="preserve">, що становить </w:t>
      </w:r>
      <w:r w:rsidR="00691BC5">
        <w:rPr>
          <w:rFonts w:eastAsia="Calibri"/>
          <w:sz w:val="28"/>
          <w:szCs w:val="28"/>
          <w:lang w:val="uk-UA"/>
        </w:rPr>
        <w:t>22,8</w:t>
      </w:r>
      <w:r>
        <w:rPr>
          <w:rFonts w:eastAsia="Calibri"/>
          <w:sz w:val="28"/>
          <w:szCs w:val="28"/>
          <w:lang w:val="uk-UA"/>
        </w:rPr>
        <w:t>% планових показників.</w:t>
      </w:r>
      <w:r w:rsidR="003D0E58">
        <w:rPr>
          <w:rFonts w:eastAsia="Calibri"/>
          <w:sz w:val="28"/>
          <w:szCs w:val="28"/>
          <w:lang w:val="uk-UA"/>
        </w:rPr>
        <w:t xml:space="preserve"> В розрізі галузей соціально-культурної сфери кошти бюджету розвитку використані на:</w:t>
      </w:r>
    </w:p>
    <w:p w:rsidR="00551750" w:rsidRDefault="00551750" w:rsidP="003D0E58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794055">
        <w:rPr>
          <w:rFonts w:eastAsia="Calibri"/>
          <w:sz w:val="28"/>
          <w:szCs w:val="28"/>
          <w:lang w:val="uk-UA"/>
        </w:rPr>
        <w:t>охорону здоров’я - 4,6 млн.грн., в тому числі на придбання обладнання та предметів довгострокового користування – 0,</w:t>
      </w:r>
      <w:r w:rsidRPr="00551750">
        <w:rPr>
          <w:rFonts w:eastAsia="Calibri"/>
          <w:sz w:val="28"/>
          <w:szCs w:val="28"/>
          <w:lang w:val="uk-UA"/>
        </w:rPr>
        <w:t>9</w:t>
      </w:r>
      <w:r w:rsidRPr="00794055">
        <w:rPr>
          <w:rFonts w:eastAsia="Calibri"/>
          <w:sz w:val="28"/>
          <w:szCs w:val="28"/>
          <w:lang w:val="uk-UA"/>
        </w:rPr>
        <w:t xml:space="preserve"> млн.грн., капітальні ремонти – </w:t>
      </w:r>
      <w:r w:rsidRPr="00551750">
        <w:rPr>
          <w:rFonts w:eastAsia="Calibri"/>
          <w:sz w:val="28"/>
          <w:szCs w:val="28"/>
          <w:lang w:val="uk-UA"/>
        </w:rPr>
        <w:t>1.7</w:t>
      </w:r>
      <w:r w:rsidRPr="00794055">
        <w:rPr>
          <w:rFonts w:eastAsia="Calibri"/>
          <w:sz w:val="28"/>
          <w:szCs w:val="28"/>
          <w:lang w:val="uk-UA"/>
        </w:rPr>
        <w:t> млн.грн., будівництво і реконструкцію – 2,</w:t>
      </w:r>
      <w:r w:rsidRPr="00551750">
        <w:rPr>
          <w:rFonts w:eastAsia="Calibri"/>
          <w:sz w:val="28"/>
          <w:szCs w:val="28"/>
          <w:lang w:val="uk-UA"/>
        </w:rPr>
        <w:t>0</w:t>
      </w:r>
      <w:r w:rsidRPr="00794055">
        <w:rPr>
          <w:rFonts w:eastAsia="Calibri"/>
          <w:sz w:val="28"/>
          <w:szCs w:val="28"/>
          <w:lang w:val="uk-UA"/>
        </w:rPr>
        <w:t xml:space="preserve"> млн.грн. </w:t>
      </w:r>
      <w:r w:rsidRPr="00794055">
        <w:rPr>
          <w:rFonts w:eastAsia="Calibri"/>
          <w:sz w:val="28"/>
          <w:szCs w:val="28"/>
          <w:lang w:val="uk-UA"/>
        </w:rPr>
        <w:lastRenderedPageBreak/>
        <w:t xml:space="preserve">Тривали роботи з капітального ремонту у </w:t>
      </w:r>
      <w:r w:rsidRPr="00551750">
        <w:rPr>
          <w:rFonts w:eastAsia="Calibri"/>
          <w:sz w:val="28"/>
          <w:szCs w:val="28"/>
          <w:lang w:val="uk-UA"/>
        </w:rPr>
        <w:t>3-х</w:t>
      </w:r>
      <w:r w:rsidRPr="00794055">
        <w:rPr>
          <w:rFonts w:eastAsia="Calibri"/>
          <w:sz w:val="28"/>
          <w:szCs w:val="28"/>
          <w:lang w:val="uk-UA"/>
        </w:rPr>
        <w:t xml:space="preserve"> лікувально-профілактичних закладах та реконструкції у 3-х лікувально-профілактичних закладах</w:t>
      </w:r>
      <w:r>
        <w:rPr>
          <w:rFonts w:eastAsia="Calibri"/>
          <w:sz w:val="28"/>
          <w:szCs w:val="28"/>
          <w:lang w:val="uk-UA"/>
        </w:rPr>
        <w:t>;</w:t>
      </w:r>
    </w:p>
    <w:p w:rsidR="0063723C" w:rsidRPr="0063723C" w:rsidRDefault="00551750" w:rsidP="003D0E58">
      <w:pPr>
        <w:pStyle w:val="justifyfull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3A3D77">
        <w:rPr>
          <w:rFonts w:eastAsia="Calibri"/>
          <w:sz w:val="28"/>
          <w:szCs w:val="28"/>
          <w:lang w:val="uk-UA"/>
        </w:rPr>
        <w:t xml:space="preserve">освіту - 1,8 млн.грн., в тому числі на </w:t>
      </w:r>
      <w:r w:rsidR="00AE060D">
        <w:rPr>
          <w:rFonts w:eastAsia="Calibri"/>
          <w:sz w:val="28"/>
          <w:szCs w:val="28"/>
          <w:lang w:val="uk-UA"/>
        </w:rPr>
        <w:t xml:space="preserve">продовження </w:t>
      </w:r>
      <w:r w:rsidRPr="003A3D77">
        <w:rPr>
          <w:rFonts w:eastAsia="Calibri"/>
          <w:sz w:val="28"/>
          <w:szCs w:val="28"/>
          <w:lang w:val="uk-UA"/>
        </w:rPr>
        <w:t>роб</w:t>
      </w:r>
      <w:r w:rsidR="00AE060D">
        <w:rPr>
          <w:rFonts w:eastAsia="Calibri"/>
          <w:sz w:val="28"/>
          <w:szCs w:val="28"/>
          <w:lang w:val="uk-UA"/>
        </w:rPr>
        <w:t>і</w:t>
      </w:r>
      <w:r w:rsidRPr="003A3D77">
        <w:rPr>
          <w:rFonts w:eastAsia="Calibri"/>
          <w:sz w:val="28"/>
          <w:szCs w:val="28"/>
          <w:lang w:val="uk-UA"/>
        </w:rPr>
        <w:t xml:space="preserve">т з капітального ремонту ДНЗ №169 та </w:t>
      </w:r>
      <w:r>
        <w:rPr>
          <w:rFonts w:eastAsia="Calibri"/>
          <w:sz w:val="28"/>
          <w:szCs w:val="28"/>
        </w:rPr>
        <w:t>ДНЗ №</w:t>
      </w:r>
      <w:r w:rsidRPr="003A3D77">
        <w:rPr>
          <w:rFonts w:eastAsia="Calibri"/>
          <w:sz w:val="28"/>
          <w:szCs w:val="28"/>
          <w:lang w:val="uk-UA"/>
        </w:rPr>
        <w:t>217 – 1,2 млн.грн., спортивного залу школи №65 – 0,5 млн.грн.</w:t>
      </w:r>
      <w:r>
        <w:rPr>
          <w:rFonts w:eastAsia="Calibri"/>
          <w:sz w:val="28"/>
          <w:szCs w:val="28"/>
          <w:lang w:val="uk-UA"/>
        </w:rPr>
        <w:t>;</w:t>
      </w:r>
    </w:p>
    <w:p w:rsidR="00F3253A" w:rsidRPr="00DB590E" w:rsidRDefault="00551750" w:rsidP="00F3253A">
      <w:pPr>
        <w:pStyle w:val="justifyfull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DB590E">
        <w:rPr>
          <w:rFonts w:eastAsia="Calibri"/>
          <w:sz w:val="28"/>
          <w:szCs w:val="28"/>
          <w:lang w:val="uk-UA"/>
        </w:rPr>
        <w:t>культуру і мистецтво</w:t>
      </w:r>
      <w:r w:rsidR="00DB590E">
        <w:rPr>
          <w:rFonts w:eastAsia="Calibri"/>
          <w:sz w:val="28"/>
          <w:szCs w:val="28"/>
          <w:lang w:val="uk-UA"/>
        </w:rPr>
        <w:t>, фізичну культуру і спорт</w:t>
      </w:r>
      <w:r w:rsidRPr="00DB590E">
        <w:rPr>
          <w:rFonts w:eastAsia="Calibri"/>
          <w:sz w:val="28"/>
          <w:szCs w:val="28"/>
          <w:lang w:val="uk-UA"/>
        </w:rPr>
        <w:t xml:space="preserve"> – 0,</w:t>
      </w:r>
      <w:r w:rsidR="00DB590E">
        <w:rPr>
          <w:rFonts w:eastAsia="Calibri"/>
          <w:sz w:val="28"/>
          <w:szCs w:val="28"/>
          <w:lang w:val="uk-UA"/>
        </w:rPr>
        <w:t>4 млн.грн.</w:t>
      </w:r>
    </w:p>
    <w:p w:rsidR="00F3253A" w:rsidRPr="00F3253A" w:rsidRDefault="00F3253A" w:rsidP="00B75C5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F3253A">
        <w:rPr>
          <w:rFonts w:eastAsia="Calibri"/>
          <w:sz w:val="28"/>
          <w:szCs w:val="28"/>
          <w:lang w:val="uk-UA"/>
        </w:rPr>
        <w:t>Видатки на житлово-комунальне та дорожнє господарство склали 275,7 млн.грн., планові показники відповідного періоду виконані на 92,3%. Кошти спрямовані на реалізацію заходів наступних програм:</w:t>
      </w:r>
    </w:p>
    <w:p w:rsidR="00F3253A" w:rsidRPr="00AD4F7E" w:rsidRDefault="00F3253A" w:rsidP="00F3253A">
      <w:pPr>
        <w:ind w:firstLine="708"/>
        <w:jc w:val="both"/>
        <w:rPr>
          <w:sz w:val="28"/>
          <w:szCs w:val="28"/>
          <w:lang w:val="uk-UA"/>
        </w:rPr>
      </w:pPr>
      <w:r w:rsidRPr="00AD4F7E">
        <w:rPr>
          <w:rFonts w:eastAsia="Calibri"/>
          <w:sz w:val="28"/>
          <w:szCs w:val="28"/>
          <w:lang w:val="uk-UA"/>
        </w:rPr>
        <w:t xml:space="preserve">- </w:t>
      </w:r>
      <w:r w:rsidRPr="00AD4F7E">
        <w:rPr>
          <w:i/>
          <w:sz w:val="28"/>
          <w:szCs w:val="28"/>
          <w:lang w:val="uk-UA"/>
        </w:rPr>
        <w:t xml:space="preserve">Програма розвитку та утримання житлово-комунального господарства (з урахуванням коштів депутатського фонду) </w:t>
      </w:r>
      <w:r w:rsidRPr="00AD4F7E">
        <w:rPr>
          <w:sz w:val="28"/>
          <w:szCs w:val="28"/>
          <w:lang w:val="uk-UA"/>
        </w:rPr>
        <w:t>– 178,8 млн.грн. або 99,5</w:t>
      </w:r>
      <w:r>
        <w:rPr>
          <w:sz w:val="28"/>
          <w:szCs w:val="28"/>
          <w:lang w:val="uk-UA"/>
        </w:rPr>
        <w:t xml:space="preserve">% до </w:t>
      </w:r>
      <w:r w:rsidRPr="00AD4F7E">
        <w:rPr>
          <w:sz w:val="28"/>
          <w:szCs w:val="28"/>
          <w:lang w:val="uk-UA"/>
        </w:rPr>
        <w:t>планових видатків на відповідний період</w:t>
      </w:r>
      <w:r w:rsidRPr="00AD4F7E">
        <w:rPr>
          <w:rFonts w:eastAsia="Calibri"/>
          <w:sz w:val="28"/>
          <w:szCs w:val="28"/>
          <w:lang w:val="uk-UA"/>
        </w:rPr>
        <w:t xml:space="preserve">, з яких на </w:t>
      </w:r>
      <w:r w:rsidRPr="00AD4F7E">
        <w:rPr>
          <w:sz w:val="28"/>
          <w:szCs w:val="28"/>
          <w:lang w:val="uk-UA"/>
        </w:rPr>
        <w:t xml:space="preserve">фінансову підтримку комунальним підприємствам галузі – 164,8 млн.грн., проведення капітального ремонту житлового фонду комунальної власності міста та об’єднань співвласників багатоквартирних будинків – 4,4 млн.грн., утримання прибудинкових територій </w:t>
      </w:r>
      <w:r>
        <w:rPr>
          <w:sz w:val="28"/>
          <w:szCs w:val="28"/>
          <w:lang w:val="uk-UA"/>
        </w:rPr>
        <w:t xml:space="preserve">– </w:t>
      </w:r>
      <w:r w:rsidRPr="00AD4F7E">
        <w:rPr>
          <w:sz w:val="28"/>
          <w:szCs w:val="28"/>
          <w:lang w:val="uk-UA"/>
        </w:rPr>
        <w:t>4,4 млн.грн.,забезпечення надійної та безперебійної експлуатації ліфтів – 2,9 млн.грн.</w:t>
      </w:r>
    </w:p>
    <w:p w:rsidR="00F3253A" w:rsidRPr="00AD4F7E" w:rsidRDefault="00F3253A" w:rsidP="00F3253A">
      <w:pPr>
        <w:ind w:firstLine="708"/>
        <w:jc w:val="both"/>
        <w:rPr>
          <w:sz w:val="28"/>
          <w:szCs w:val="28"/>
          <w:lang w:val="uk-UA"/>
        </w:rPr>
      </w:pPr>
      <w:r w:rsidRPr="00AD4F7E">
        <w:rPr>
          <w:sz w:val="28"/>
          <w:szCs w:val="28"/>
          <w:lang w:val="uk-UA"/>
        </w:rPr>
        <w:t>З метою приведення прибудинкових територій до належного санітарного стану з початку року вико</w:t>
      </w:r>
      <w:r>
        <w:rPr>
          <w:sz w:val="28"/>
          <w:szCs w:val="28"/>
          <w:lang w:val="uk-UA"/>
        </w:rPr>
        <w:t xml:space="preserve">нано роботи з прибирання снігу </w:t>
      </w:r>
      <w:r w:rsidRPr="00AD4F7E">
        <w:rPr>
          <w:sz w:val="28"/>
          <w:szCs w:val="28"/>
          <w:lang w:val="uk-UA"/>
        </w:rPr>
        <w:t>та посипання території</w:t>
      </w:r>
      <w:r w:rsidR="00DB590E">
        <w:rPr>
          <w:sz w:val="28"/>
          <w:szCs w:val="28"/>
          <w:lang w:val="uk-UA"/>
        </w:rPr>
        <w:t>,</w:t>
      </w:r>
      <w:r w:rsidRPr="00AD4F7E">
        <w:rPr>
          <w:sz w:val="28"/>
          <w:szCs w:val="28"/>
          <w:lang w:val="uk-UA"/>
        </w:rPr>
        <w:t xml:space="preserve"> вивезено 2,8</w:t>
      </w:r>
      <w:r w:rsidR="00DB590E">
        <w:rPr>
          <w:sz w:val="28"/>
          <w:szCs w:val="28"/>
          <w:lang w:val="uk-UA"/>
        </w:rPr>
        <w:t> </w:t>
      </w:r>
      <w:proofErr w:type="spellStart"/>
      <w:r w:rsidRPr="00AD4F7E">
        <w:rPr>
          <w:sz w:val="28"/>
          <w:szCs w:val="28"/>
          <w:lang w:val="uk-UA"/>
        </w:rPr>
        <w:t>тис.т</w:t>
      </w:r>
      <w:proofErr w:type="spellEnd"/>
      <w:r w:rsidRPr="00AD4F7E">
        <w:rPr>
          <w:sz w:val="28"/>
          <w:szCs w:val="28"/>
          <w:lang w:val="uk-UA"/>
        </w:rPr>
        <w:t xml:space="preserve"> опалого листя та гілля, проведено санітарну обрізку 117 дерев. </w:t>
      </w:r>
    </w:p>
    <w:p w:rsidR="00F3253A" w:rsidRPr="001829A0" w:rsidRDefault="00F3253A" w:rsidP="00F3253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1829A0">
        <w:rPr>
          <w:sz w:val="28"/>
          <w:szCs w:val="28"/>
          <w:lang w:val="uk-UA"/>
        </w:rPr>
        <w:t>Продовжується виконання комплексу ремонтно-будівельних робіт, направлених на поліпшення експлуатаційних показників житлових будинків. Зокрема, в</w:t>
      </w:r>
      <w:r w:rsidRPr="001829A0">
        <w:rPr>
          <w:color w:val="000000"/>
          <w:sz w:val="28"/>
          <w:szCs w:val="28"/>
          <w:lang w:val="uk-UA"/>
        </w:rPr>
        <w:t xml:space="preserve"> рамках виконання вибіркового капітального ремонту завершено роботи на 3-х об’єктах, проведено заміну 3,7</w:t>
      </w:r>
      <w:r w:rsidR="00DB590E" w:rsidRPr="001829A0">
        <w:rPr>
          <w:color w:val="000000"/>
          <w:sz w:val="28"/>
          <w:szCs w:val="28"/>
          <w:lang w:val="uk-UA"/>
        </w:rPr>
        <w:t> </w:t>
      </w:r>
      <w:proofErr w:type="spellStart"/>
      <w:r w:rsidRPr="001829A0">
        <w:rPr>
          <w:color w:val="000000"/>
          <w:sz w:val="28"/>
          <w:szCs w:val="28"/>
          <w:lang w:val="uk-UA"/>
        </w:rPr>
        <w:t>тис.п.м</w:t>
      </w:r>
      <w:proofErr w:type="spellEnd"/>
      <w:r w:rsidRPr="001829A0">
        <w:rPr>
          <w:color w:val="000000"/>
          <w:sz w:val="28"/>
          <w:szCs w:val="28"/>
          <w:lang w:val="uk-UA"/>
        </w:rPr>
        <w:t xml:space="preserve"> інженерних мереж </w:t>
      </w:r>
      <w:r w:rsidR="00DB590E" w:rsidRPr="001829A0">
        <w:rPr>
          <w:color w:val="000000"/>
          <w:sz w:val="28"/>
          <w:szCs w:val="28"/>
          <w:lang w:val="uk-UA"/>
        </w:rPr>
        <w:t>в</w:t>
      </w:r>
      <w:r w:rsidRPr="001829A0">
        <w:rPr>
          <w:color w:val="000000"/>
          <w:sz w:val="28"/>
          <w:szCs w:val="28"/>
          <w:lang w:val="uk-UA"/>
        </w:rPr>
        <w:t xml:space="preserve"> 4-х будинках, в</w:t>
      </w:r>
      <w:r w:rsidR="00DB590E" w:rsidRPr="001829A0">
        <w:rPr>
          <w:color w:val="000000"/>
          <w:sz w:val="28"/>
          <w:szCs w:val="28"/>
          <w:lang w:val="uk-UA"/>
        </w:rPr>
        <w:t>ідремонтовано</w:t>
      </w:r>
      <w:r w:rsidRPr="001829A0">
        <w:rPr>
          <w:color w:val="000000"/>
          <w:sz w:val="28"/>
          <w:szCs w:val="28"/>
          <w:lang w:val="uk-UA"/>
        </w:rPr>
        <w:t xml:space="preserve"> 3,4</w:t>
      </w:r>
      <w:r w:rsidR="00DB590E" w:rsidRPr="001829A0">
        <w:rPr>
          <w:color w:val="000000"/>
          <w:sz w:val="28"/>
          <w:szCs w:val="28"/>
          <w:lang w:val="uk-UA"/>
        </w:rPr>
        <w:t> </w:t>
      </w:r>
      <w:proofErr w:type="spellStart"/>
      <w:r w:rsidRPr="001829A0">
        <w:rPr>
          <w:color w:val="000000"/>
          <w:sz w:val="28"/>
          <w:szCs w:val="28"/>
          <w:lang w:val="uk-UA"/>
        </w:rPr>
        <w:t>тис.кв.м</w:t>
      </w:r>
      <w:proofErr w:type="spellEnd"/>
      <w:r w:rsidRPr="001829A0">
        <w:rPr>
          <w:color w:val="000000"/>
          <w:sz w:val="28"/>
          <w:szCs w:val="28"/>
          <w:lang w:val="uk-UA"/>
        </w:rPr>
        <w:t xml:space="preserve"> покрівлі на 2-х будинках, виконано капітальний ремонт 1-го гуртожитку, проведено модернізацію 4</w:t>
      </w:r>
      <w:r w:rsidR="001829A0" w:rsidRPr="001829A0">
        <w:rPr>
          <w:color w:val="000000"/>
          <w:sz w:val="28"/>
          <w:szCs w:val="28"/>
          <w:lang w:val="uk-UA"/>
        </w:rPr>
        <w:t>-х</w:t>
      </w:r>
      <w:r w:rsidRPr="001829A0">
        <w:rPr>
          <w:color w:val="000000"/>
          <w:sz w:val="28"/>
          <w:szCs w:val="28"/>
          <w:lang w:val="uk-UA"/>
        </w:rPr>
        <w:t xml:space="preserve"> ліфтів, виконано експертне обстеження 21</w:t>
      </w:r>
      <w:r w:rsidR="001829A0" w:rsidRPr="001829A0">
        <w:rPr>
          <w:color w:val="000000"/>
          <w:sz w:val="28"/>
          <w:szCs w:val="28"/>
          <w:lang w:val="uk-UA"/>
        </w:rPr>
        <w:t>-го</w:t>
      </w:r>
      <w:r w:rsidRPr="001829A0">
        <w:rPr>
          <w:color w:val="000000"/>
          <w:sz w:val="28"/>
          <w:szCs w:val="28"/>
          <w:lang w:val="uk-UA"/>
        </w:rPr>
        <w:t xml:space="preserve"> ліфт</w:t>
      </w:r>
      <w:r w:rsidR="001829A0" w:rsidRPr="001829A0">
        <w:rPr>
          <w:color w:val="000000"/>
          <w:sz w:val="28"/>
          <w:szCs w:val="28"/>
          <w:lang w:val="uk-UA"/>
        </w:rPr>
        <w:t>а</w:t>
      </w:r>
      <w:r w:rsidRPr="001829A0">
        <w:rPr>
          <w:color w:val="000000"/>
          <w:sz w:val="28"/>
          <w:szCs w:val="28"/>
          <w:lang w:val="uk-UA"/>
        </w:rPr>
        <w:t>.</w:t>
      </w:r>
    </w:p>
    <w:p w:rsidR="001829A0" w:rsidRDefault="00F3253A" w:rsidP="00F3253A">
      <w:pPr>
        <w:ind w:firstLine="708"/>
        <w:jc w:val="both"/>
        <w:rPr>
          <w:sz w:val="28"/>
          <w:szCs w:val="28"/>
          <w:lang w:val="uk-UA"/>
        </w:rPr>
      </w:pPr>
      <w:r w:rsidRPr="00AD4F7E">
        <w:rPr>
          <w:sz w:val="28"/>
          <w:szCs w:val="28"/>
          <w:lang w:val="uk-UA"/>
        </w:rPr>
        <w:t>Виконуються будівельні роботи на об’єктах житлово-комунального та каналізаційн</w:t>
      </w:r>
      <w:r>
        <w:rPr>
          <w:sz w:val="28"/>
          <w:szCs w:val="28"/>
          <w:lang w:val="uk-UA"/>
        </w:rPr>
        <w:t>о-</w:t>
      </w:r>
      <w:r w:rsidRPr="00AD4F7E">
        <w:rPr>
          <w:sz w:val="28"/>
          <w:szCs w:val="28"/>
          <w:lang w:val="uk-UA"/>
        </w:rPr>
        <w:t xml:space="preserve">водопровідного господарства. Загалом, видатки по даним напрямкам на звітну дату склали </w:t>
      </w:r>
      <w:r>
        <w:rPr>
          <w:sz w:val="28"/>
          <w:szCs w:val="28"/>
          <w:lang w:val="uk-UA"/>
        </w:rPr>
        <w:t>2,3 </w:t>
      </w:r>
      <w:r w:rsidRPr="00AD4F7E">
        <w:rPr>
          <w:sz w:val="28"/>
          <w:szCs w:val="28"/>
          <w:lang w:val="uk-UA"/>
        </w:rPr>
        <w:t>млн.грн.</w:t>
      </w:r>
    </w:p>
    <w:p w:rsidR="00F3253A" w:rsidRPr="00AD4F7E" w:rsidRDefault="00F3253A" w:rsidP="00F3253A">
      <w:pPr>
        <w:ind w:firstLine="708"/>
        <w:jc w:val="both"/>
        <w:rPr>
          <w:sz w:val="28"/>
          <w:szCs w:val="28"/>
          <w:lang w:val="uk-UA"/>
        </w:rPr>
      </w:pPr>
      <w:r w:rsidRPr="00AD4F7E">
        <w:rPr>
          <w:i/>
          <w:sz w:val="28"/>
          <w:szCs w:val="28"/>
          <w:lang w:val="uk-UA"/>
        </w:rPr>
        <w:t xml:space="preserve">- Програма розвитку інфраструктури та комплексного благоустрою міста Запоріжжя (з урахуванням коштів депутатського фонду) </w:t>
      </w:r>
      <w:r w:rsidRPr="00AD4F7E">
        <w:rPr>
          <w:sz w:val="28"/>
          <w:szCs w:val="28"/>
          <w:lang w:val="uk-UA"/>
        </w:rPr>
        <w:t>–</w:t>
      </w:r>
      <w:r w:rsidRPr="00AD4F7E">
        <w:rPr>
          <w:color w:val="FF0000"/>
          <w:sz w:val="28"/>
          <w:szCs w:val="28"/>
          <w:lang w:val="uk-UA"/>
        </w:rPr>
        <w:t xml:space="preserve"> </w:t>
      </w:r>
      <w:r w:rsidRPr="00AD4F7E">
        <w:rPr>
          <w:sz w:val="28"/>
          <w:szCs w:val="28"/>
          <w:lang w:val="uk-UA"/>
        </w:rPr>
        <w:t>95,4 млн.грн., що становить 83,6% планових показників.</w:t>
      </w:r>
    </w:p>
    <w:p w:rsidR="00F3253A" w:rsidRPr="00AD4F7E" w:rsidRDefault="00F3253A" w:rsidP="00F3253A">
      <w:pPr>
        <w:pStyle w:val="justifyfull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AD4F7E">
        <w:rPr>
          <w:rFonts w:eastAsia="Calibri"/>
          <w:sz w:val="28"/>
          <w:szCs w:val="28"/>
          <w:lang w:val="uk-UA"/>
        </w:rPr>
        <w:t xml:space="preserve">На проведення заходів з благоустрою міста з бюджету направлено кошти у розмірі 33,5 млн.грн., які спрямовано на забезпечення зовнішнього освітлення міста та утримання </w:t>
      </w:r>
      <w:proofErr w:type="spellStart"/>
      <w:r w:rsidRPr="00AD4F7E">
        <w:rPr>
          <w:rFonts w:eastAsia="Calibri"/>
          <w:sz w:val="28"/>
          <w:szCs w:val="28"/>
          <w:lang w:val="uk-UA"/>
        </w:rPr>
        <w:t>світлоточок</w:t>
      </w:r>
      <w:proofErr w:type="spellEnd"/>
      <w:r w:rsidRPr="00AD4F7E">
        <w:rPr>
          <w:rFonts w:eastAsia="Calibri"/>
          <w:sz w:val="28"/>
          <w:szCs w:val="28"/>
          <w:lang w:val="uk-UA"/>
        </w:rPr>
        <w:t xml:space="preserve"> – 15,1</w:t>
      </w:r>
      <w:r w:rsidR="00B75C54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млн.грн., догляд за зеленими насадженнями – 8,2</w:t>
      </w:r>
      <w:r w:rsidR="00B75C54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млн.грн., поточний ремонт та утримання парків, пляжів, фонтанів, громадських вбиралень та кладовищ – 6,1</w:t>
      </w:r>
      <w:r w:rsidR="00B75C54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млн.грн., організацію дорожнього руху – 2,3</w:t>
      </w:r>
      <w:r w:rsidR="00B75C54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 xml:space="preserve">млн.грн., </w:t>
      </w:r>
      <w:proofErr w:type="spellStart"/>
      <w:r w:rsidRPr="00AD4F7E">
        <w:rPr>
          <w:rFonts w:eastAsia="Calibri"/>
          <w:sz w:val="28"/>
          <w:szCs w:val="28"/>
          <w:lang w:val="uk-UA"/>
        </w:rPr>
        <w:t>енерго-</w:t>
      </w:r>
      <w:proofErr w:type="spellEnd"/>
      <w:r w:rsidRPr="00AD4F7E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AD4F7E">
        <w:rPr>
          <w:rFonts w:eastAsia="Calibri"/>
          <w:sz w:val="28"/>
          <w:szCs w:val="28"/>
          <w:lang w:val="uk-UA"/>
        </w:rPr>
        <w:t>газо-</w:t>
      </w:r>
      <w:proofErr w:type="spellEnd"/>
      <w:r w:rsidRPr="00AD4F7E">
        <w:rPr>
          <w:rFonts w:eastAsia="Calibri"/>
          <w:sz w:val="28"/>
          <w:szCs w:val="28"/>
          <w:lang w:val="uk-UA"/>
        </w:rPr>
        <w:t>, водопостачання об’єктів благоустрою – 0,4</w:t>
      </w:r>
      <w:r w:rsidR="00B75C54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млн.грн., ліквідаці</w:t>
      </w:r>
      <w:r w:rsidR="001829A0">
        <w:rPr>
          <w:rFonts w:eastAsia="Calibri"/>
          <w:sz w:val="28"/>
          <w:szCs w:val="28"/>
          <w:lang w:val="uk-UA"/>
        </w:rPr>
        <w:t>ю</w:t>
      </w:r>
      <w:r w:rsidRPr="00AD4F7E">
        <w:rPr>
          <w:rFonts w:eastAsia="Calibri"/>
          <w:sz w:val="28"/>
          <w:szCs w:val="28"/>
          <w:lang w:val="uk-UA"/>
        </w:rPr>
        <w:t xml:space="preserve"> стихійних звалищ </w:t>
      </w:r>
      <w:r w:rsidR="001829A0">
        <w:rPr>
          <w:rFonts w:eastAsia="Calibri"/>
          <w:sz w:val="28"/>
          <w:szCs w:val="28"/>
          <w:lang w:val="uk-UA"/>
        </w:rPr>
        <w:t xml:space="preserve">- </w:t>
      </w:r>
      <w:r w:rsidRPr="00AD4F7E">
        <w:rPr>
          <w:rFonts w:eastAsia="Calibri"/>
          <w:sz w:val="28"/>
          <w:szCs w:val="28"/>
          <w:lang w:val="uk-UA"/>
        </w:rPr>
        <w:t>0,4 млн.грн.</w:t>
      </w:r>
      <w:r w:rsidR="001829A0">
        <w:rPr>
          <w:rFonts w:eastAsia="Calibri"/>
          <w:sz w:val="28"/>
          <w:szCs w:val="28"/>
          <w:lang w:val="uk-UA"/>
        </w:rPr>
        <w:t xml:space="preserve"> тощо</w:t>
      </w:r>
      <w:r w:rsidRPr="00AD4F7E">
        <w:rPr>
          <w:rFonts w:eastAsia="Calibri"/>
          <w:sz w:val="28"/>
          <w:szCs w:val="28"/>
          <w:lang w:val="uk-UA"/>
        </w:rPr>
        <w:t xml:space="preserve">. </w:t>
      </w:r>
    </w:p>
    <w:p w:rsidR="00F3253A" w:rsidRPr="00AD4F7E" w:rsidRDefault="00F3253A" w:rsidP="00F3253A">
      <w:pPr>
        <w:tabs>
          <w:tab w:val="left" w:pos="284"/>
        </w:tabs>
        <w:ind w:firstLine="708"/>
        <w:jc w:val="both"/>
        <w:rPr>
          <w:rFonts w:eastAsia="Calibri"/>
          <w:sz w:val="28"/>
          <w:szCs w:val="28"/>
          <w:lang w:val="uk-UA"/>
        </w:rPr>
      </w:pPr>
      <w:r w:rsidRPr="00AD4F7E">
        <w:rPr>
          <w:rFonts w:eastAsia="Calibri"/>
          <w:sz w:val="28"/>
          <w:szCs w:val="28"/>
          <w:lang w:val="uk-UA"/>
        </w:rPr>
        <w:t>На оплату робіт, пов’язаних із будівництвом, реконструкцією, ремонтом та утриманням автомобільних доріг з бюджету міста витрачено 57,6</w:t>
      </w:r>
      <w:r w:rsidR="001829A0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</w:t>
      </w:r>
      <w:r w:rsidR="001829A0">
        <w:rPr>
          <w:rFonts w:eastAsia="Calibri"/>
          <w:sz w:val="28"/>
          <w:szCs w:val="28"/>
          <w:lang w:val="uk-UA"/>
        </w:rPr>
        <w:t>,</w:t>
      </w:r>
      <w:r w:rsidRPr="00AD4F7E">
        <w:rPr>
          <w:rFonts w:eastAsia="Calibri"/>
          <w:sz w:val="28"/>
          <w:szCs w:val="28"/>
          <w:lang w:val="uk-UA"/>
        </w:rPr>
        <w:t xml:space="preserve"> в тому числі 23,2</w:t>
      </w:r>
      <w:r w:rsidR="001829A0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млн.грн.</w:t>
      </w:r>
      <w:r w:rsidR="001829A0">
        <w:rPr>
          <w:rFonts w:eastAsia="Calibri"/>
          <w:sz w:val="28"/>
          <w:szCs w:val="28"/>
          <w:lang w:val="uk-UA"/>
        </w:rPr>
        <w:t xml:space="preserve"> -</w:t>
      </w:r>
      <w:r w:rsidRPr="00AD4F7E">
        <w:rPr>
          <w:rFonts w:eastAsia="Calibri"/>
          <w:sz w:val="28"/>
          <w:szCs w:val="28"/>
          <w:lang w:val="uk-UA"/>
        </w:rPr>
        <w:t xml:space="preserve"> на завершення робіт з</w:t>
      </w:r>
      <w:r w:rsidR="00B75C54">
        <w:rPr>
          <w:rFonts w:eastAsia="Calibri"/>
          <w:sz w:val="28"/>
          <w:szCs w:val="28"/>
          <w:lang w:val="uk-UA"/>
        </w:rPr>
        <w:t xml:space="preserve"> </w:t>
      </w:r>
      <w:r w:rsidRPr="00AD4F7E">
        <w:rPr>
          <w:rFonts w:eastAsia="Calibri"/>
          <w:sz w:val="28"/>
          <w:szCs w:val="28"/>
          <w:lang w:val="uk-UA"/>
        </w:rPr>
        <w:t>реконструкції автодороги по пр.</w:t>
      </w:r>
      <w:r w:rsidR="001829A0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Маяковського від вул.</w:t>
      </w:r>
      <w:r w:rsidR="001829A0">
        <w:rPr>
          <w:rFonts w:eastAsia="Calibri"/>
          <w:sz w:val="28"/>
          <w:szCs w:val="28"/>
          <w:lang w:val="uk-UA"/>
        </w:rPr>
        <w:t> </w:t>
      </w:r>
      <w:r w:rsidRPr="00AD4F7E">
        <w:rPr>
          <w:rFonts w:eastAsia="Calibri"/>
          <w:sz w:val="28"/>
          <w:szCs w:val="28"/>
          <w:lang w:val="uk-UA"/>
        </w:rPr>
        <w:t>Патр</w:t>
      </w:r>
      <w:r w:rsidR="00B75C54">
        <w:rPr>
          <w:rFonts w:eastAsia="Calibri"/>
          <w:sz w:val="28"/>
          <w:szCs w:val="28"/>
          <w:lang w:val="uk-UA"/>
        </w:rPr>
        <w:t>іотичної до каскаду "Веселка", шляхопроводу по пр. </w:t>
      </w:r>
      <w:r w:rsidRPr="00AD4F7E">
        <w:rPr>
          <w:rFonts w:eastAsia="Calibri"/>
          <w:sz w:val="28"/>
          <w:szCs w:val="28"/>
          <w:lang w:val="uk-UA"/>
        </w:rPr>
        <w:t xml:space="preserve">Металургів та шляхопроводу №1 по вул. Калібровій. Завершено реконструкцію проїзної частини прилеглої до </w:t>
      </w:r>
      <w:proofErr w:type="spellStart"/>
      <w:r w:rsidRPr="00AD4F7E">
        <w:rPr>
          <w:rFonts w:eastAsia="Calibri"/>
          <w:sz w:val="28"/>
          <w:szCs w:val="28"/>
          <w:lang w:val="uk-UA"/>
        </w:rPr>
        <w:t>ПС</w:t>
      </w:r>
      <w:proofErr w:type="spellEnd"/>
      <w:r w:rsidRPr="00AD4F7E">
        <w:rPr>
          <w:rFonts w:eastAsia="Calibri"/>
          <w:sz w:val="28"/>
          <w:szCs w:val="28"/>
          <w:lang w:val="uk-UA"/>
        </w:rPr>
        <w:t xml:space="preserve"> "Юність" .</w:t>
      </w:r>
    </w:p>
    <w:p w:rsidR="00F3253A" w:rsidRPr="00AD4F7E" w:rsidRDefault="00F3253A" w:rsidP="00F3253A">
      <w:pPr>
        <w:tabs>
          <w:tab w:val="left" w:pos="284"/>
        </w:tabs>
        <w:ind w:firstLine="708"/>
        <w:jc w:val="both"/>
        <w:rPr>
          <w:color w:val="FF0000"/>
          <w:sz w:val="28"/>
          <w:szCs w:val="28"/>
          <w:lang w:val="uk-UA"/>
        </w:rPr>
      </w:pPr>
      <w:r w:rsidRPr="00AD4F7E">
        <w:rPr>
          <w:sz w:val="28"/>
          <w:szCs w:val="28"/>
          <w:lang w:val="uk-UA"/>
        </w:rPr>
        <w:lastRenderedPageBreak/>
        <w:t>Видатки на будівництво та реконструкцію об’єктів комунальної інфраструктури проведені у сумі 3,5 млн.грн.</w:t>
      </w:r>
      <w:r w:rsidRPr="00AD4F7E">
        <w:rPr>
          <w:color w:val="FF0000"/>
          <w:sz w:val="28"/>
          <w:szCs w:val="28"/>
          <w:lang w:val="uk-UA"/>
        </w:rPr>
        <w:t xml:space="preserve"> </w:t>
      </w:r>
    </w:p>
    <w:p w:rsidR="00F3253A" w:rsidRPr="00AD4F7E" w:rsidRDefault="00F3253A" w:rsidP="00F3253A">
      <w:pPr>
        <w:ind w:firstLine="708"/>
        <w:jc w:val="both"/>
        <w:rPr>
          <w:sz w:val="28"/>
          <w:szCs w:val="28"/>
          <w:lang w:val="uk-UA"/>
        </w:rPr>
      </w:pPr>
      <w:r w:rsidRPr="00AD4F7E">
        <w:rPr>
          <w:sz w:val="28"/>
          <w:szCs w:val="28"/>
          <w:lang w:val="uk-UA"/>
        </w:rPr>
        <w:t xml:space="preserve">- </w:t>
      </w:r>
      <w:r w:rsidRPr="00AD4F7E">
        <w:rPr>
          <w:i/>
          <w:sz w:val="28"/>
          <w:szCs w:val="28"/>
          <w:lang w:val="uk-UA"/>
        </w:rPr>
        <w:t xml:space="preserve">Програма відшкодування відсоткових ставок за залученими в кредитно-фінансових установах короткостроковими кредитами, що надаються об"єднанням співвласників багатоквартирних будинків та житлово-будівельним кооперативам на реалізацію енергозберігаючих та </w:t>
      </w:r>
      <w:proofErr w:type="spellStart"/>
      <w:r w:rsidRPr="00AD4F7E">
        <w:rPr>
          <w:i/>
          <w:sz w:val="28"/>
          <w:szCs w:val="28"/>
          <w:lang w:val="uk-UA"/>
        </w:rPr>
        <w:t>енергоефективних</w:t>
      </w:r>
      <w:proofErr w:type="spellEnd"/>
      <w:r w:rsidRPr="00AD4F7E">
        <w:rPr>
          <w:i/>
          <w:sz w:val="28"/>
          <w:szCs w:val="28"/>
          <w:lang w:val="uk-UA"/>
        </w:rPr>
        <w:t xml:space="preserve"> проектів в житлово-комунальному господарстві – </w:t>
      </w:r>
      <w:r w:rsidRPr="00AD4F7E">
        <w:rPr>
          <w:sz w:val="28"/>
          <w:szCs w:val="28"/>
          <w:lang w:val="uk-UA"/>
        </w:rPr>
        <w:t>0,9 млн.грн. або 98,5% планових показників на відповідний період.</w:t>
      </w:r>
    </w:p>
    <w:p w:rsidR="00F3253A" w:rsidRDefault="00F3253A" w:rsidP="007330C5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D4F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Pr="00AD4F7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Програма поводження з тваринами </w:t>
      </w:r>
      <w:proofErr w:type="spellStart"/>
      <w:r w:rsidRPr="00AD4F7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м.Запоріжжя</w:t>
      </w:r>
      <w:proofErr w:type="spellEnd"/>
      <w:r w:rsidRPr="00AD4F7E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</w:t>
      </w:r>
      <w:r w:rsidRPr="00AD4F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- 0,4 млн.грн., що складає 85,5% планових показників на відповідний період.</w:t>
      </w:r>
    </w:p>
    <w:p w:rsidR="007330C5" w:rsidRPr="00AD4F7E" w:rsidRDefault="007330C5" w:rsidP="007330C5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розпочато реалізацію заходів </w:t>
      </w:r>
      <w:r w:rsidRPr="007330C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Програм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и</w:t>
      </w:r>
      <w:r w:rsidRPr="007330C5"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 xml:space="preserve"> відновлення інфраструктури території  приватного сектору міста Запоріжжя</w:t>
      </w:r>
      <w:r>
        <w:rPr>
          <w:rFonts w:ascii="Times New Roman" w:eastAsia="Calibri" w:hAnsi="Times New Roman" w:cs="Times New Roman"/>
          <w:i/>
          <w:sz w:val="28"/>
          <w:szCs w:val="28"/>
          <w:lang w:val="uk-UA" w:eastAsia="ru-RU"/>
        </w:rPr>
        <w:t>.</w:t>
      </w:r>
    </w:p>
    <w:p w:rsidR="00B75C54" w:rsidRPr="00B75C54" w:rsidRDefault="00F3253A" w:rsidP="00B75C5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B75C54">
        <w:rPr>
          <w:rFonts w:eastAsia="Calibri"/>
          <w:sz w:val="28"/>
          <w:szCs w:val="28"/>
          <w:lang w:val="uk-UA"/>
        </w:rPr>
        <w:t>На розвиток транспортної галузі спрямовано 105,6 млн.грн. (86,5% планових призначень), за рахунок яких здійснені видатки на забезпечення виконання умов договору фінансового лізингу на придбання автобусів великої місткості – 27,5</w:t>
      </w:r>
      <w:r w:rsidR="00B75C54" w:rsidRPr="00B75C54">
        <w:rPr>
          <w:rFonts w:eastAsia="Calibri"/>
          <w:sz w:val="28"/>
          <w:szCs w:val="28"/>
          <w:lang w:val="uk-UA"/>
        </w:rPr>
        <w:t> </w:t>
      </w:r>
      <w:r w:rsidRPr="00B75C54">
        <w:rPr>
          <w:rFonts w:eastAsia="Calibri"/>
          <w:sz w:val="28"/>
          <w:szCs w:val="28"/>
          <w:lang w:val="uk-UA"/>
        </w:rPr>
        <w:t>млн.грн., надано фінансову підтримку ЗКП МЕТ «</w:t>
      </w:r>
      <w:proofErr w:type="spellStart"/>
      <w:r w:rsidRPr="00B75C54">
        <w:rPr>
          <w:rFonts w:eastAsia="Calibri"/>
          <w:sz w:val="28"/>
          <w:szCs w:val="28"/>
          <w:lang w:val="uk-UA"/>
        </w:rPr>
        <w:t>Запоріжелектротранс</w:t>
      </w:r>
      <w:proofErr w:type="spellEnd"/>
      <w:r w:rsidRPr="00B75C54">
        <w:rPr>
          <w:rFonts w:eastAsia="Calibri"/>
          <w:sz w:val="28"/>
          <w:szCs w:val="28"/>
          <w:lang w:val="uk-UA"/>
        </w:rPr>
        <w:t>» для забезпечення належної та безперебійної роботи підприємства у сумі 78,1 млн.грн.</w:t>
      </w:r>
    </w:p>
    <w:p w:rsidR="00B75C54" w:rsidRPr="00B75C54" w:rsidRDefault="00F3253A" w:rsidP="00B75C5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B75C54">
        <w:rPr>
          <w:sz w:val="28"/>
          <w:szCs w:val="28"/>
          <w:lang w:val="uk-UA"/>
        </w:rPr>
        <w:t>На заходи у сфері зв’язку, телекомунікації та інформатики з бюджету спрямовано 3,5</w:t>
      </w:r>
      <w:r w:rsidR="00B75C54">
        <w:rPr>
          <w:sz w:val="28"/>
          <w:szCs w:val="28"/>
          <w:lang w:val="uk-UA"/>
        </w:rPr>
        <w:t> </w:t>
      </w:r>
      <w:r w:rsidRPr="00B75C54">
        <w:rPr>
          <w:sz w:val="28"/>
          <w:szCs w:val="28"/>
          <w:lang w:val="uk-UA"/>
        </w:rPr>
        <w:t xml:space="preserve">млн.грн., в тому числі на виконання міської цільової програми «Безпечне місто Запоріжжя» - 1,7 млн.грн., які спрямовано на створення системи </w:t>
      </w:r>
      <w:proofErr w:type="spellStart"/>
      <w:r w:rsidRPr="00B75C54">
        <w:rPr>
          <w:sz w:val="28"/>
          <w:szCs w:val="28"/>
          <w:lang w:val="uk-UA"/>
        </w:rPr>
        <w:t>відеоспостереження</w:t>
      </w:r>
      <w:proofErr w:type="spellEnd"/>
      <w:r w:rsidRPr="00B75C54">
        <w:rPr>
          <w:sz w:val="28"/>
          <w:szCs w:val="28"/>
          <w:lang w:val="uk-UA"/>
        </w:rPr>
        <w:t xml:space="preserve"> у місті. </w:t>
      </w:r>
    </w:p>
    <w:p w:rsidR="00B75C54" w:rsidRPr="00B75C54" w:rsidRDefault="00F3253A" w:rsidP="00B75C5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B75C54">
        <w:rPr>
          <w:sz w:val="28"/>
          <w:szCs w:val="28"/>
          <w:lang w:val="uk-UA"/>
        </w:rPr>
        <w:t>Видатки бюджету міста на запобігання та ліквідацію наслідків надзвичайних ситуацій техногенного і природного характеру та організацію рятування на водних об’єктах склали 4,1</w:t>
      </w:r>
      <w:r w:rsidR="00B75C54" w:rsidRPr="00B75C54">
        <w:rPr>
          <w:sz w:val="28"/>
          <w:szCs w:val="28"/>
          <w:lang w:val="uk-UA"/>
        </w:rPr>
        <w:t> </w:t>
      </w:r>
      <w:r w:rsidRPr="00B75C54">
        <w:rPr>
          <w:sz w:val="28"/>
          <w:szCs w:val="28"/>
          <w:lang w:val="uk-UA"/>
        </w:rPr>
        <w:t xml:space="preserve">млн.грн., або 90,4% до планових показників на відповідний період. </w:t>
      </w:r>
    </w:p>
    <w:p w:rsidR="00F3253A" w:rsidRPr="00B75C54" w:rsidRDefault="00F3253A" w:rsidP="00B75C54">
      <w:pPr>
        <w:pStyle w:val="justifyfull"/>
        <w:numPr>
          <w:ilvl w:val="0"/>
          <w:numId w:val="15"/>
        </w:numPr>
        <w:spacing w:before="0" w:beforeAutospacing="0" w:after="0" w:afterAutospacing="0"/>
        <w:ind w:left="0" w:firstLine="708"/>
        <w:jc w:val="both"/>
        <w:rPr>
          <w:rFonts w:eastAsia="Calibri"/>
          <w:sz w:val="28"/>
          <w:szCs w:val="28"/>
          <w:lang w:val="uk-UA"/>
        </w:rPr>
      </w:pPr>
      <w:r w:rsidRPr="00B75C54">
        <w:rPr>
          <w:sz w:val="28"/>
          <w:szCs w:val="28"/>
          <w:lang w:val="uk-UA"/>
        </w:rPr>
        <w:t>В рамках міської цільової програми забезпечення</w:t>
      </w:r>
      <w:r w:rsidR="001829A0">
        <w:rPr>
          <w:sz w:val="28"/>
          <w:szCs w:val="28"/>
          <w:lang w:val="uk-UA"/>
        </w:rPr>
        <w:t xml:space="preserve"> молоді житлом надано кредити чотирьом</w:t>
      </w:r>
      <w:r w:rsidRPr="00B75C54">
        <w:rPr>
          <w:sz w:val="28"/>
          <w:szCs w:val="28"/>
          <w:lang w:val="uk-UA"/>
        </w:rPr>
        <w:t xml:space="preserve"> позичальникам на придбання житла на загальну суму 2,9</w:t>
      </w:r>
      <w:r w:rsidR="00B75C54">
        <w:rPr>
          <w:sz w:val="28"/>
          <w:szCs w:val="28"/>
          <w:lang w:val="uk-UA"/>
        </w:rPr>
        <w:t> </w:t>
      </w:r>
      <w:r w:rsidRPr="00B75C54">
        <w:rPr>
          <w:sz w:val="28"/>
          <w:szCs w:val="28"/>
          <w:lang w:val="uk-UA"/>
        </w:rPr>
        <w:t>млн.грн.</w:t>
      </w:r>
    </w:p>
    <w:p w:rsidR="00D6537E" w:rsidRPr="009075C8" w:rsidRDefault="00D6537E" w:rsidP="00D6537E">
      <w:pPr>
        <w:pStyle w:val="21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34D7D">
        <w:rPr>
          <w:sz w:val="28"/>
          <w:szCs w:val="28"/>
        </w:rPr>
        <w:t xml:space="preserve">За даними звітності про виконання бюджету міста </w:t>
      </w:r>
      <w:r w:rsidR="00AB4CDC" w:rsidRPr="00834D7D">
        <w:rPr>
          <w:sz w:val="28"/>
          <w:szCs w:val="28"/>
        </w:rPr>
        <w:t>н</w:t>
      </w:r>
      <w:r w:rsidRPr="00834D7D">
        <w:rPr>
          <w:sz w:val="28"/>
          <w:szCs w:val="28"/>
        </w:rPr>
        <w:t xml:space="preserve">а </w:t>
      </w:r>
      <w:r w:rsidR="00AB4CDC" w:rsidRPr="00834D7D">
        <w:rPr>
          <w:sz w:val="28"/>
          <w:szCs w:val="28"/>
        </w:rPr>
        <w:t>звітну дату</w:t>
      </w:r>
      <w:r w:rsidRPr="00834D7D">
        <w:rPr>
          <w:sz w:val="28"/>
          <w:szCs w:val="28"/>
        </w:rPr>
        <w:t xml:space="preserve"> кредиторська заборгованість склала </w:t>
      </w:r>
      <w:r w:rsidR="00834D7D" w:rsidRPr="00834D7D">
        <w:rPr>
          <w:sz w:val="28"/>
          <w:szCs w:val="28"/>
        </w:rPr>
        <w:t>30</w:t>
      </w:r>
      <w:r w:rsidR="00150E9B" w:rsidRPr="00834D7D">
        <w:rPr>
          <w:sz w:val="28"/>
          <w:szCs w:val="28"/>
        </w:rPr>
        <w:t>,</w:t>
      </w:r>
      <w:r w:rsidR="00834D7D" w:rsidRPr="00834D7D">
        <w:rPr>
          <w:sz w:val="28"/>
          <w:szCs w:val="28"/>
        </w:rPr>
        <w:t>4</w:t>
      </w:r>
      <w:r w:rsidRPr="00834D7D">
        <w:rPr>
          <w:sz w:val="28"/>
          <w:szCs w:val="28"/>
        </w:rPr>
        <w:t xml:space="preserve"> млн.грн., в тому числі по загальному фонду бюджету </w:t>
      </w:r>
      <w:r w:rsidR="00A26883" w:rsidRPr="00834D7D">
        <w:rPr>
          <w:sz w:val="28"/>
          <w:szCs w:val="28"/>
        </w:rPr>
        <w:t xml:space="preserve">(заходи з виконання державних програм соціального захисту населення за рахунок субвенцій з державного бюджету) </w:t>
      </w:r>
      <w:r w:rsidRPr="00834D7D">
        <w:rPr>
          <w:sz w:val="28"/>
          <w:szCs w:val="28"/>
        </w:rPr>
        <w:t xml:space="preserve">– </w:t>
      </w:r>
      <w:r w:rsidR="00834D7D" w:rsidRPr="00834D7D">
        <w:rPr>
          <w:sz w:val="28"/>
          <w:szCs w:val="28"/>
        </w:rPr>
        <w:t>28</w:t>
      </w:r>
      <w:r w:rsidR="00821C5F" w:rsidRPr="00834D7D">
        <w:rPr>
          <w:sz w:val="28"/>
          <w:szCs w:val="28"/>
        </w:rPr>
        <w:t>,</w:t>
      </w:r>
      <w:r w:rsidR="00834D7D" w:rsidRPr="00834D7D">
        <w:rPr>
          <w:sz w:val="28"/>
          <w:szCs w:val="28"/>
        </w:rPr>
        <w:t>9</w:t>
      </w:r>
      <w:r w:rsidR="00A26883" w:rsidRPr="00834D7D">
        <w:rPr>
          <w:sz w:val="28"/>
          <w:szCs w:val="28"/>
        </w:rPr>
        <w:t> млн.грн.</w:t>
      </w:r>
      <w:r w:rsidRPr="00834D7D">
        <w:rPr>
          <w:sz w:val="28"/>
          <w:szCs w:val="28"/>
        </w:rPr>
        <w:t>, спеціальному фонду – 1,5 млн.грн.</w:t>
      </w:r>
    </w:p>
    <w:p w:rsidR="00393789" w:rsidRPr="009075C8" w:rsidRDefault="00393789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225447" w:rsidRPr="009075C8" w:rsidRDefault="00225447" w:rsidP="00541B47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</w:p>
    <w:p w:rsidR="005C73A0" w:rsidRPr="009075C8" w:rsidRDefault="005C73A0" w:rsidP="00225447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9075C8">
        <w:rPr>
          <w:sz w:val="28"/>
          <w:szCs w:val="28"/>
          <w:lang w:val="uk-UA"/>
        </w:rPr>
        <w:t xml:space="preserve">Директор департаменту фінансової </w:t>
      </w:r>
    </w:p>
    <w:p w:rsidR="005C73A0" w:rsidRDefault="005C73A0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  <w:r w:rsidRPr="009075C8">
        <w:rPr>
          <w:sz w:val="28"/>
          <w:szCs w:val="28"/>
          <w:lang w:val="uk-UA"/>
        </w:rPr>
        <w:t>та бюджетної політики міської ради</w:t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</w:r>
      <w:r w:rsidRPr="00497120">
        <w:rPr>
          <w:sz w:val="28"/>
          <w:szCs w:val="28"/>
          <w:lang w:val="uk-UA"/>
        </w:rPr>
        <w:tab/>
        <w:t>О.А.</w:t>
      </w:r>
      <w:proofErr w:type="spellStart"/>
      <w:r w:rsidRPr="00497120">
        <w:rPr>
          <w:sz w:val="28"/>
          <w:szCs w:val="28"/>
          <w:lang w:val="uk-UA"/>
        </w:rPr>
        <w:t>Вагіс</w:t>
      </w:r>
      <w:proofErr w:type="spellEnd"/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p w:rsidR="00F53883" w:rsidRDefault="00F53883" w:rsidP="005C73A0">
      <w:pPr>
        <w:pStyle w:val="2"/>
        <w:spacing w:after="0" w:line="240" w:lineRule="auto"/>
        <w:ind w:left="0"/>
        <w:jc w:val="both"/>
        <w:rPr>
          <w:sz w:val="28"/>
          <w:szCs w:val="28"/>
          <w:lang w:val="uk-UA"/>
        </w:rPr>
      </w:pPr>
    </w:p>
    <w:sectPr w:rsidR="00F53883" w:rsidSect="00484700">
      <w:headerReference w:type="even" r:id="rId16"/>
      <w:headerReference w:type="default" r:id="rId17"/>
      <w:pgSz w:w="11906" w:h="16838"/>
      <w:pgMar w:top="851" w:right="567" w:bottom="709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0C5" w:rsidRDefault="007330C5">
      <w:r>
        <w:separator/>
      </w:r>
    </w:p>
  </w:endnote>
  <w:endnote w:type="continuationSeparator" w:id="0">
    <w:p w:rsidR="007330C5" w:rsidRDefault="0073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0C5" w:rsidRDefault="007330C5">
      <w:r>
        <w:separator/>
      </w:r>
    </w:p>
  </w:footnote>
  <w:footnote w:type="continuationSeparator" w:id="0">
    <w:p w:rsidR="007330C5" w:rsidRDefault="0073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C5" w:rsidRDefault="00EC1493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30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30C5" w:rsidRDefault="007330C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0C5" w:rsidRDefault="00EC1493" w:rsidP="009A081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30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56F0B">
      <w:rPr>
        <w:rStyle w:val="aa"/>
        <w:noProof/>
      </w:rPr>
      <w:t>2</w:t>
    </w:r>
    <w:r>
      <w:rPr>
        <w:rStyle w:val="aa"/>
      </w:rPr>
      <w:fldChar w:fldCharType="end"/>
    </w:r>
  </w:p>
  <w:p w:rsidR="007330C5" w:rsidRDefault="007330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27"/>
    <w:multiLevelType w:val="hybridMultilevel"/>
    <w:tmpl w:val="9A9CCFA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41264CF"/>
    <w:multiLevelType w:val="hybridMultilevel"/>
    <w:tmpl w:val="0DBAED3E"/>
    <w:lvl w:ilvl="0" w:tplc="7A2A2A8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8FF5C17"/>
    <w:multiLevelType w:val="hybridMultilevel"/>
    <w:tmpl w:val="E0CED3B4"/>
    <w:lvl w:ilvl="0" w:tplc="1A3014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0AA6423D"/>
    <w:multiLevelType w:val="hybridMultilevel"/>
    <w:tmpl w:val="B364A078"/>
    <w:lvl w:ilvl="0" w:tplc="D1E85DB0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E6210"/>
    <w:multiLevelType w:val="hybridMultilevel"/>
    <w:tmpl w:val="9AB45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92BF9"/>
    <w:multiLevelType w:val="hybridMultilevel"/>
    <w:tmpl w:val="04521904"/>
    <w:lvl w:ilvl="0" w:tplc="8DC8AAC6">
      <w:start w:val="2011"/>
      <w:numFmt w:val="bullet"/>
      <w:lvlText w:val="-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D7A07F8"/>
    <w:multiLevelType w:val="hybridMultilevel"/>
    <w:tmpl w:val="C6880C36"/>
    <w:lvl w:ilvl="0" w:tplc="46FC9FE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D0F1E85"/>
    <w:multiLevelType w:val="hybridMultilevel"/>
    <w:tmpl w:val="A544B3A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1E6769"/>
    <w:multiLevelType w:val="hybridMultilevel"/>
    <w:tmpl w:val="6E0059D8"/>
    <w:lvl w:ilvl="0" w:tplc="3100512C">
      <w:start w:val="20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92F5ACE"/>
    <w:multiLevelType w:val="hybridMultilevel"/>
    <w:tmpl w:val="6B2ABF48"/>
    <w:lvl w:ilvl="0" w:tplc="8F8A2A4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30D42"/>
    <w:multiLevelType w:val="hybridMultilevel"/>
    <w:tmpl w:val="D19E37C0"/>
    <w:lvl w:ilvl="0" w:tplc="604245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1A603B"/>
    <w:multiLevelType w:val="hybridMultilevel"/>
    <w:tmpl w:val="67A0FDEE"/>
    <w:lvl w:ilvl="0" w:tplc="B1D600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82334B"/>
    <w:multiLevelType w:val="hybridMultilevel"/>
    <w:tmpl w:val="F814B89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683177"/>
    <w:multiLevelType w:val="hybridMultilevel"/>
    <w:tmpl w:val="338E5926"/>
    <w:lvl w:ilvl="0" w:tplc="993C3E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A9E747F"/>
    <w:multiLevelType w:val="hybridMultilevel"/>
    <w:tmpl w:val="DEBA2A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6E24273A"/>
    <w:multiLevelType w:val="hybridMultilevel"/>
    <w:tmpl w:val="F7CAABCC"/>
    <w:lvl w:ilvl="0" w:tplc="FD7ADB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62E0E24"/>
    <w:multiLevelType w:val="hybridMultilevel"/>
    <w:tmpl w:val="8068922E"/>
    <w:lvl w:ilvl="0" w:tplc="4C9A42E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A4A4E72"/>
    <w:multiLevelType w:val="hybridMultilevel"/>
    <w:tmpl w:val="3C50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C32DD"/>
    <w:multiLevelType w:val="hybridMultilevel"/>
    <w:tmpl w:val="FF2CFA3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6"/>
  </w:num>
  <w:num w:numId="10">
    <w:abstractNumId w:val="1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13"/>
  </w:num>
  <w:num w:numId="18">
    <w:abstractNumId w:val="9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29"/>
    <w:rsid w:val="0000139B"/>
    <w:rsid w:val="00002C3E"/>
    <w:rsid w:val="0000461B"/>
    <w:rsid w:val="00004AD9"/>
    <w:rsid w:val="00004CDB"/>
    <w:rsid w:val="000076AF"/>
    <w:rsid w:val="00012F00"/>
    <w:rsid w:val="00013EE8"/>
    <w:rsid w:val="000140BC"/>
    <w:rsid w:val="00014909"/>
    <w:rsid w:val="00014D8E"/>
    <w:rsid w:val="000175C6"/>
    <w:rsid w:val="00017686"/>
    <w:rsid w:val="00021459"/>
    <w:rsid w:val="00021D45"/>
    <w:rsid w:val="00022CD2"/>
    <w:rsid w:val="00024092"/>
    <w:rsid w:val="00026492"/>
    <w:rsid w:val="000300B0"/>
    <w:rsid w:val="0003412C"/>
    <w:rsid w:val="00034638"/>
    <w:rsid w:val="0003703B"/>
    <w:rsid w:val="0004031D"/>
    <w:rsid w:val="000422F9"/>
    <w:rsid w:val="00046A7B"/>
    <w:rsid w:val="00050D58"/>
    <w:rsid w:val="00050F60"/>
    <w:rsid w:val="000527BF"/>
    <w:rsid w:val="00052E69"/>
    <w:rsid w:val="00055598"/>
    <w:rsid w:val="00055898"/>
    <w:rsid w:val="000565D4"/>
    <w:rsid w:val="000566F5"/>
    <w:rsid w:val="000569B4"/>
    <w:rsid w:val="00057602"/>
    <w:rsid w:val="00057BFF"/>
    <w:rsid w:val="00057F0E"/>
    <w:rsid w:val="000602F8"/>
    <w:rsid w:val="0006283D"/>
    <w:rsid w:val="00063C53"/>
    <w:rsid w:val="00063F5B"/>
    <w:rsid w:val="00064255"/>
    <w:rsid w:val="0006426B"/>
    <w:rsid w:val="00065FB2"/>
    <w:rsid w:val="000674F0"/>
    <w:rsid w:val="00067734"/>
    <w:rsid w:val="00067838"/>
    <w:rsid w:val="00067979"/>
    <w:rsid w:val="000738EA"/>
    <w:rsid w:val="00083D58"/>
    <w:rsid w:val="0008595D"/>
    <w:rsid w:val="00090E8B"/>
    <w:rsid w:val="00091373"/>
    <w:rsid w:val="00092D44"/>
    <w:rsid w:val="00093FD8"/>
    <w:rsid w:val="000A1309"/>
    <w:rsid w:val="000A30DB"/>
    <w:rsid w:val="000A352B"/>
    <w:rsid w:val="000A364F"/>
    <w:rsid w:val="000B2A00"/>
    <w:rsid w:val="000B42F8"/>
    <w:rsid w:val="000B4B65"/>
    <w:rsid w:val="000B527C"/>
    <w:rsid w:val="000B5BF8"/>
    <w:rsid w:val="000B5D0D"/>
    <w:rsid w:val="000B6E27"/>
    <w:rsid w:val="000C36E7"/>
    <w:rsid w:val="000C45CF"/>
    <w:rsid w:val="000C507A"/>
    <w:rsid w:val="000C50CA"/>
    <w:rsid w:val="000C5129"/>
    <w:rsid w:val="000C56E1"/>
    <w:rsid w:val="000C651B"/>
    <w:rsid w:val="000D08D3"/>
    <w:rsid w:val="000D165E"/>
    <w:rsid w:val="000D2356"/>
    <w:rsid w:val="000D2BED"/>
    <w:rsid w:val="000D538C"/>
    <w:rsid w:val="000E186A"/>
    <w:rsid w:val="000E1BAE"/>
    <w:rsid w:val="000E20AE"/>
    <w:rsid w:val="000E23CF"/>
    <w:rsid w:val="000E4D11"/>
    <w:rsid w:val="000F23BA"/>
    <w:rsid w:val="000F2AF0"/>
    <w:rsid w:val="000F4103"/>
    <w:rsid w:val="000F50B3"/>
    <w:rsid w:val="000F54FD"/>
    <w:rsid w:val="000F7427"/>
    <w:rsid w:val="000F7944"/>
    <w:rsid w:val="000F7C74"/>
    <w:rsid w:val="00104165"/>
    <w:rsid w:val="001048F7"/>
    <w:rsid w:val="0010591A"/>
    <w:rsid w:val="001077D8"/>
    <w:rsid w:val="00107C3B"/>
    <w:rsid w:val="001103EE"/>
    <w:rsid w:val="00110868"/>
    <w:rsid w:val="00111615"/>
    <w:rsid w:val="00111E04"/>
    <w:rsid w:val="00111EC8"/>
    <w:rsid w:val="00113740"/>
    <w:rsid w:val="00113D5D"/>
    <w:rsid w:val="001144F8"/>
    <w:rsid w:val="001173C5"/>
    <w:rsid w:val="001174D4"/>
    <w:rsid w:val="00117DF8"/>
    <w:rsid w:val="001200F8"/>
    <w:rsid w:val="00120CBE"/>
    <w:rsid w:val="0012165D"/>
    <w:rsid w:val="00123372"/>
    <w:rsid w:val="00126736"/>
    <w:rsid w:val="00126C9E"/>
    <w:rsid w:val="001304BA"/>
    <w:rsid w:val="00130997"/>
    <w:rsid w:val="001329DB"/>
    <w:rsid w:val="00132C4E"/>
    <w:rsid w:val="00132F2A"/>
    <w:rsid w:val="0013319E"/>
    <w:rsid w:val="00135F68"/>
    <w:rsid w:val="001361B2"/>
    <w:rsid w:val="001366BA"/>
    <w:rsid w:val="001412CB"/>
    <w:rsid w:val="00142DF8"/>
    <w:rsid w:val="00142F65"/>
    <w:rsid w:val="0014601B"/>
    <w:rsid w:val="00147891"/>
    <w:rsid w:val="001501D9"/>
    <w:rsid w:val="00150E9B"/>
    <w:rsid w:val="00150EBA"/>
    <w:rsid w:val="00151A72"/>
    <w:rsid w:val="00154DCD"/>
    <w:rsid w:val="00155BD9"/>
    <w:rsid w:val="0015658B"/>
    <w:rsid w:val="001568DD"/>
    <w:rsid w:val="00156F0B"/>
    <w:rsid w:val="001621E3"/>
    <w:rsid w:val="0016267A"/>
    <w:rsid w:val="00162A11"/>
    <w:rsid w:val="0016343E"/>
    <w:rsid w:val="00165238"/>
    <w:rsid w:val="00165A80"/>
    <w:rsid w:val="00165BAF"/>
    <w:rsid w:val="00166F4A"/>
    <w:rsid w:val="0017178C"/>
    <w:rsid w:val="00174B30"/>
    <w:rsid w:val="001778ED"/>
    <w:rsid w:val="00180467"/>
    <w:rsid w:val="001812AC"/>
    <w:rsid w:val="00181753"/>
    <w:rsid w:val="001829A0"/>
    <w:rsid w:val="00183AD5"/>
    <w:rsid w:val="00185319"/>
    <w:rsid w:val="001866CD"/>
    <w:rsid w:val="00186EDF"/>
    <w:rsid w:val="001879F4"/>
    <w:rsid w:val="00187FC3"/>
    <w:rsid w:val="001902E2"/>
    <w:rsid w:val="0019049D"/>
    <w:rsid w:val="001916B4"/>
    <w:rsid w:val="00192E49"/>
    <w:rsid w:val="001955A5"/>
    <w:rsid w:val="001957BE"/>
    <w:rsid w:val="001A0E81"/>
    <w:rsid w:val="001A254E"/>
    <w:rsid w:val="001A6AF8"/>
    <w:rsid w:val="001A6E20"/>
    <w:rsid w:val="001A79AF"/>
    <w:rsid w:val="001B17DE"/>
    <w:rsid w:val="001B1AA0"/>
    <w:rsid w:val="001B1C6D"/>
    <w:rsid w:val="001B236A"/>
    <w:rsid w:val="001B4539"/>
    <w:rsid w:val="001B5D4F"/>
    <w:rsid w:val="001B63E2"/>
    <w:rsid w:val="001C0752"/>
    <w:rsid w:val="001C17EE"/>
    <w:rsid w:val="001C445E"/>
    <w:rsid w:val="001C5126"/>
    <w:rsid w:val="001C52B3"/>
    <w:rsid w:val="001D35D3"/>
    <w:rsid w:val="001D5B2E"/>
    <w:rsid w:val="001D6070"/>
    <w:rsid w:val="001D6681"/>
    <w:rsid w:val="001D77EC"/>
    <w:rsid w:val="001D7990"/>
    <w:rsid w:val="001E03DA"/>
    <w:rsid w:val="001E1A18"/>
    <w:rsid w:val="001E3AB5"/>
    <w:rsid w:val="001E3D1D"/>
    <w:rsid w:val="001E557C"/>
    <w:rsid w:val="001E5E8E"/>
    <w:rsid w:val="001E6CAC"/>
    <w:rsid w:val="001F049C"/>
    <w:rsid w:val="001F33E8"/>
    <w:rsid w:val="001F41C8"/>
    <w:rsid w:val="001F433D"/>
    <w:rsid w:val="001F6EF4"/>
    <w:rsid w:val="001F7293"/>
    <w:rsid w:val="00202F90"/>
    <w:rsid w:val="00204BF7"/>
    <w:rsid w:val="00205000"/>
    <w:rsid w:val="002051C6"/>
    <w:rsid w:val="002053D6"/>
    <w:rsid w:val="00205BE2"/>
    <w:rsid w:val="002069AC"/>
    <w:rsid w:val="00207728"/>
    <w:rsid w:val="00207CAE"/>
    <w:rsid w:val="00213A50"/>
    <w:rsid w:val="0021481F"/>
    <w:rsid w:val="00215A9D"/>
    <w:rsid w:val="00215CD5"/>
    <w:rsid w:val="00215F19"/>
    <w:rsid w:val="00217327"/>
    <w:rsid w:val="002200BA"/>
    <w:rsid w:val="002202DE"/>
    <w:rsid w:val="00221CD0"/>
    <w:rsid w:val="0022513D"/>
    <w:rsid w:val="00225447"/>
    <w:rsid w:val="00227ECA"/>
    <w:rsid w:val="00233D9A"/>
    <w:rsid w:val="0023464A"/>
    <w:rsid w:val="00235B33"/>
    <w:rsid w:val="00237192"/>
    <w:rsid w:val="00242EE0"/>
    <w:rsid w:val="00243DAE"/>
    <w:rsid w:val="002448DC"/>
    <w:rsid w:val="00247826"/>
    <w:rsid w:val="00250252"/>
    <w:rsid w:val="00252C87"/>
    <w:rsid w:val="00253ED8"/>
    <w:rsid w:val="00256974"/>
    <w:rsid w:val="00256FB1"/>
    <w:rsid w:val="00262008"/>
    <w:rsid w:val="00263E02"/>
    <w:rsid w:val="00264854"/>
    <w:rsid w:val="002656E3"/>
    <w:rsid w:val="00267A09"/>
    <w:rsid w:val="00267AAB"/>
    <w:rsid w:val="00270A1C"/>
    <w:rsid w:val="0027258A"/>
    <w:rsid w:val="00274030"/>
    <w:rsid w:val="002764B5"/>
    <w:rsid w:val="002770DD"/>
    <w:rsid w:val="00277783"/>
    <w:rsid w:val="002778DF"/>
    <w:rsid w:val="002815A5"/>
    <w:rsid w:val="00281E6E"/>
    <w:rsid w:val="002820F8"/>
    <w:rsid w:val="00283BE3"/>
    <w:rsid w:val="00284899"/>
    <w:rsid w:val="00284B1C"/>
    <w:rsid w:val="0028630D"/>
    <w:rsid w:val="0028722C"/>
    <w:rsid w:val="002901AD"/>
    <w:rsid w:val="002941F6"/>
    <w:rsid w:val="002A0C83"/>
    <w:rsid w:val="002A1970"/>
    <w:rsid w:val="002A2088"/>
    <w:rsid w:val="002A2933"/>
    <w:rsid w:val="002A2F26"/>
    <w:rsid w:val="002A3C03"/>
    <w:rsid w:val="002A54DC"/>
    <w:rsid w:val="002A5571"/>
    <w:rsid w:val="002A59A1"/>
    <w:rsid w:val="002A6FBF"/>
    <w:rsid w:val="002B0AB4"/>
    <w:rsid w:val="002B1095"/>
    <w:rsid w:val="002B1A5A"/>
    <w:rsid w:val="002B21D0"/>
    <w:rsid w:val="002B2964"/>
    <w:rsid w:val="002B38AE"/>
    <w:rsid w:val="002B4391"/>
    <w:rsid w:val="002B5985"/>
    <w:rsid w:val="002B5BA6"/>
    <w:rsid w:val="002B62DA"/>
    <w:rsid w:val="002B7DA0"/>
    <w:rsid w:val="002C0105"/>
    <w:rsid w:val="002C0F8E"/>
    <w:rsid w:val="002C22A7"/>
    <w:rsid w:val="002C29AF"/>
    <w:rsid w:val="002C3462"/>
    <w:rsid w:val="002C473D"/>
    <w:rsid w:val="002C47AA"/>
    <w:rsid w:val="002C48F3"/>
    <w:rsid w:val="002C54EB"/>
    <w:rsid w:val="002C5650"/>
    <w:rsid w:val="002C5668"/>
    <w:rsid w:val="002C6817"/>
    <w:rsid w:val="002D0431"/>
    <w:rsid w:val="002D23F4"/>
    <w:rsid w:val="002D3225"/>
    <w:rsid w:val="002D3398"/>
    <w:rsid w:val="002D415D"/>
    <w:rsid w:val="002D56D5"/>
    <w:rsid w:val="002E2FA5"/>
    <w:rsid w:val="002E37B3"/>
    <w:rsid w:val="002E536E"/>
    <w:rsid w:val="002E5FA8"/>
    <w:rsid w:val="002E5FC9"/>
    <w:rsid w:val="002E6032"/>
    <w:rsid w:val="002E66C3"/>
    <w:rsid w:val="002E6724"/>
    <w:rsid w:val="002F254D"/>
    <w:rsid w:val="002F280D"/>
    <w:rsid w:val="002F3873"/>
    <w:rsid w:val="002F7315"/>
    <w:rsid w:val="00300E5D"/>
    <w:rsid w:val="0030127A"/>
    <w:rsid w:val="0030139C"/>
    <w:rsid w:val="00301E31"/>
    <w:rsid w:val="003100CB"/>
    <w:rsid w:val="00310EAF"/>
    <w:rsid w:val="00312874"/>
    <w:rsid w:val="003153D1"/>
    <w:rsid w:val="00315626"/>
    <w:rsid w:val="00315772"/>
    <w:rsid w:val="003202A3"/>
    <w:rsid w:val="00324123"/>
    <w:rsid w:val="003241E9"/>
    <w:rsid w:val="00326067"/>
    <w:rsid w:val="00326FEB"/>
    <w:rsid w:val="00330378"/>
    <w:rsid w:val="003314DF"/>
    <w:rsid w:val="003318A0"/>
    <w:rsid w:val="00331A1B"/>
    <w:rsid w:val="0033351E"/>
    <w:rsid w:val="0033553D"/>
    <w:rsid w:val="00336AFC"/>
    <w:rsid w:val="00337811"/>
    <w:rsid w:val="00337C1F"/>
    <w:rsid w:val="00340F9E"/>
    <w:rsid w:val="00341053"/>
    <w:rsid w:val="00341D3C"/>
    <w:rsid w:val="00344A38"/>
    <w:rsid w:val="00345E08"/>
    <w:rsid w:val="003465EC"/>
    <w:rsid w:val="00346B95"/>
    <w:rsid w:val="003504FD"/>
    <w:rsid w:val="00351118"/>
    <w:rsid w:val="00351CDA"/>
    <w:rsid w:val="0035243D"/>
    <w:rsid w:val="00355069"/>
    <w:rsid w:val="00355907"/>
    <w:rsid w:val="00360C75"/>
    <w:rsid w:val="00364928"/>
    <w:rsid w:val="00364DFC"/>
    <w:rsid w:val="00365005"/>
    <w:rsid w:val="00367632"/>
    <w:rsid w:val="00367C87"/>
    <w:rsid w:val="00370602"/>
    <w:rsid w:val="00370A0F"/>
    <w:rsid w:val="00371094"/>
    <w:rsid w:val="003806C0"/>
    <w:rsid w:val="00382104"/>
    <w:rsid w:val="003847C7"/>
    <w:rsid w:val="00385309"/>
    <w:rsid w:val="003868C2"/>
    <w:rsid w:val="00386B42"/>
    <w:rsid w:val="00386FC8"/>
    <w:rsid w:val="00387522"/>
    <w:rsid w:val="003875D6"/>
    <w:rsid w:val="00387DB5"/>
    <w:rsid w:val="00391F30"/>
    <w:rsid w:val="003921B7"/>
    <w:rsid w:val="00393497"/>
    <w:rsid w:val="00393789"/>
    <w:rsid w:val="00394572"/>
    <w:rsid w:val="0039478B"/>
    <w:rsid w:val="00395C97"/>
    <w:rsid w:val="00395CF5"/>
    <w:rsid w:val="00395DAD"/>
    <w:rsid w:val="0039714D"/>
    <w:rsid w:val="00397EE0"/>
    <w:rsid w:val="003A19FB"/>
    <w:rsid w:val="003A28F3"/>
    <w:rsid w:val="003A2A0F"/>
    <w:rsid w:val="003A508F"/>
    <w:rsid w:val="003A579E"/>
    <w:rsid w:val="003A5E27"/>
    <w:rsid w:val="003A7124"/>
    <w:rsid w:val="003A76E0"/>
    <w:rsid w:val="003B3CB3"/>
    <w:rsid w:val="003B469A"/>
    <w:rsid w:val="003B4710"/>
    <w:rsid w:val="003B500A"/>
    <w:rsid w:val="003B7657"/>
    <w:rsid w:val="003C4C67"/>
    <w:rsid w:val="003C51F4"/>
    <w:rsid w:val="003C5CE0"/>
    <w:rsid w:val="003C6E4A"/>
    <w:rsid w:val="003C772D"/>
    <w:rsid w:val="003D0228"/>
    <w:rsid w:val="003D0E58"/>
    <w:rsid w:val="003D1B33"/>
    <w:rsid w:val="003D24CB"/>
    <w:rsid w:val="003D27EE"/>
    <w:rsid w:val="003D4641"/>
    <w:rsid w:val="003D53C3"/>
    <w:rsid w:val="003D7168"/>
    <w:rsid w:val="003D7502"/>
    <w:rsid w:val="003E0E40"/>
    <w:rsid w:val="003E1A77"/>
    <w:rsid w:val="003E258E"/>
    <w:rsid w:val="003E4075"/>
    <w:rsid w:val="003E6806"/>
    <w:rsid w:val="003E6E52"/>
    <w:rsid w:val="003F0B08"/>
    <w:rsid w:val="003F48A4"/>
    <w:rsid w:val="003F4EB8"/>
    <w:rsid w:val="003F7453"/>
    <w:rsid w:val="00401CBB"/>
    <w:rsid w:val="00402C46"/>
    <w:rsid w:val="004030F8"/>
    <w:rsid w:val="004031B5"/>
    <w:rsid w:val="00403C04"/>
    <w:rsid w:val="004052F8"/>
    <w:rsid w:val="00405B10"/>
    <w:rsid w:val="00405CCB"/>
    <w:rsid w:val="00406156"/>
    <w:rsid w:val="00407CFE"/>
    <w:rsid w:val="00410291"/>
    <w:rsid w:val="00411268"/>
    <w:rsid w:val="00413CB5"/>
    <w:rsid w:val="00413EAC"/>
    <w:rsid w:val="00415E02"/>
    <w:rsid w:val="0041678D"/>
    <w:rsid w:val="004176D6"/>
    <w:rsid w:val="00417AFC"/>
    <w:rsid w:val="0042129C"/>
    <w:rsid w:val="0042163A"/>
    <w:rsid w:val="0042223B"/>
    <w:rsid w:val="00423348"/>
    <w:rsid w:val="00424910"/>
    <w:rsid w:val="004259B3"/>
    <w:rsid w:val="00427253"/>
    <w:rsid w:val="00427285"/>
    <w:rsid w:val="00430ADA"/>
    <w:rsid w:val="00430B97"/>
    <w:rsid w:val="0043146A"/>
    <w:rsid w:val="00434076"/>
    <w:rsid w:val="00435A08"/>
    <w:rsid w:val="00436075"/>
    <w:rsid w:val="00441E85"/>
    <w:rsid w:val="0044309A"/>
    <w:rsid w:val="00445205"/>
    <w:rsid w:val="00445EC6"/>
    <w:rsid w:val="00447DF7"/>
    <w:rsid w:val="00451DC3"/>
    <w:rsid w:val="004547EF"/>
    <w:rsid w:val="0045503E"/>
    <w:rsid w:val="0045665E"/>
    <w:rsid w:val="00457833"/>
    <w:rsid w:val="0046163D"/>
    <w:rsid w:val="004616E1"/>
    <w:rsid w:val="004646BB"/>
    <w:rsid w:val="00464DBE"/>
    <w:rsid w:val="004666C8"/>
    <w:rsid w:val="0047039B"/>
    <w:rsid w:val="004710E4"/>
    <w:rsid w:val="004719D4"/>
    <w:rsid w:val="00472B4A"/>
    <w:rsid w:val="00473140"/>
    <w:rsid w:val="004753E3"/>
    <w:rsid w:val="00477DF7"/>
    <w:rsid w:val="00481117"/>
    <w:rsid w:val="004812E5"/>
    <w:rsid w:val="00481756"/>
    <w:rsid w:val="00482D23"/>
    <w:rsid w:val="00482ED4"/>
    <w:rsid w:val="0048361D"/>
    <w:rsid w:val="00483D76"/>
    <w:rsid w:val="00483E34"/>
    <w:rsid w:val="00484700"/>
    <w:rsid w:val="0048506E"/>
    <w:rsid w:val="004854C1"/>
    <w:rsid w:val="00487596"/>
    <w:rsid w:val="0049054F"/>
    <w:rsid w:val="00491D7A"/>
    <w:rsid w:val="00491F77"/>
    <w:rsid w:val="00492268"/>
    <w:rsid w:val="004935A6"/>
    <w:rsid w:val="00493E5E"/>
    <w:rsid w:val="00495122"/>
    <w:rsid w:val="0049658B"/>
    <w:rsid w:val="00496D89"/>
    <w:rsid w:val="00497120"/>
    <w:rsid w:val="004A09DB"/>
    <w:rsid w:val="004A0FDE"/>
    <w:rsid w:val="004A1D18"/>
    <w:rsid w:val="004A28AB"/>
    <w:rsid w:val="004A5E9D"/>
    <w:rsid w:val="004A63EF"/>
    <w:rsid w:val="004A7685"/>
    <w:rsid w:val="004A76B0"/>
    <w:rsid w:val="004B01EE"/>
    <w:rsid w:val="004B2831"/>
    <w:rsid w:val="004B5BE2"/>
    <w:rsid w:val="004B7913"/>
    <w:rsid w:val="004C38FC"/>
    <w:rsid w:val="004C406E"/>
    <w:rsid w:val="004C4602"/>
    <w:rsid w:val="004C590F"/>
    <w:rsid w:val="004C601E"/>
    <w:rsid w:val="004D0F70"/>
    <w:rsid w:val="004D249A"/>
    <w:rsid w:val="004D299F"/>
    <w:rsid w:val="004D722E"/>
    <w:rsid w:val="004E0189"/>
    <w:rsid w:val="004E28C0"/>
    <w:rsid w:val="004E2D2E"/>
    <w:rsid w:val="004E43FC"/>
    <w:rsid w:val="004E5C6D"/>
    <w:rsid w:val="004E5DDD"/>
    <w:rsid w:val="004E7272"/>
    <w:rsid w:val="004E75EB"/>
    <w:rsid w:val="004F2073"/>
    <w:rsid w:val="004F3053"/>
    <w:rsid w:val="004F36E4"/>
    <w:rsid w:val="004F585B"/>
    <w:rsid w:val="004F6F1A"/>
    <w:rsid w:val="004F72CF"/>
    <w:rsid w:val="004F7F71"/>
    <w:rsid w:val="00500A96"/>
    <w:rsid w:val="00506441"/>
    <w:rsid w:val="00506652"/>
    <w:rsid w:val="005068D2"/>
    <w:rsid w:val="00507846"/>
    <w:rsid w:val="00510DD2"/>
    <w:rsid w:val="00510FEF"/>
    <w:rsid w:val="00513B18"/>
    <w:rsid w:val="0051507A"/>
    <w:rsid w:val="005203A3"/>
    <w:rsid w:val="0052063F"/>
    <w:rsid w:val="00521186"/>
    <w:rsid w:val="00522707"/>
    <w:rsid w:val="0052407A"/>
    <w:rsid w:val="0052460D"/>
    <w:rsid w:val="0052527C"/>
    <w:rsid w:val="00525CAE"/>
    <w:rsid w:val="00530328"/>
    <w:rsid w:val="00534B08"/>
    <w:rsid w:val="00537689"/>
    <w:rsid w:val="00541B47"/>
    <w:rsid w:val="00541BE7"/>
    <w:rsid w:val="00543647"/>
    <w:rsid w:val="00547A4A"/>
    <w:rsid w:val="00551750"/>
    <w:rsid w:val="00553689"/>
    <w:rsid w:val="005536D1"/>
    <w:rsid w:val="00555DCF"/>
    <w:rsid w:val="00556BEE"/>
    <w:rsid w:val="005575F6"/>
    <w:rsid w:val="00562952"/>
    <w:rsid w:val="00565559"/>
    <w:rsid w:val="00567EF3"/>
    <w:rsid w:val="00573262"/>
    <w:rsid w:val="00573873"/>
    <w:rsid w:val="00573EAD"/>
    <w:rsid w:val="00574729"/>
    <w:rsid w:val="00576B2D"/>
    <w:rsid w:val="00577F00"/>
    <w:rsid w:val="005802F3"/>
    <w:rsid w:val="00580333"/>
    <w:rsid w:val="0058193D"/>
    <w:rsid w:val="00581D9F"/>
    <w:rsid w:val="00585462"/>
    <w:rsid w:val="00586A1E"/>
    <w:rsid w:val="005874AC"/>
    <w:rsid w:val="00591F88"/>
    <w:rsid w:val="0059238E"/>
    <w:rsid w:val="0059469D"/>
    <w:rsid w:val="00594EF7"/>
    <w:rsid w:val="005953A2"/>
    <w:rsid w:val="0059632C"/>
    <w:rsid w:val="0059790E"/>
    <w:rsid w:val="005979B7"/>
    <w:rsid w:val="005A031F"/>
    <w:rsid w:val="005A067B"/>
    <w:rsid w:val="005A5EB2"/>
    <w:rsid w:val="005B39EE"/>
    <w:rsid w:val="005B3B3A"/>
    <w:rsid w:val="005B3F31"/>
    <w:rsid w:val="005B6B75"/>
    <w:rsid w:val="005B7FAF"/>
    <w:rsid w:val="005C2246"/>
    <w:rsid w:val="005C2B77"/>
    <w:rsid w:val="005C73A0"/>
    <w:rsid w:val="005C789B"/>
    <w:rsid w:val="005C7A49"/>
    <w:rsid w:val="005D0FC3"/>
    <w:rsid w:val="005D2319"/>
    <w:rsid w:val="005D2594"/>
    <w:rsid w:val="005D466F"/>
    <w:rsid w:val="005D5F71"/>
    <w:rsid w:val="005D6C55"/>
    <w:rsid w:val="005D6E44"/>
    <w:rsid w:val="005D6F84"/>
    <w:rsid w:val="005D78FB"/>
    <w:rsid w:val="005E1514"/>
    <w:rsid w:val="005E2A49"/>
    <w:rsid w:val="005E3D0F"/>
    <w:rsid w:val="005E3F70"/>
    <w:rsid w:val="005E406D"/>
    <w:rsid w:val="005E643F"/>
    <w:rsid w:val="005E7618"/>
    <w:rsid w:val="005F2878"/>
    <w:rsid w:val="005F2CB2"/>
    <w:rsid w:val="005F3723"/>
    <w:rsid w:val="005F38B7"/>
    <w:rsid w:val="005F4164"/>
    <w:rsid w:val="005F62F8"/>
    <w:rsid w:val="005F6941"/>
    <w:rsid w:val="005F6E1C"/>
    <w:rsid w:val="005F71F1"/>
    <w:rsid w:val="005F7F99"/>
    <w:rsid w:val="00600382"/>
    <w:rsid w:val="00601224"/>
    <w:rsid w:val="00601A3A"/>
    <w:rsid w:val="00602ED9"/>
    <w:rsid w:val="00605E57"/>
    <w:rsid w:val="00610020"/>
    <w:rsid w:val="006100D3"/>
    <w:rsid w:val="00612A5A"/>
    <w:rsid w:val="00612F70"/>
    <w:rsid w:val="00614930"/>
    <w:rsid w:val="00615534"/>
    <w:rsid w:val="00621585"/>
    <w:rsid w:val="00622D75"/>
    <w:rsid w:val="00623229"/>
    <w:rsid w:val="0062337F"/>
    <w:rsid w:val="00624C80"/>
    <w:rsid w:val="00625041"/>
    <w:rsid w:val="0062551A"/>
    <w:rsid w:val="006266EF"/>
    <w:rsid w:val="006312BB"/>
    <w:rsid w:val="006317AB"/>
    <w:rsid w:val="006321C7"/>
    <w:rsid w:val="00632B95"/>
    <w:rsid w:val="0063723C"/>
    <w:rsid w:val="006373F2"/>
    <w:rsid w:val="006401DF"/>
    <w:rsid w:val="006423E0"/>
    <w:rsid w:val="006440B8"/>
    <w:rsid w:val="00645E0E"/>
    <w:rsid w:val="00646E28"/>
    <w:rsid w:val="00647C21"/>
    <w:rsid w:val="00654F58"/>
    <w:rsid w:val="00660788"/>
    <w:rsid w:val="00664480"/>
    <w:rsid w:val="00665589"/>
    <w:rsid w:val="00666645"/>
    <w:rsid w:val="00666956"/>
    <w:rsid w:val="00666A05"/>
    <w:rsid w:val="00670B77"/>
    <w:rsid w:val="0067146F"/>
    <w:rsid w:val="00673A08"/>
    <w:rsid w:val="00673B0F"/>
    <w:rsid w:val="006748A7"/>
    <w:rsid w:val="00675437"/>
    <w:rsid w:val="00675531"/>
    <w:rsid w:val="006765EF"/>
    <w:rsid w:val="006769F4"/>
    <w:rsid w:val="00677E0F"/>
    <w:rsid w:val="0068172E"/>
    <w:rsid w:val="00682F87"/>
    <w:rsid w:val="00684438"/>
    <w:rsid w:val="00684E30"/>
    <w:rsid w:val="00685704"/>
    <w:rsid w:val="00691BC5"/>
    <w:rsid w:val="00691E05"/>
    <w:rsid w:val="006944E2"/>
    <w:rsid w:val="00695A43"/>
    <w:rsid w:val="00697F57"/>
    <w:rsid w:val="006A0AE3"/>
    <w:rsid w:val="006A670D"/>
    <w:rsid w:val="006B435D"/>
    <w:rsid w:val="006B5A70"/>
    <w:rsid w:val="006B608B"/>
    <w:rsid w:val="006B6B3A"/>
    <w:rsid w:val="006B7A57"/>
    <w:rsid w:val="006C01A6"/>
    <w:rsid w:val="006C0EDC"/>
    <w:rsid w:val="006C1A4B"/>
    <w:rsid w:val="006C34D8"/>
    <w:rsid w:val="006C5186"/>
    <w:rsid w:val="006D0E65"/>
    <w:rsid w:val="006D0F60"/>
    <w:rsid w:val="006D1689"/>
    <w:rsid w:val="006D1CD5"/>
    <w:rsid w:val="006D5A4A"/>
    <w:rsid w:val="006D7FCC"/>
    <w:rsid w:val="006E3A09"/>
    <w:rsid w:val="006E3C0A"/>
    <w:rsid w:val="006E51E7"/>
    <w:rsid w:val="006E56E4"/>
    <w:rsid w:val="006E603B"/>
    <w:rsid w:val="006E61CF"/>
    <w:rsid w:val="006E63A4"/>
    <w:rsid w:val="006E669B"/>
    <w:rsid w:val="006E761F"/>
    <w:rsid w:val="006F059A"/>
    <w:rsid w:val="006F2CF8"/>
    <w:rsid w:val="006F3AFF"/>
    <w:rsid w:val="006F783D"/>
    <w:rsid w:val="006F790E"/>
    <w:rsid w:val="00700271"/>
    <w:rsid w:val="0070216A"/>
    <w:rsid w:val="00703224"/>
    <w:rsid w:val="00705094"/>
    <w:rsid w:val="007069C9"/>
    <w:rsid w:val="00706DBF"/>
    <w:rsid w:val="00710510"/>
    <w:rsid w:val="00710A66"/>
    <w:rsid w:val="0071177E"/>
    <w:rsid w:val="0071315B"/>
    <w:rsid w:val="00713C0C"/>
    <w:rsid w:val="00717481"/>
    <w:rsid w:val="00717670"/>
    <w:rsid w:val="00717F20"/>
    <w:rsid w:val="007225C6"/>
    <w:rsid w:val="00722B10"/>
    <w:rsid w:val="00722D49"/>
    <w:rsid w:val="00727B08"/>
    <w:rsid w:val="007314CA"/>
    <w:rsid w:val="007330C5"/>
    <w:rsid w:val="00733685"/>
    <w:rsid w:val="007362A1"/>
    <w:rsid w:val="00740B2D"/>
    <w:rsid w:val="00741AE6"/>
    <w:rsid w:val="00742545"/>
    <w:rsid w:val="007432E8"/>
    <w:rsid w:val="00745EB2"/>
    <w:rsid w:val="00746D96"/>
    <w:rsid w:val="00751BB7"/>
    <w:rsid w:val="0075241F"/>
    <w:rsid w:val="00752678"/>
    <w:rsid w:val="00753D91"/>
    <w:rsid w:val="007543EF"/>
    <w:rsid w:val="00756540"/>
    <w:rsid w:val="00757BD6"/>
    <w:rsid w:val="00760E37"/>
    <w:rsid w:val="00760F9F"/>
    <w:rsid w:val="00762AF7"/>
    <w:rsid w:val="0076369E"/>
    <w:rsid w:val="00766BF0"/>
    <w:rsid w:val="00772A68"/>
    <w:rsid w:val="0077436A"/>
    <w:rsid w:val="00774709"/>
    <w:rsid w:val="00774747"/>
    <w:rsid w:val="007778A1"/>
    <w:rsid w:val="00777CED"/>
    <w:rsid w:val="007800C5"/>
    <w:rsid w:val="00780327"/>
    <w:rsid w:val="00781580"/>
    <w:rsid w:val="007817DF"/>
    <w:rsid w:val="00782FA8"/>
    <w:rsid w:val="00783572"/>
    <w:rsid w:val="007839D7"/>
    <w:rsid w:val="007866CB"/>
    <w:rsid w:val="00786FE3"/>
    <w:rsid w:val="00790AFC"/>
    <w:rsid w:val="0079187B"/>
    <w:rsid w:val="00792907"/>
    <w:rsid w:val="00793D1D"/>
    <w:rsid w:val="00795F51"/>
    <w:rsid w:val="00796AA2"/>
    <w:rsid w:val="007A0EC2"/>
    <w:rsid w:val="007A1324"/>
    <w:rsid w:val="007A1574"/>
    <w:rsid w:val="007A18B9"/>
    <w:rsid w:val="007A309D"/>
    <w:rsid w:val="007A397A"/>
    <w:rsid w:val="007A56BC"/>
    <w:rsid w:val="007A7C8F"/>
    <w:rsid w:val="007A7FF6"/>
    <w:rsid w:val="007B0B49"/>
    <w:rsid w:val="007B2259"/>
    <w:rsid w:val="007B264D"/>
    <w:rsid w:val="007B3922"/>
    <w:rsid w:val="007B4430"/>
    <w:rsid w:val="007B5AC6"/>
    <w:rsid w:val="007C00DA"/>
    <w:rsid w:val="007C0896"/>
    <w:rsid w:val="007C1316"/>
    <w:rsid w:val="007C4472"/>
    <w:rsid w:val="007C5448"/>
    <w:rsid w:val="007C5993"/>
    <w:rsid w:val="007C6037"/>
    <w:rsid w:val="007C730F"/>
    <w:rsid w:val="007D0073"/>
    <w:rsid w:val="007D03F2"/>
    <w:rsid w:val="007D1F45"/>
    <w:rsid w:val="007D206A"/>
    <w:rsid w:val="007D267D"/>
    <w:rsid w:val="007D34A1"/>
    <w:rsid w:val="007D4FBE"/>
    <w:rsid w:val="007D7030"/>
    <w:rsid w:val="007D790B"/>
    <w:rsid w:val="007E0BF6"/>
    <w:rsid w:val="007E1C85"/>
    <w:rsid w:val="007E2648"/>
    <w:rsid w:val="007E2709"/>
    <w:rsid w:val="007E2748"/>
    <w:rsid w:val="007E3769"/>
    <w:rsid w:val="007E37BA"/>
    <w:rsid w:val="007E5CBC"/>
    <w:rsid w:val="007E6BFE"/>
    <w:rsid w:val="007E7E41"/>
    <w:rsid w:val="007F0249"/>
    <w:rsid w:val="007F2070"/>
    <w:rsid w:val="007F7B32"/>
    <w:rsid w:val="007F7EBA"/>
    <w:rsid w:val="008022B8"/>
    <w:rsid w:val="00806F91"/>
    <w:rsid w:val="00807257"/>
    <w:rsid w:val="0081314E"/>
    <w:rsid w:val="00814326"/>
    <w:rsid w:val="00815EB3"/>
    <w:rsid w:val="0081673E"/>
    <w:rsid w:val="008215E3"/>
    <w:rsid w:val="00821C5F"/>
    <w:rsid w:val="00822031"/>
    <w:rsid w:val="00824E10"/>
    <w:rsid w:val="0082573A"/>
    <w:rsid w:val="00826597"/>
    <w:rsid w:val="00826B1F"/>
    <w:rsid w:val="00834328"/>
    <w:rsid w:val="00834D7D"/>
    <w:rsid w:val="0083532E"/>
    <w:rsid w:val="00837B68"/>
    <w:rsid w:val="0084173F"/>
    <w:rsid w:val="00842E1B"/>
    <w:rsid w:val="00843A20"/>
    <w:rsid w:val="008455ED"/>
    <w:rsid w:val="00845F82"/>
    <w:rsid w:val="00846606"/>
    <w:rsid w:val="00850564"/>
    <w:rsid w:val="00853A13"/>
    <w:rsid w:val="00854101"/>
    <w:rsid w:val="00856498"/>
    <w:rsid w:val="0085716D"/>
    <w:rsid w:val="00860B84"/>
    <w:rsid w:val="00863277"/>
    <w:rsid w:val="00863E33"/>
    <w:rsid w:val="008652B7"/>
    <w:rsid w:val="008657AA"/>
    <w:rsid w:val="0087019A"/>
    <w:rsid w:val="00870FDB"/>
    <w:rsid w:val="00872DD0"/>
    <w:rsid w:val="008741B3"/>
    <w:rsid w:val="00874E9E"/>
    <w:rsid w:val="008750B1"/>
    <w:rsid w:val="00875163"/>
    <w:rsid w:val="0087538E"/>
    <w:rsid w:val="008756A3"/>
    <w:rsid w:val="00877B7C"/>
    <w:rsid w:val="00877C82"/>
    <w:rsid w:val="00880052"/>
    <w:rsid w:val="00880B67"/>
    <w:rsid w:val="008813F4"/>
    <w:rsid w:val="008839E5"/>
    <w:rsid w:val="00884C5E"/>
    <w:rsid w:val="00884FA3"/>
    <w:rsid w:val="00884FEF"/>
    <w:rsid w:val="008878A0"/>
    <w:rsid w:val="00893C57"/>
    <w:rsid w:val="008954FF"/>
    <w:rsid w:val="00895D4A"/>
    <w:rsid w:val="0089601D"/>
    <w:rsid w:val="00896E3C"/>
    <w:rsid w:val="008A0857"/>
    <w:rsid w:val="008A242F"/>
    <w:rsid w:val="008A2D22"/>
    <w:rsid w:val="008A38B3"/>
    <w:rsid w:val="008A5200"/>
    <w:rsid w:val="008A7F48"/>
    <w:rsid w:val="008B234D"/>
    <w:rsid w:val="008B2397"/>
    <w:rsid w:val="008B2465"/>
    <w:rsid w:val="008B3279"/>
    <w:rsid w:val="008B47F8"/>
    <w:rsid w:val="008B4D8E"/>
    <w:rsid w:val="008B4DB5"/>
    <w:rsid w:val="008B5CB0"/>
    <w:rsid w:val="008C1F9B"/>
    <w:rsid w:val="008C20FF"/>
    <w:rsid w:val="008C24EB"/>
    <w:rsid w:val="008C524B"/>
    <w:rsid w:val="008C540D"/>
    <w:rsid w:val="008C5FAF"/>
    <w:rsid w:val="008C63F4"/>
    <w:rsid w:val="008C683B"/>
    <w:rsid w:val="008D0CCE"/>
    <w:rsid w:val="008D1C9B"/>
    <w:rsid w:val="008D38E7"/>
    <w:rsid w:val="008D53DB"/>
    <w:rsid w:val="008D7903"/>
    <w:rsid w:val="008E0434"/>
    <w:rsid w:val="008E27A0"/>
    <w:rsid w:val="008E27D2"/>
    <w:rsid w:val="008E3585"/>
    <w:rsid w:val="008E36C1"/>
    <w:rsid w:val="008E70EB"/>
    <w:rsid w:val="008F239D"/>
    <w:rsid w:val="008F24D5"/>
    <w:rsid w:val="008F2D69"/>
    <w:rsid w:val="008F45D8"/>
    <w:rsid w:val="008F62F3"/>
    <w:rsid w:val="008F663C"/>
    <w:rsid w:val="008F7387"/>
    <w:rsid w:val="008F7667"/>
    <w:rsid w:val="00900AE3"/>
    <w:rsid w:val="00903787"/>
    <w:rsid w:val="00903CF4"/>
    <w:rsid w:val="00904452"/>
    <w:rsid w:val="00904989"/>
    <w:rsid w:val="009075C8"/>
    <w:rsid w:val="0090763D"/>
    <w:rsid w:val="00907E6F"/>
    <w:rsid w:val="00911028"/>
    <w:rsid w:val="00914FDF"/>
    <w:rsid w:val="00915241"/>
    <w:rsid w:val="00916547"/>
    <w:rsid w:val="009169BB"/>
    <w:rsid w:val="00920513"/>
    <w:rsid w:val="00921D94"/>
    <w:rsid w:val="00921FC0"/>
    <w:rsid w:val="009240AA"/>
    <w:rsid w:val="00924825"/>
    <w:rsid w:val="00924E0B"/>
    <w:rsid w:val="009255B3"/>
    <w:rsid w:val="00926719"/>
    <w:rsid w:val="0092793B"/>
    <w:rsid w:val="00931806"/>
    <w:rsid w:val="00931DC6"/>
    <w:rsid w:val="00932896"/>
    <w:rsid w:val="00935213"/>
    <w:rsid w:val="009367A4"/>
    <w:rsid w:val="00937926"/>
    <w:rsid w:val="00942FAA"/>
    <w:rsid w:val="00946711"/>
    <w:rsid w:val="00946E27"/>
    <w:rsid w:val="00947760"/>
    <w:rsid w:val="009477FD"/>
    <w:rsid w:val="00950883"/>
    <w:rsid w:val="00951592"/>
    <w:rsid w:val="00951B1A"/>
    <w:rsid w:val="009524E9"/>
    <w:rsid w:val="00952DD1"/>
    <w:rsid w:val="009533CB"/>
    <w:rsid w:val="00953787"/>
    <w:rsid w:val="00953BA8"/>
    <w:rsid w:val="009543FF"/>
    <w:rsid w:val="00954A98"/>
    <w:rsid w:val="00956275"/>
    <w:rsid w:val="00957E39"/>
    <w:rsid w:val="0096289C"/>
    <w:rsid w:val="0096461C"/>
    <w:rsid w:val="00965A53"/>
    <w:rsid w:val="00965C36"/>
    <w:rsid w:val="00967E22"/>
    <w:rsid w:val="0097153D"/>
    <w:rsid w:val="00971F58"/>
    <w:rsid w:val="0097422D"/>
    <w:rsid w:val="009752E0"/>
    <w:rsid w:val="00975F3D"/>
    <w:rsid w:val="00976693"/>
    <w:rsid w:val="009801C2"/>
    <w:rsid w:val="00980926"/>
    <w:rsid w:val="009815F4"/>
    <w:rsid w:val="009817FB"/>
    <w:rsid w:val="0098383C"/>
    <w:rsid w:val="00984276"/>
    <w:rsid w:val="00985415"/>
    <w:rsid w:val="009861E7"/>
    <w:rsid w:val="009861FD"/>
    <w:rsid w:val="00986FB0"/>
    <w:rsid w:val="0098727F"/>
    <w:rsid w:val="0099021B"/>
    <w:rsid w:val="009903E1"/>
    <w:rsid w:val="0099082F"/>
    <w:rsid w:val="009909FB"/>
    <w:rsid w:val="00991181"/>
    <w:rsid w:val="00991313"/>
    <w:rsid w:val="009918BD"/>
    <w:rsid w:val="00991903"/>
    <w:rsid w:val="0099272F"/>
    <w:rsid w:val="009933ED"/>
    <w:rsid w:val="00994CE0"/>
    <w:rsid w:val="00994FDB"/>
    <w:rsid w:val="00995065"/>
    <w:rsid w:val="009955A7"/>
    <w:rsid w:val="009A06FC"/>
    <w:rsid w:val="009A0811"/>
    <w:rsid w:val="009A0DDC"/>
    <w:rsid w:val="009A41D8"/>
    <w:rsid w:val="009A5F72"/>
    <w:rsid w:val="009A7A4E"/>
    <w:rsid w:val="009A7B88"/>
    <w:rsid w:val="009A7F01"/>
    <w:rsid w:val="009B0A4A"/>
    <w:rsid w:val="009B2C20"/>
    <w:rsid w:val="009B323D"/>
    <w:rsid w:val="009B32DC"/>
    <w:rsid w:val="009B3888"/>
    <w:rsid w:val="009B3959"/>
    <w:rsid w:val="009B6B55"/>
    <w:rsid w:val="009B7C2A"/>
    <w:rsid w:val="009C0324"/>
    <w:rsid w:val="009C208F"/>
    <w:rsid w:val="009C25C0"/>
    <w:rsid w:val="009C4FF2"/>
    <w:rsid w:val="009C5D0E"/>
    <w:rsid w:val="009C73ED"/>
    <w:rsid w:val="009C7F18"/>
    <w:rsid w:val="009D05FE"/>
    <w:rsid w:val="009D2E5B"/>
    <w:rsid w:val="009D3A58"/>
    <w:rsid w:val="009D490E"/>
    <w:rsid w:val="009D4F67"/>
    <w:rsid w:val="009D5973"/>
    <w:rsid w:val="009D7924"/>
    <w:rsid w:val="009E00CE"/>
    <w:rsid w:val="009E0569"/>
    <w:rsid w:val="009E0AE8"/>
    <w:rsid w:val="009E18BF"/>
    <w:rsid w:val="009E1B70"/>
    <w:rsid w:val="009E2DBB"/>
    <w:rsid w:val="009E4C55"/>
    <w:rsid w:val="009E5E54"/>
    <w:rsid w:val="009E6011"/>
    <w:rsid w:val="009F1DCB"/>
    <w:rsid w:val="009F30F9"/>
    <w:rsid w:val="009F4500"/>
    <w:rsid w:val="009F4992"/>
    <w:rsid w:val="009F652D"/>
    <w:rsid w:val="009F6601"/>
    <w:rsid w:val="009F6CEF"/>
    <w:rsid w:val="009F7EC8"/>
    <w:rsid w:val="00A01C5D"/>
    <w:rsid w:val="00A02D81"/>
    <w:rsid w:val="00A103C8"/>
    <w:rsid w:val="00A11780"/>
    <w:rsid w:val="00A13328"/>
    <w:rsid w:val="00A134F6"/>
    <w:rsid w:val="00A146CA"/>
    <w:rsid w:val="00A14974"/>
    <w:rsid w:val="00A1542A"/>
    <w:rsid w:val="00A20246"/>
    <w:rsid w:val="00A203B5"/>
    <w:rsid w:val="00A20E75"/>
    <w:rsid w:val="00A2233B"/>
    <w:rsid w:val="00A23580"/>
    <w:rsid w:val="00A26883"/>
    <w:rsid w:val="00A2712E"/>
    <w:rsid w:val="00A275D5"/>
    <w:rsid w:val="00A318E8"/>
    <w:rsid w:val="00A320A7"/>
    <w:rsid w:val="00A32441"/>
    <w:rsid w:val="00A332FE"/>
    <w:rsid w:val="00A33F83"/>
    <w:rsid w:val="00A34239"/>
    <w:rsid w:val="00A371D4"/>
    <w:rsid w:val="00A40D28"/>
    <w:rsid w:val="00A41009"/>
    <w:rsid w:val="00A411A7"/>
    <w:rsid w:val="00A41471"/>
    <w:rsid w:val="00A4203C"/>
    <w:rsid w:val="00A42350"/>
    <w:rsid w:val="00A42C73"/>
    <w:rsid w:val="00A42EC7"/>
    <w:rsid w:val="00A4395E"/>
    <w:rsid w:val="00A4741B"/>
    <w:rsid w:val="00A506FC"/>
    <w:rsid w:val="00A50D96"/>
    <w:rsid w:val="00A5113D"/>
    <w:rsid w:val="00A51B2B"/>
    <w:rsid w:val="00A540E7"/>
    <w:rsid w:val="00A540FA"/>
    <w:rsid w:val="00A56436"/>
    <w:rsid w:val="00A61114"/>
    <w:rsid w:val="00A620DE"/>
    <w:rsid w:val="00A620F4"/>
    <w:rsid w:val="00A63557"/>
    <w:rsid w:val="00A64A2A"/>
    <w:rsid w:val="00A65E57"/>
    <w:rsid w:val="00A664AD"/>
    <w:rsid w:val="00A6738B"/>
    <w:rsid w:val="00A67A6B"/>
    <w:rsid w:val="00A67FDF"/>
    <w:rsid w:val="00A71098"/>
    <w:rsid w:val="00A71C28"/>
    <w:rsid w:val="00A7261F"/>
    <w:rsid w:val="00A72A45"/>
    <w:rsid w:val="00A73590"/>
    <w:rsid w:val="00A7384B"/>
    <w:rsid w:val="00A757D9"/>
    <w:rsid w:val="00A8133E"/>
    <w:rsid w:val="00A81CD9"/>
    <w:rsid w:val="00A82A63"/>
    <w:rsid w:val="00A8763B"/>
    <w:rsid w:val="00A9004C"/>
    <w:rsid w:val="00A916F7"/>
    <w:rsid w:val="00A91A9A"/>
    <w:rsid w:val="00A91D40"/>
    <w:rsid w:val="00A9343F"/>
    <w:rsid w:val="00A974E9"/>
    <w:rsid w:val="00AA109B"/>
    <w:rsid w:val="00AA3134"/>
    <w:rsid w:val="00AA3867"/>
    <w:rsid w:val="00AA4FB5"/>
    <w:rsid w:val="00AB3441"/>
    <w:rsid w:val="00AB4ACC"/>
    <w:rsid w:val="00AB4CDC"/>
    <w:rsid w:val="00AB4D2C"/>
    <w:rsid w:val="00AB5D31"/>
    <w:rsid w:val="00AB718A"/>
    <w:rsid w:val="00AC23EB"/>
    <w:rsid w:val="00AC36D3"/>
    <w:rsid w:val="00AC48DF"/>
    <w:rsid w:val="00AC58F3"/>
    <w:rsid w:val="00AC6504"/>
    <w:rsid w:val="00AC6C50"/>
    <w:rsid w:val="00AD0965"/>
    <w:rsid w:val="00AD355F"/>
    <w:rsid w:val="00AD3B6A"/>
    <w:rsid w:val="00AD4E5F"/>
    <w:rsid w:val="00AD5D23"/>
    <w:rsid w:val="00AD7F2F"/>
    <w:rsid w:val="00AE060D"/>
    <w:rsid w:val="00AE1464"/>
    <w:rsid w:val="00AE1FBE"/>
    <w:rsid w:val="00AE4991"/>
    <w:rsid w:val="00AE509B"/>
    <w:rsid w:val="00AE67A8"/>
    <w:rsid w:val="00AE6EC3"/>
    <w:rsid w:val="00AE734C"/>
    <w:rsid w:val="00AF0B66"/>
    <w:rsid w:val="00AF2C68"/>
    <w:rsid w:val="00AF3150"/>
    <w:rsid w:val="00AF46CF"/>
    <w:rsid w:val="00AF50DB"/>
    <w:rsid w:val="00AF553D"/>
    <w:rsid w:val="00AF6A6D"/>
    <w:rsid w:val="00AF6A81"/>
    <w:rsid w:val="00AF6FB1"/>
    <w:rsid w:val="00AF7D95"/>
    <w:rsid w:val="00B00030"/>
    <w:rsid w:val="00B01451"/>
    <w:rsid w:val="00B028E1"/>
    <w:rsid w:val="00B031F2"/>
    <w:rsid w:val="00B054CE"/>
    <w:rsid w:val="00B07760"/>
    <w:rsid w:val="00B1014D"/>
    <w:rsid w:val="00B1158D"/>
    <w:rsid w:val="00B11873"/>
    <w:rsid w:val="00B124C5"/>
    <w:rsid w:val="00B125AC"/>
    <w:rsid w:val="00B12603"/>
    <w:rsid w:val="00B12776"/>
    <w:rsid w:val="00B129E0"/>
    <w:rsid w:val="00B130D6"/>
    <w:rsid w:val="00B133F8"/>
    <w:rsid w:val="00B1422F"/>
    <w:rsid w:val="00B1466F"/>
    <w:rsid w:val="00B21040"/>
    <w:rsid w:val="00B21D72"/>
    <w:rsid w:val="00B21F9B"/>
    <w:rsid w:val="00B22163"/>
    <w:rsid w:val="00B23450"/>
    <w:rsid w:val="00B23BC4"/>
    <w:rsid w:val="00B30613"/>
    <w:rsid w:val="00B33010"/>
    <w:rsid w:val="00B330BA"/>
    <w:rsid w:val="00B34621"/>
    <w:rsid w:val="00B347C9"/>
    <w:rsid w:val="00B34F20"/>
    <w:rsid w:val="00B36B10"/>
    <w:rsid w:val="00B42FAC"/>
    <w:rsid w:val="00B4332F"/>
    <w:rsid w:val="00B43F7F"/>
    <w:rsid w:val="00B469DC"/>
    <w:rsid w:val="00B47163"/>
    <w:rsid w:val="00B50CD3"/>
    <w:rsid w:val="00B51A46"/>
    <w:rsid w:val="00B57558"/>
    <w:rsid w:val="00B60BF0"/>
    <w:rsid w:val="00B61813"/>
    <w:rsid w:val="00B62767"/>
    <w:rsid w:val="00B629D3"/>
    <w:rsid w:val="00B62B02"/>
    <w:rsid w:val="00B65A04"/>
    <w:rsid w:val="00B6604F"/>
    <w:rsid w:val="00B70601"/>
    <w:rsid w:val="00B71441"/>
    <w:rsid w:val="00B72139"/>
    <w:rsid w:val="00B73013"/>
    <w:rsid w:val="00B74228"/>
    <w:rsid w:val="00B7440C"/>
    <w:rsid w:val="00B74A1B"/>
    <w:rsid w:val="00B75A0B"/>
    <w:rsid w:val="00B75C54"/>
    <w:rsid w:val="00B75F63"/>
    <w:rsid w:val="00B7602B"/>
    <w:rsid w:val="00B7674F"/>
    <w:rsid w:val="00B77F06"/>
    <w:rsid w:val="00B80669"/>
    <w:rsid w:val="00B82C99"/>
    <w:rsid w:val="00B82D57"/>
    <w:rsid w:val="00B8373D"/>
    <w:rsid w:val="00B83BEA"/>
    <w:rsid w:val="00B83D03"/>
    <w:rsid w:val="00B84257"/>
    <w:rsid w:val="00B84F6F"/>
    <w:rsid w:val="00B8502E"/>
    <w:rsid w:val="00B85AA3"/>
    <w:rsid w:val="00B8712E"/>
    <w:rsid w:val="00B87184"/>
    <w:rsid w:val="00B921C6"/>
    <w:rsid w:val="00B9220F"/>
    <w:rsid w:val="00B9228E"/>
    <w:rsid w:val="00B928E7"/>
    <w:rsid w:val="00B93491"/>
    <w:rsid w:val="00B96B64"/>
    <w:rsid w:val="00B973EF"/>
    <w:rsid w:val="00B97A85"/>
    <w:rsid w:val="00BA054D"/>
    <w:rsid w:val="00BA2791"/>
    <w:rsid w:val="00BA3460"/>
    <w:rsid w:val="00BA4491"/>
    <w:rsid w:val="00BA54A7"/>
    <w:rsid w:val="00BB381D"/>
    <w:rsid w:val="00BB5D89"/>
    <w:rsid w:val="00BB6765"/>
    <w:rsid w:val="00BC20FB"/>
    <w:rsid w:val="00BC26B7"/>
    <w:rsid w:val="00BC2CB5"/>
    <w:rsid w:val="00BC2E84"/>
    <w:rsid w:val="00BC58CB"/>
    <w:rsid w:val="00BC5D9D"/>
    <w:rsid w:val="00BD31FB"/>
    <w:rsid w:val="00BD3E8B"/>
    <w:rsid w:val="00BD4663"/>
    <w:rsid w:val="00BD4A34"/>
    <w:rsid w:val="00BD79CD"/>
    <w:rsid w:val="00BE16A6"/>
    <w:rsid w:val="00BE1836"/>
    <w:rsid w:val="00BE186D"/>
    <w:rsid w:val="00BE1A6A"/>
    <w:rsid w:val="00BE1ABE"/>
    <w:rsid w:val="00BE378A"/>
    <w:rsid w:val="00BE40ED"/>
    <w:rsid w:val="00BE4CCE"/>
    <w:rsid w:val="00BE4CF1"/>
    <w:rsid w:val="00BE5229"/>
    <w:rsid w:val="00BE547D"/>
    <w:rsid w:val="00BE55F1"/>
    <w:rsid w:val="00BE6A61"/>
    <w:rsid w:val="00BE71E9"/>
    <w:rsid w:val="00BE786E"/>
    <w:rsid w:val="00BE797A"/>
    <w:rsid w:val="00BE7E5C"/>
    <w:rsid w:val="00BF3371"/>
    <w:rsid w:val="00BF412B"/>
    <w:rsid w:val="00BF57DE"/>
    <w:rsid w:val="00BF71D4"/>
    <w:rsid w:val="00BF722F"/>
    <w:rsid w:val="00BF7F2A"/>
    <w:rsid w:val="00C0283D"/>
    <w:rsid w:val="00C0296E"/>
    <w:rsid w:val="00C02E6C"/>
    <w:rsid w:val="00C04D21"/>
    <w:rsid w:val="00C05307"/>
    <w:rsid w:val="00C0550D"/>
    <w:rsid w:val="00C05BE2"/>
    <w:rsid w:val="00C071C9"/>
    <w:rsid w:val="00C07799"/>
    <w:rsid w:val="00C10A12"/>
    <w:rsid w:val="00C10FAB"/>
    <w:rsid w:val="00C111B6"/>
    <w:rsid w:val="00C111D8"/>
    <w:rsid w:val="00C12134"/>
    <w:rsid w:val="00C12921"/>
    <w:rsid w:val="00C13F65"/>
    <w:rsid w:val="00C156D8"/>
    <w:rsid w:val="00C15F0D"/>
    <w:rsid w:val="00C16636"/>
    <w:rsid w:val="00C167E9"/>
    <w:rsid w:val="00C20078"/>
    <w:rsid w:val="00C202E2"/>
    <w:rsid w:val="00C2378D"/>
    <w:rsid w:val="00C246F6"/>
    <w:rsid w:val="00C26360"/>
    <w:rsid w:val="00C26F3F"/>
    <w:rsid w:val="00C275FF"/>
    <w:rsid w:val="00C32E7C"/>
    <w:rsid w:val="00C34486"/>
    <w:rsid w:val="00C348CE"/>
    <w:rsid w:val="00C35A49"/>
    <w:rsid w:val="00C371A8"/>
    <w:rsid w:val="00C379A7"/>
    <w:rsid w:val="00C400BE"/>
    <w:rsid w:val="00C43638"/>
    <w:rsid w:val="00C43CEF"/>
    <w:rsid w:val="00C44116"/>
    <w:rsid w:val="00C506CE"/>
    <w:rsid w:val="00C50A87"/>
    <w:rsid w:val="00C51CE1"/>
    <w:rsid w:val="00C52E1B"/>
    <w:rsid w:val="00C53838"/>
    <w:rsid w:val="00C53E25"/>
    <w:rsid w:val="00C53FD0"/>
    <w:rsid w:val="00C5428D"/>
    <w:rsid w:val="00C56F7B"/>
    <w:rsid w:val="00C57BE5"/>
    <w:rsid w:val="00C6003C"/>
    <w:rsid w:val="00C609E3"/>
    <w:rsid w:val="00C60D3A"/>
    <w:rsid w:val="00C613F7"/>
    <w:rsid w:val="00C623F8"/>
    <w:rsid w:val="00C658C5"/>
    <w:rsid w:val="00C70067"/>
    <w:rsid w:val="00C70BBE"/>
    <w:rsid w:val="00C71AE1"/>
    <w:rsid w:val="00C71B5A"/>
    <w:rsid w:val="00C72B3F"/>
    <w:rsid w:val="00C730C5"/>
    <w:rsid w:val="00C73574"/>
    <w:rsid w:val="00C73E3D"/>
    <w:rsid w:val="00C74A26"/>
    <w:rsid w:val="00C74D67"/>
    <w:rsid w:val="00C751F6"/>
    <w:rsid w:val="00C7663C"/>
    <w:rsid w:val="00C77040"/>
    <w:rsid w:val="00C7730E"/>
    <w:rsid w:val="00C80D11"/>
    <w:rsid w:val="00C80D66"/>
    <w:rsid w:val="00C813B7"/>
    <w:rsid w:val="00C82E2D"/>
    <w:rsid w:val="00C8353F"/>
    <w:rsid w:val="00C838A6"/>
    <w:rsid w:val="00C84700"/>
    <w:rsid w:val="00C85603"/>
    <w:rsid w:val="00C86AF6"/>
    <w:rsid w:val="00C86B19"/>
    <w:rsid w:val="00C87121"/>
    <w:rsid w:val="00C901DE"/>
    <w:rsid w:val="00C902B3"/>
    <w:rsid w:val="00C9036B"/>
    <w:rsid w:val="00C91C58"/>
    <w:rsid w:val="00C92CE6"/>
    <w:rsid w:val="00C9302A"/>
    <w:rsid w:val="00C93556"/>
    <w:rsid w:val="00C93881"/>
    <w:rsid w:val="00C93D38"/>
    <w:rsid w:val="00C958FD"/>
    <w:rsid w:val="00C95A1D"/>
    <w:rsid w:val="00C960AB"/>
    <w:rsid w:val="00CA096A"/>
    <w:rsid w:val="00CA57AE"/>
    <w:rsid w:val="00CB26F5"/>
    <w:rsid w:val="00CB3527"/>
    <w:rsid w:val="00CB74CB"/>
    <w:rsid w:val="00CC0062"/>
    <w:rsid w:val="00CC0F6C"/>
    <w:rsid w:val="00CC7A5C"/>
    <w:rsid w:val="00CD0480"/>
    <w:rsid w:val="00CD1AD7"/>
    <w:rsid w:val="00CD25C7"/>
    <w:rsid w:val="00CD52BB"/>
    <w:rsid w:val="00CD72CE"/>
    <w:rsid w:val="00CD7378"/>
    <w:rsid w:val="00CD7D2F"/>
    <w:rsid w:val="00CE216B"/>
    <w:rsid w:val="00CE283F"/>
    <w:rsid w:val="00CE309D"/>
    <w:rsid w:val="00CF0A90"/>
    <w:rsid w:val="00CF2428"/>
    <w:rsid w:val="00CF2A93"/>
    <w:rsid w:val="00CF6F19"/>
    <w:rsid w:val="00D01F86"/>
    <w:rsid w:val="00D02DAB"/>
    <w:rsid w:val="00D04EA3"/>
    <w:rsid w:val="00D056CC"/>
    <w:rsid w:val="00D0643E"/>
    <w:rsid w:val="00D06D6C"/>
    <w:rsid w:val="00D07016"/>
    <w:rsid w:val="00D12793"/>
    <w:rsid w:val="00D13BED"/>
    <w:rsid w:val="00D15D34"/>
    <w:rsid w:val="00D173BC"/>
    <w:rsid w:val="00D22022"/>
    <w:rsid w:val="00D2263D"/>
    <w:rsid w:val="00D23D67"/>
    <w:rsid w:val="00D25072"/>
    <w:rsid w:val="00D25633"/>
    <w:rsid w:val="00D27D04"/>
    <w:rsid w:val="00D27DF6"/>
    <w:rsid w:val="00D31097"/>
    <w:rsid w:val="00D314FB"/>
    <w:rsid w:val="00D317A7"/>
    <w:rsid w:val="00D32332"/>
    <w:rsid w:val="00D32E1F"/>
    <w:rsid w:val="00D33A60"/>
    <w:rsid w:val="00D33C57"/>
    <w:rsid w:val="00D34910"/>
    <w:rsid w:val="00D364EE"/>
    <w:rsid w:val="00D422E0"/>
    <w:rsid w:val="00D47F30"/>
    <w:rsid w:val="00D506A9"/>
    <w:rsid w:val="00D51F5F"/>
    <w:rsid w:val="00D53DA7"/>
    <w:rsid w:val="00D5486C"/>
    <w:rsid w:val="00D553D4"/>
    <w:rsid w:val="00D55E69"/>
    <w:rsid w:val="00D562ED"/>
    <w:rsid w:val="00D56751"/>
    <w:rsid w:val="00D61299"/>
    <w:rsid w:val="00D635F5"/>
    <w:rsid w:val="00D63D1B"/>
    <w:rsid w:val="00D64271"/>
    <w:rsid w:val="00D6430C"/>
    <w:rsid w:val="00D64EC1"/>
    <w:rsid w:val="00D6537E"/>
    <w:rsid w:val="00D65A82"/>
    <w:rsid w:val="00D6601F"/>
    <w:rsid w:val="00D66243"/>
    <w:rsid w:val="00D67680"/>
    <w:rsid w:val="00D70268"/>
    <w:rsid w:val="00D721B0"/>
    <w:rsid w:val="00D738FE"/>
    <w:rsid w:val="00D75ACC"/>
    <w:rsid w:val="00D77DC0"/>
    <w:rsid w:val="00D77F62"/>
    <w:rsid w:val="00D80A97"/>
    <w:rsid w:val="00D85376"/>
    <w:rsid w:val="00D853F7"/>
    <w:rsid w:val="00D858A9"/>
    <w:rsid w:val="00D863AA"/>
    <w:rsid w:val="00D90F8B"/>
    <w:rsid w:val="00D91B7A"/>
    <w:rsid w:val="00D935C2"/>
    <w:rsid w:val="00D9408F"/>
    <w:rsid w:val="00D974EE"/>
    <w:rsid w:val="00DA0032"/>
    <w:rsid w:val="00DA2348"/>
    <w:rsid w:val="00DA7551"/>
    <w:rsid w:val="00DA7A16"/>
    <w:rsid w:val="00DB28F8"/>
    <w:rsid w:val="00DB2BBA"/>
    <w:rsid w:val="00DB486B"/>
    <w:rsid w:val="00DB590E"/>
    <w:rsid w:val="00DC10A1"/>
    <w:rsid w:val="00DC14A7"/>
    <w:rsid w:val="00DC3E94"/>
    <w:rsid w:val="00DC655F"/>
    <w:rsid w:val="00DC69D9"/>
    <w:rsid w:val="00DC6B82"/>
    <w:rsid w:val="00DC734D"/>
    <w:rsid w:val="00DC79F0"/>
    <w:rsid w:val="00DD0B85"/>
    <w:rsid w:val="00DD0CE6"/>
    <w:rsid w:val="00DD1288"/>
    <w:rsid w:val="00DD1441"/>
    <w:rsid w:val="00DD1E54"/>
    <w:rsid w:val="00DD1F66"/>
    <w:rsid w:val="00DD257F"/>
    <w:rsid w:val="00DD409B"/>
    <w:rsid w:val="00DD653A"/>
    <w:rsid w:val="00DD6977"/>
    <w:rsid w:val="00DD6D79"/>
    <w:rsid w:val="00DE35E4"/>
    <w:rsid w:val="00DE4140"/>
    <w:rsid w:val="00DE4F57"/>
    <w:rsid w:val="00DE50C3"/>
    <w:rsid w:val="00DE64C2"/>
    <w:rsid w:val="00DE75C1"/>
    <w:rsid w:val="00DF0C33"/>
    <w:rsid w:val="00DF1739"/>
    <w:rsid w:val="00DF2FC0"/>
    <w:rsid w:val="00DF3CDD"/>
    <w:rsid w:val="00DF4C87"/>
    <w:rsid w:val="00DF5466"/>
    <w:rsid w:val="00DF5BC8"/>
    <w:rsid w:val="00DF65D3"/>
    <w:rsid w:val="00E01BD7"/>
    <w:rsid w:val="00E02674"/>
    <w:rsid w:val="00E02F44"/>
    <w:rsid w:val="00E03261"/>
    <w:rsid w:val="00E0731D"/>
    <w:rsid w:val="00E11015"/>
    <w:rsid w:val="00E12C3C"/>
    <w:rsid w:val="00E16BB0"/>
    <w:rsid w:val="00E172F8"/>
    <w:rsid w:val="00E20813"/>
    <w:rsid w:val="00E219AE"/>
    <w:rsid w:val="00E21FCC"/>
    <w:rsid w:val="00E24611"/>
    <w:rsid w:val="00E25A07"/>
    <w:rsid w:val="00E26564"/>
    <w:rsid w:val="00E33861"/>
    <w:rsid w:val="00E33B28"/>
    <w:rsid w:val="00E34D44"/>
    <w:rsid w:val="00E375A7"/>
    <w:rsid w:val="00E37832"/>
    <w:rsid w:val="00E40975"/>
    <w:rsid w:val="00E41C9E"/>
    <w:rsid w:val="00E41CD8"/>
    <w:rsid w:val="00E43155"/>
    <w:rsid w:val="00E43F85"/>
    <w:rsid w:val="00E46B2B"/>
    <w:rsid w:val="00E513E0"/>
    <w:rsid w:val="00E51C59"/>
    <w:rsid w:val="00E52010"/>
    <w:rsid w:val="00E52A17"/>
    <w:rsid w:val="00E5518D"/>
    <w:rsid w:val="00E60D2D"/>
    <w:rsid w:val="00E610E1"/>
    <w:rsid w:val="00E62C9F"/>
    <w:rsid w:val="00E6404E"/>
    <w:rsid w:val="00E6524C"/>
    <w:rsid w:val="00E65FF6"/>
    <w:rsid w:val="00E6606E"/>
    <w:rsid w:val="00E679D5"/>
    <w:rsid w:val="00E70111"/>
    <w:rsid w:val="00E7044D"/>
    <w:rsid w:val="00E72255"/>
    <w:rsid w:val="00E7289E"/>
    <w:rsid w:val="00E7390B"/>
    <w:rsid w:val="00E75749"/>
    <w:rsid w:val="00E80D11"/>
    <w:rsid w:val="00E841CC"/>
    <w:rsid w:val="00E85720"/>
    <w:rsid w:val="00E8748C"/>
    <w:rsid w:val="00E915CB"/>
    <w:rsid w:val="00E9359C"/>
    <w:rsid w:val="00E945A2"/>
    <w:rsid w:val="00E9530D"/>
    <w:rsid w:val="00E956A2"/>
    <w:rsid w:val="00EA0DB4"/>
    <w:rsid w:val="00EA253F"/>
    <w:rsid w:val="00EA2B80"/>
    <w:rsid w:val="00EA3D1A"/>
    <w:rsid w:val="00EA6468"/>
    <w:rsid w:val="00EA7C36"/>
    <w:rsid w:val="00EB0FD2"/>
    <w:rsid w:val="00EB10F9"/>
    <w:rsid w:val="00EB3E49"/>
    <w:rsid w:val="00EB4AFC"/>
    <w:rsid w:val="00EC00B3"/>
    <w:rsid w:val="00EC01D1"/>
    <w:rsid w:val="00EC1493"/>
    <w:rsid w:val="00EC7538"/>
    <w:rsid w:val="00ED0BA9"/>
    <w:rsid w:val="00ED18E4"/>
    <w:rsid w:val="00EE0044"/>
    <w:rsid w:val="00EE1106"/>
    <w:rsid w:val="00EE2A80"/>
    <w:rsid w:val="00EE3A35"/>
    <w:rsid w:val="00EE75C0"/>
    <w:rsid w:val="00EF2C79"/>
    <w:rsid w:val="00EF335D"/>
    <w:rsid w:val="00EF40B1"/>
    <w:rsid w:val="00EF55B2"/>
    <w:rsid w:val="00EF7D36"/>
    <w:rsid w:val="00F024F3"/>
    <w:rsid w:val="00F031F2"/>
    <w:rsid w:val="00F03B42"/>
    <w:rsid w:val="00F04843"/>
    <w:rsid w:val="00F05AE3"/>
    <w:rsid w:val="00F06643"/>
    <w:rsid w:val="00F07424"/>
    <w:rsid w:val="00F07DC5"/>
    <w:rsid w:val="00F104A4"/>
    <w:rsid w:val="00F10BFA"/>
    <w:rsid w:val="00F12A82"/>
    <w:rsid w:val="00F15967"/>
    <w:rsid w:val="00F16C8B"/>
    <w:rsid w:val="00F209CE"/>
    <w:rsid w:val="00F25EE2"/>
    <w:rsid w:val="00F27404"/>
    <w:rsid w:val="00F27546"/>
    <w:rsid w:val="00F30553"/>
    <w:rsid w:val="00F3104A"/>
    <w:rsid w:val="00F31BF1"/>
    <w:rsid w:val="00F3253A"/>
    <w:rsid w:val="00F33981"/>
    <w:rsid w:val="00F36301"/>
    <w:rsid w:val="00F36352"/>
    <w:rsid w:val="00F37068"/>
    <w:rsid w:val="00F37178"/>
    <w:rsid w:val="00F42F25"/>
    <w:rsid w:val="00F44545"/>
    <w:rsid w:val="00F46174"/>
    <w:rsid w:val="00F47D22"/>
    <w:rsid w:val="00F50E84"/>
    <w:rsid w:val="00F53883"/>
    <w:rsid w:val="00F57471"/>
    <w:rsid w:val="00F60645"/>
    <w:rsid w:val="00F61CE1"/>
    <w:rsid w:val="00F631E4"/>
    <w:rsid w:val="00F63B5C"/>
    <w:rsid w:val="00F6661A"/>
    <w:rsid w:val="00F673FD"/>
    <w:rsid w:val="00F6749D"/>
    <w:rsid w:val="00F71098"/>
    <w:rsid w:val="00F71776"/>
    <w:rsid w:val="00F71C13"/>
    <w:rsid w:val="00F71FFB"/>
    <w:rsid w:val="00F720BF"/>
    <w:rsid w:val="00F72B25"/>
    <w:rsid w:val="00F72D56"/>
    <w:rsid w:val="00F74927"/>
    <w:rsid w:val="00F749FA"/>
    <w:rsid w:val="00F7503B"/>
    <w:rsid w:val="00F769EB"/>
    <w:rsid w:val="00F8083B"/>
    <w:rsid w:val="00F84AB0"/>
    <w:rsid w:val="00F8685D"/>
    <w:rsid w:val="00F86E4B"/>
    <w:rsid w:val="00F879F3"/>
    <w:rsid w:val="00F90462"/>
    <w:rsid w:val="00F91804"/>
    <w:rsid w:val="00F91F60"/>
    <w:rsid w:val="00F94D8A"/>
    <w:rsid w:val="00F94ED4"/>
    <w:rsid w:val="00F97C1E"/>
    <w:rsid w:val="00FA4A67"/>
    <w:rsid w:val="00FA6AB5"/>
    <w:rsid w:val="00FA7BC6"/>
    <w:rsid w:val="00FB01BD"/>
    <w:rsid w:val="00FB4185"/>
    <w:rsid w:val="00FB53F2"/>
    <w:rsid w:val="00FB7AEC"/>
    <w:rsid w:val="00FC024A"/>
    <w:rsid w:val="00FC07E3"/>
    <w:rsid w:val="00FC1439"/>
    <w:rsid w:val="00FC27A4"/>
    <w:rsid w:val="00FC351A"/>
    <w:rsid w:val="00FC4B0A"/>
    <w:rsid w:val="00FC61D4"/>
    <w:rsid w:val="00FC6DAE"/>
    <w:rsid w:val="00FC7698"/>
    <w:rsid w:val="00FD101A"/>
    <w:rsid w:val="00FD2606"/>
    <w:rsid w:val="00FD2F5C"/>
    <w:rsid w:val="00FD30EA"/>
    <w:rsid w:val="00FD4658"/>
    <w:rsid w:val="00FD5078"/>
    <w:rsid w:val="00FD645C"/>
    <w:rsid w:val="00FD646B"/>
    <w:rsid w:val="00FD69E3"/>
    <w:rsid w:val="00FD7AF6"/>
    <w:rsid w:val="00FD7D0D"/>
    <w:rsid w:val="00FE1A97"/>
    <w:rsid w:val="00FE2FDC"/>
    <w:rsid w:val="00FE3771"/>
    <w:rsid w:val="00FE4D91"/>
    <w:rsid w:val="00FE5ACD"/>
    <w:rsid w:val="00FE5C62"/>
    <w:rsid w:val="00FE6128"/>
    <w:rsid w:val="00FF0589"/>
    <w:rsid w:val="00FF22B3"/>
    <w:rsid w:val="00FF318E"/>
    <w:rsid w:val="00FF3580"/>
    <w:rsid w:val="00FF3BC4"/>
    <w:rsid w:val="00FF3BF4"/>
    <w:rsid w:val="00FF6436"/>
    <w:rsid w:val="00FF6648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4A"/>
    <w:rPr>
      <w:sz w:val="24"/>
      <w:szCs w:val="24"/>
    </w:rPr>
  </w:style>
  <w:style w:type="paragraph" w:styleId="1">
    <w:name w:val="heading 1"/>
    <w:basedOn w:val="a"/>
    <w:next w:val="a"/>
    <w:qFormat/>
    <w:rsid w:val="003C6E4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E4A"/>
    <w:pPr>
      <w:jc w:val="center"/>
    </w:pPr>
    <w:rPr>
      <w:sz w:val="28"/>
      <w:lang w:val="uk-UA"/>
    </w:rPr>
  </w:style>
  <w:style w:type="paragraph" w:styleId="a4">
    <w:name w:val="Body Text"/>
    <w:basedOn w:val="a"/>
    <w:link w:val="a5"/>
    <w:semiHidden/>
    <w:rsid w:val="003C6E4A"/>
    <w:pPr>
      <w:jc w:val="both"/>
    </w:pPr>
    <w:rPr>
      <w:sz w:val="28"/>
      <w:lang w:val="uk-UA"/>
    </w:rPr>
  </w:style>
  <w:style w:type="paragraph" w:styleId="2">
    <w:name w:val="Body Text Indent 2"/>
    <w:basedOn w:val="a"/>
    <w:link w:val="20"/>
    <w:unhideWhenUsed/>
    <w:rsid w:val="000A36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364F"/>
    <w:rPr>
      <w:sz w:val="24"/>
      <w:szCs w:val="24"/>
    </w:rPr>
  </w:style>
  <w:style w:type="paragraph" w:styleId="a6">
    <w:name w:val="Body Text Indent"/>
    <w:basedOn w:val="a"/>
    <w:link w:val="a7"/>
    <w:unhideWhenUsed/>
    <w:rsid w:val="0066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66645"/>
    <w:rPr>
      <w:sz w:val="24"/>
      <w:szCs w:val="24"/>
    </w:rPr>
  </w:style>
  <w:style w:type="paragraph" w:styleId="a8">
    <w:name w:val="Balloon Text"/>
    <w:basedOn w:val="a"/>
    <w:semiHidden/>
    <w:rsid w:val="00A01C5D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02F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02F44"/>
  </w:style>
  <w:style w:type="paragraph" w:styleId="ab">
    <w:name w:val="footer"/>
    <w:basedOn w:val="a"/>
    <w:rsid w:val="00142DF8"/>
    <w:pPr>
      <w:tabs>
        <w:tab w:val="center" w:pos="4677"/>
        <w:tab w:val="right" w:pos="9355"/>
      </w:tabs>
    </w:pPr>
  </w:style>
  <w:style w:type="character" w:customStyle="1" w:styleId="a5">
    <w:name w:val="Основной текст Знак"/>
    <w:basedOn w:val="a0"/>
    <w:link w:val="a4"/>
    <w:semiHidden/>
    <w:rsid w:val="00EB3E49"/>
    <w:rPr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360C75"/>
    <w:pPr>
      <w:spacing w:before="100" w:beforeAutospacing="1" w:after="100" w:afterAutospacing="1"/>
    </w:pPr>
  </w:style>
  <w:style w:type="paragraph" w:customStyle="1" w:styleId="justifyfull">
    <w:name w:val="justifyfull"/>
    <w:basedOn w:val="a"/>
    <w:uiPriority w:val="99"/>
    <w:rsid w:val="00D5486C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D5486C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  <w:style w:type="paragraph" w:styleId="ad">
    <w:name w:val="List Paragraph"/>
    <w:basedOn w:val="a"/>
    <w:uiPriority w:val="34"/>
    <w:qFormat/>
    <w:rsid w:val="00D548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3">
    <w:name w:val="Основной текст 213"/>
    <w:basedOn w:val="a"/>
    <w:uiPriority w:val="99"/>
    <w:rsid w:val="00612A5A"/>
    <w:pPr>
      <w:suppressAutoHyphens/>
      <w:spacing w:after="120" w:line="480" w:lineRule="auto"/>
    </w:pPr>
    <w:rPr>
      <w:kern w:val="2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Doh1\&#1089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9\&#1076;&#1110;&#1072;&#1075;&#1088;&#1072;&#1084;&#1080;%20&#1089;&#1090;&#1072;&#1085;&#1086;&#1084;%2001.04.2019\&#1057;&#1090;&#1088;&#1091;&#1082;&#1090;&#1091;&#1088;&#1072;%20&#1076;&#1086;&#1093;&#1086;&#1076;&#1110;&#1074;%20&#1047;&#106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oh1\&#1089;&#1077;&#1090;&#1077;&#1074;&#1072;&#1103;\&#1048;.&#1053;\&#1048;&#1088;&#1080;&#1085;&#1072;\&#1056;&#1030;&#1064;,%20&#1044;&#1054;&#1042;&#1030;&#1044;&#1050;&#1048;%20&#1087;&#1088;&#1086;%20&#1074;&#1080;&#1082;&#1086;&#1085;%20&#1073;&#1102;&#1076;&#1078;&#1077;&#1090;&#1091;,%20&#1084;&#1072;&#1090;&#1077;&#1088;&#1110;&#1072;&#1083;&#1080;%20&#1085;&#1072;%20&#1085;&#1072;&#1088;&#1072;&#1076;&#1080;%20&#1090;&#1072;%20&#1082;&#1086;&#1083;&#1077;&#1075;&#1110;&#1111;\2019\&#1076;&#1110;&#1072;&#1075;&#1088;&#1072;&#1084;&#1080;%20&#1089;&#1090;&#1072;&#1085;&#1086;&#1084;%2001.04.2019\&#1057;&#1090;&#1088;&#1091;&#1082;&#1090;&#1091;&#1088;&#1072;%20&#1076;&#1086;&#1093;&#1086;&#1076;&#1110;&#1074;%20&#1057;&#106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yser\Desktop\2019\&#1040;&#1053;&#1040;&#1051;&#1030;&#1047;\&#1044;&#1110;&#1072;&#1075;&#1088;&#1072;&#1084;&#1080;%20%201%20&#1082;&#1074;&#1072;&#1088;&#1090;&#1072;&#1083;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23765553645154583"/>
          <c:y val="0.32762129417367342"/>
          <c:w val="0.46947540826326406"/>
          <c:h val="0.64217529058868517"/>
        </c:manualLayout>
      </c:layout>
      <c:pieChart>
        <c:varyColors val="1"/>
        <c:ser>
          <c:idx val="0"/>
          <c:order val="0"/>
          <c:tx>
            <c:strRef>
              <c:f>'1'!$C$4</c:f>
              <c:strCache>
                <c:ptCount val="1"/>
                <c:pt idx="0">
                  <c:v>Факт за  2019 рік</c:v>
                </c:pt>
              </c:strCache>
            </c:strRef>
          </c:tx>
          <c:dPt>
            <c:idx val="0"/>
            <c:explosion val="7"/>
          </c:dPt>
          <c:dPt>
            <c:idx val="1"/>
            <c:explosion val="18"/>
          </c:dPt>
          <c:dPt>
            <c:idx val="2"/>
            <c:explosion val="38"/>
          </c:dPt>
          <c:dPt>
            <c:idx val="3"/>
            <c:explosion val="9"/>
          </c:dPt>
          <c:dPt>
            <c:idx val="4"/>
            <c:explosion val="9"/>
          </c:dPt>
          <c:dPt>
            <c:idx val="5"/>
            <c:explosion val="13"/>
          </c:dPt>
          <c:dPt>
            <c:idx val="6"/>
            <c:explosion val="36"/>
          </c:dPt>
          <c:dPt>
            <c:idx val="7"/>
            <c:explosion val="62"/>
          </c:dPt>
          <c:dPt>
            <c:idx val="8"/>
            <c:explosion val="47"/>
          </c:dPt>
          <c:dLbls>
            <c:dLbl>
              <c:idx val="0"/>
              <c:layout>
                <c:manualLayout>
                  <c:x val="-8.5804065868680029E-2"/>
                  <c:y val="-6.407523708835001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доходи фізичних осіб
849,7 млн.грн.
64,4%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-0.19944958667815513"/>
                  <c:y val="0.21941816950300619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одаток на прибуток 
7,8</a:t>
                    </a:r>
                    <a:r>
                      <a:rPr lang="ru-RU" b="0"/>
                      <a:t>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0,6%</a:t>
                    </a:r>
                  </a:p>
                </c:rich>
              </c:tx>
              <c:dLblPos val="bestFit"/>
            </c:dLbl>
            <c:dLbl>
              <c:idx val="2"/>
              <c:layout>
                <c:manualLayout>
                  <c:x val="-6.7233516178841837E-2"/>
                  <c:y val="7.9566847283382799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Ч</a:t>
                    </a:r>
                    <a:r>
                      <a:rPr lang="ru-RU"/>
                      <a:t>астина чистого прибутку
1,3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0,1%</a:t>
                    </a:r>
                  </a:p>
                </c:rich>
              </c:tx>
              <c:dLblPos val="bestFit"/>
            </c:dLbl>
            <c:dLbl>
              <c:idx val="3"/>
              <c:layout>
                <c:manualLayout>
                  <c:x val="0.13118190546070477"/>
                  <c:y val="-2.7996149779874965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А</a:t>
                    </a:r>
                    <a:r>
                      <a:rPr lang="ru-RU"/>
                      <a:t>кцизний податок 
33,2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2,5%</a:t>
                    </a:r>
                  </a:p>
                </c:rich>
              </c:tx>
              <c:dLblPos val="bestFit"/>
            </c:dLbl>
            <c:dLbl>
              <c:idx val="4"/>
              <c:layout>
                <c:manualLayout>
                  <c:x val="2.029636327961715E-2"/>
                  <c:y val="-0.1431261717285339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М</a:t>
                    </a:r>
                    <a:r>
                      <a:rPr lang="ru-RU"/>
                      <a:t>ісцеві податки і збори
407</a:t>
                    </a:r>
                    <a:r>
                      <a:rPr lang="ru-RU" b="0"/>
                      <a:t>,7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30,9%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9.9707731549807652E-2"/>
                  <c:y val="-0.41982252218472715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надання інших адмінпослуг
8,8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0,7%</a:t>
                    </a:r>
                  </a:p>
                </c:rich>
              </c:tx>
              <c:dLblPos val="bestFit"/>
            </c:dLbl>
            <c:dLbl>
              <c:idx val="6"/>
              <c:layout>
                <c:manualLayout>
                  <c:x val="0.11894114535791374"/>
                  <c:y val="-0.23629671291088614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оренду МК
4,8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0,4%</a:t>
                    </a:r>
                  </a:p>
                </c:rich>
              </c:tx>
              <c:dLblPos val="bestFit"/>
            </c:dLbl>
            <c:dLbl>
              <c:idx val="7"/>
              <c:layout>
                <c:manualLayout>
                  <c:x val="5.293539553492977E-2"/>
                  <c:y val="-3.3986376702912153E-3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П</a:t>
                    </a:r>
                    <a:r>
                      <a:rPr lang="ru-RU"/>
                      <a:t>лата за розміщення тимчасово вільних коштів
1,2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0,1%</a:t>
                    </a:r>
                  </a:p>
                </c:rich>
              </c:tx>
              <c:dLblPos val="bestFit"/>
            </c:dLbl>
            <c:dLbl>
              <c:idx val="8"/>
              <c:layout>
                <c:manualLayout>
                  <c:x val="-9.8645123314082039E-2"/>
                  <c:y val="8.1173290838645148E-2"/>
                </c:manualLayout>
              </c:layout>
              <c:tx>
                <c:rich>
                  <a:bodyPr/>
                  <a:lstStyle/>
                  <a:p>
                    <a:r>
                      <a:rPr lang="ru-RU" sz="1050" b="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/>
                      <a:t>нші
5,0</a:t>
                    </a:r>
                    <a:r>
                      <a:rPr lang="ru-RU" baseline="0"/>
                      <a:t> </a:t>
                    </a:r>
                    <a:r>
                      <a:rPr lang="ru-RU" sz="1200" b="0" i="0" u="none" strike="noStrike" baseline="0"/>
                      <a:t>млн.грн.</a:t>
                    </a:r>
                    <a:r>
                      <a:rPr lang="ru-RU"/>
                      <a:t>
0,</a:t>
                    </a:r>
                    <a:r>
                      <a:rPr lang="en-US"/>
                      <a:t>3</a:t>
                    </a:r>
                    <a:r>
                      <a:rPr lang="ru-RU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</c:dLbls>
          <c:cat>
            <c:strRef>
              <c:f>'1'!$B$5:$B$13</c:f>
              <c:strCache>
                <c:ptCount val="9"/>
                <c:pt idx="0">
                  <c:v>Податок на доходи фізичних осіб</c:v>
                </c:pt>
                <c:pt idx="1">
                  <c:v>Податок на прибуток </c:v>
                </c:pt>
                <c:pt idx="2">
                  <c:v>Частина чистого прибутку</c:v>
                </c:pt>
                <c:pt idx="3">
                  <c:v>Акцизний податок </c:v>
                </c:pt>
                <c:pt idx="4">
                  <c:v>Місцеві податки і збори</c:v>
                </c:pt>
                <c:pt idx="5">
                  <c:v>Плата за надання інших адмінпослуг</c:v>
                </c:pt>
                <c:pt idx="6">
                  <c:v>Плата за оренду майновим комплексом</c:v>
                </c:pt>
                <c:pt idx="7">
                  <c:v>Плата за розміщення тимчасово вільних коштів</c:v>
                </c:pt>
                <c:pt idx="8">
                  <c:v>Інші</c:v>
                </c:pt>
              </c:strCache>
            </c:strRef>
          </c:cat>
          <c:val>
            <c:numRef>
              <c:f>'1'!$C$5:$C$13</c:f>
              <c:numCache>
                <c:formatCode>#,##0.0</c:formatCode>
                <c:ptCount val="9"/>
                <c:pt idx="0">
                  <c:v>849.66919999999948</c:v>
                </c:pt>
                <c:pt idx="1">
                  <c:v>7.7587999999999999</c:v>
                </c:pt>
                <c:pt idx="2">
                  <c:v>1.313755</c:v>
                </c:pt>
                <c:pt idx="3">
                  <c:v>33.212400000000002</c:v>
                </c:pt>
                <c:pt idx="4">
                  <c:v>407.68316999999939</c:v>
                </c:pt>
                <c:pt idx="5">
                  <c:v>8.8150340000000256</c:v>
                </c:pt>
                <c:pt idx="6">
                  <c:v>4.81007099999999</c:v>
                </c:pt>
                <c:pt idx="7">
                  <c:v>1.2372029999999998</c:v>
                </c:pt>
                <c:pt idx="8">
                  <c:v>4.9826350000000001</c:v>
                </c:pt>
              </c:numCache>
            </c:numRef>
          </c:val>
        </c:ser>
        <c:firstSliceAng val="110"/>
      </c:pieChart>
    </c:plotArea>
    <c:plotVisOnly val="1"/>
    <c:dispBlanksAs val="zero"/>
  </c:chart>
  <c:spPr>
    <a:ln>
      <a:noFill/>
    </a:ln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 sz="1400" b="0">
                <a:latin typeface="Times New Roman" pitchFamily="18" charset="0"/>
                <a:cs typeface="Times New Roman" pitchFamily="18" charset="0"/>
              </a:defRPr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Структура доходів спеціального фонду за І квартал 2019 р.</a:t>
            </a:r>
          </a:p>
        </c:rich>
      </c:tx>
      <c:layout>
        <c:manualLayout>
          <c:xMode val="edge"/>
          <c:yMode val="edge"/>
          <c:x val="0.13087266700154915"/>
          <c:y val="2.6036745406824166E-3"/>
        </c:manualLayout>
      </c:layout>
    </c:title>
    <c:view3D>
      <c:rotX val="75"/>
      <c:rotY val="92"/>
      <c:perspective val="30"/>
    </c:view3D>
    <c:plotArea>
      <c:layout>
        <c:manualLayout>
          <c:layoutTarget val="inner"/>
          <c:xMode val="edge"/>
          <c:yMode val="edge"/>
          <c:x val="0.16011877009153153"/>
          <c:y val="0.21307232429279674"/>
          <c:w val="0.5464066131883818"/>
          <c:h val="0.78692767570720301"/>
        </c:manualLayout>
      </c:layout>
      <c:pie3DChart>
        <c:varyColors val="1"/>
        <c:ser>
          <c:idx val="0"/>
          <c:order val="0"/>
          <c:tx>
            <c:strRef>
              <c:f>'1'!$C$3</c:f>
              <c:strCache>
                <c:ptCount val="1"/>
                <c:pt idx="0">
                  <c:v>Структура виконання спеціального фонду за I квартал 2019 року</c:v>
                </c:pt>
              </c:strCache>
            </c:strRef>
          </c:tx>
          <c:dPt>
            <c:idx val="0"/>
            <c:explosion val="8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explosion val="11"/>
          </c:dPt>
          <c:dPt>
            <c:idx val="2"/>
            <c:explosion val="25"/>
          </c:dPt>
          <c:dPt>
            <c:idx val="3"/>
            <c:explosion val="32"/>
          </c:dPt>
          <c:dPt>
            <c:idx val="4"/>
            <c:explosion val="21"/>
          </c:dPt>
          <c:dPt>
            <c:idx val="5"/>
            <c:explosion val="24"/>
          </c:dPt>
          <c:dLbls>
            <c:dLbl>
              <c:idx val="0"/>
              <c:layout>
                <c:manualLayout>
                  <c:x val="-3.297906482068888E-2"/>
                  <c:y val="-0.1381238456304073"/>
                </c:manualLayout>
              </c:layout>
              <c:tx>
                <c:rich>
                  <a:bodyPr/>
                  <a:lstStyle/>
                  <a:p>
                    <a:r>
                      <a:rPr lang="ru-RU" sz="1050" u="none">
                        <a:latin typeface="Times New Roman" pitchFamily="18" charset="0"/>
                        <a:cs typeface="Times New Roman" pitchFamily="18" charset="0"/>
                      </a:rPr>
                      <a:t>Власні надходження бюджетних установ </a:t>
                    </a: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
</a:t>
                    </a:r>
                    <a:r>
                      <a:rPr lang="en-US" sz="1050">
                        <a:latin typeface="Times New Roman" pitchFamily="18" charset="0"/>
                        <a:cs typeface="Times New Roman" pitchFamily="18" charset="0"/>
                      </a:rPr>
                      <a:t>64,3</a:t>
                    </a: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 млн.грн.
</a:t>
                    </a:r>
                    <a:r>
                      <a:rPr lang="en-US" sz="1050">
                        <a:latin typeface="Times New Roman" pitchFamily="18" charset="0"/>
                        <a:cs typeface="Times New Roman" pitchFamily="18" charset="0"/>
                      </a:rPr>
                      <a:t>78,0</a:t>
                    </a:r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1"/>
              <c:layout>
                <c:manualLayout>
                  <c:x val="-0.22270643502674406"/>
                  <c:y val="-4.4622338874307403E-3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Е</a:t>
                    </a:r>
                    <a:r>
                      <a:rPr lang="ru-RU"/>
                      <a:t>кологічний податок
</a:t>
                    </a:r>
                    <a:r>
                      <a:rPr lang="en-US"/>
                      <a:t>6,5</a:t>
                    </a:r>
                    <a:r>
                      <a:rPr lang="ru-RU"/>
                      <a:t> млн.грн.
</a:t>
                    </a:r>
                    <a:r>
                      <a:rPr lang="en-US"/>
                      <a:t>7</a:t>
                    </a:r>
                    <a:r>
                      <a:rPr lang="ru-RU"/>
                      <a:t>,</a:t>
                    </a:r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2"/>
              <c:layout>
                <c:manualLayout>
                  <c:x val="8.8603034321995233E-2"/>
                  <c:y val="-5.4037620297462841E-2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ошти від відчуження майна
</a:t>
                    </a:r>
                    <a:r>
                      <a:rPr lang="en-US"/>
                      <a:t>1,9</a:t>
                    </a:r>
                    <a:r>
                      <a:rPr lang="ru-RU"/>
                      <a:t> млн.грн.
</a:t>
                    </a:r>
                    <a:r>
                      <a:rPr lang="en-US"/>
                      <a:t>2,4</a:t>
                    </a:r>
                    <a:r>
                      <a:rPr lang="ru-RU"/>
                      <a:t>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3"/>
              <c:layout>
                <c:manualLayout>
                  <c:x val="0.10408044924617013"/>
                  <c:y val="0.11872801287966858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ошти пайової участі</a:t>
                    </a:r>
                  </a:p>
                  <a:p>
                    <a:r>
                      <a:rPr lang="en-US"/>
                      <a:t>2,4</a:t>
                    </a:r>
                    <a:r>
                      <a:rPr lang="ru-RU"/>
                      <a:t> млн.грн.
</a:t>
                    </a:r>
                    <a:r>
                      <a:rPr lang="en-US"/>
                      <a:t>2</a:t>
                    </a:r>
                    <a:r>
                      <a:rPr lang="ru-RU"/>
                      <a:t>,9%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4"/>
              <c:layout>
                <c:manualLayout>
                  <c:x val="0.12080778856131356"/>
                  <c:y val="0.20216577289782664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К</a:t>
                    </a:r>
                    <a:r>
                      <a:rPr lang="ru-RU"/>
                      <a:t>ошти від продажу землі
</a:t>
                    </a:r>
                    <a:r>
                      <a:rPr lang="en-US"/>
                      <a:t>7,1</a:t>
                    </a:r>
                    <a:r>
                      <a:rPr lang="ru-RU"/>
                      <a:t> млн.грн.
</a:t>
                    </a:r>
                    <a:r>
                      <a:rPr lang="en-US"/>
                      <a:t>8,6</a:t>
                    </a:r>
                    <a:r>
                      <a:rPr lang="ru-RU"/>
                      <a:t>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5"/>
              <c:layout>
                <c:manualLayout>
                  <c:x val="-5.5931636452420497E-2"/>
                  <c:y val="0.19537013742297921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/>
                      <a:t>нші
</a:t>
                    </a:r>
                    <a:r>
                      <a:rPr lang="en-US"/>
                      <a:t>0,</a:t>
                    </a:r>
                    <a:r>
                      <a:rPr lang="ru-RU"/>
                      <a:t>3 млн.грн.
0,2%</a:t>
                    </a:r>
                  </a:p>
                </c:rich>
              </c:tx>
              <c:showLegendKey val="1"/>
              <c:showVal val="1"/>
              <c:showCatName val="1"/>
              <c:showPercent val="1"/>
            </c:dLbl>
            <c:dLbl>
              <c:idx val="6"/>
              <c:layout>
                <c:manualLayout>
                  <c:x val="0.19460485791877027"/>
                  <c:y val="0.20621059581689738"/>
                </c:manualLayout>
              </c:layout>
              <c:tx>
                <c:rich>
                  <a:bodyPr/>
                  <a:lstStyle/>
                  <a:p>
                    <a:r>
                      <a:rPr lang="ru-RU" sz="1050">
                        <a:latin typeface="Times New Roman" pitchFamily="18" charset="0"/>
                        <a:cs typeface="Times New Roman" pitchFamily="18" charset="0"/>
                      </a:rPr>
                      <a:t>І</a:t>
                    </a:r>
                    <a:r>
                      <a:rPr lang="ru-RU" sz="1100"/>
                      <a:t>нші
0,8 млн.грн.
0,5%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Percent val="1"/>
            </c:dLbl>
            <c:numFmt formatCode="0.0%" sourceLinked="0"/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Percent val="1"/>
            <c:separator>
</c:separator>
            <c:showLeaderLines val="1"/>
          </c:dLbls>
          <c:cat>
            <c:strRef>
              <c:f>'1'!$B$4:$B$9</c:f>
              <c:strCache>
                <c:ptCount val="6"/>
                <c:pt idx="0">
                  <c:v>Власні надходження бюджетних установ </c:v>
                </c:pt>
                <c:pt idx="1">
                  <c:v>Екологічний податок</c:v>
                </c:pt>
                <c:pt idx="2">
                  <c:v>Кошти від відчуження майна</c:v>
                </c:pt>
                <c:pt idx="3">
                  <c:v>Кошти пайової участі</c:v>
                </c:pt>
                <c:pt idx="4">
                  <c:v>Кошти від продажу землі</c:v>
                </c:pt>
                <c:pt idx="5">
                  <c:v>Інші</c:v>
                </c:pt>
              </c:strCache>
            </c:strRef>
          </c:cat>
          <c:val>
            <c:numRef>
              <c:f>'1'!$C$4:$C$9</c:f>
              <c:numCache>
                <c:formatCode>#,##0.0</c:formatCode>
                <c:ptCount val="6"/>
                <c:pt idx="0">
                  <c:v>64.337155999999993</c:v>
                </c:pt>
                <c:pt idx="1">
                  <c:v>6.4952569999999996</c:v>
                </c:pt>
                <c:pt idx="2">
                  <c:v>1.9407480000000001</c:v>
                </c:pt>
                <c:pt idx="3">
                  <c:v>2.4038679999999997</c:v>
                </c:pt>
                <c:pt idx="4">
                  <c:v>7.0924559999999879</c:v>
                </c:pt>
                <c:pt idx="5">
                  <c:v>0.2468610000000003</c:v>
                </c:pt>
              </c:numCache>
            </c:numRef>
          </c:val>
        </c:ser>
        <c:dLbls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0.19029819659639335"/>
          <c:y val="0.15389787354425041"/>
          <c:w val="0.62361222589111842"/>
          <c:h val="0.59921687242121857"/>
        </c:manualLayout>
      </c:layout>
      <c:pie3DChart>
        <c:varyColors val="1"/>
        <c:ser>
          <c:idx val="0"/>
          <c:order val="0"/>
          <c:spPr>
            <a:ln>
              <a:solidFill>
                <a:schemeClr val="accent2">
                  <a:lumMod val="50000"/>
                </a:schemeClr>
              </a:solidFill>
            </a:ln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406400" h="368300"/>
              <a:bevelB w="57150" h="184150"/>
            </a:sp3d>
          </c:spPr>
          <c:explosion val="9"/>
          <c:dLbls>
            <c:dLbl>
              <c:idx val="0"/>
              <c:layout>
                <c:manualLayout>
                  <c:x val="9.5287036008675316E-2"/>
                  <c:y val="-9.1675703710689498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</a:t>
                    </a:r>
                    <a:r>
                      <a:rPr lang="ru-RU"/>
                      <a:t>світа </a:t>
                    </a:r>
                  </a:p>
                  <a:p>
                    <a:r>
                      <a:rPr lang="ru-RU"/>
                      <a:t>628,8 млн.грн.</a:t>
                    </a:r>
                  </a:p>
                  <a:p>
                    <a:r>
                      <a:rPr lang="ru-RU"/>
                      <a:t>32%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1"/>
              <c:layout>
                <c:manualLayout>
                  <c:x val="3.5352820672989595E-2"/>
                  <c:y val="-1.783205243057193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</a:t>
                    </a:r>
                    <a:r>
                      <a:rPr lang="ru-RU"/>
                      <a:t>хорона здоров'я</a:t>
                    </a:r>
                  </a:p>
                  <a:p>
                    <a:r>
                      <a:rPr lang="ru-RU"/>
                      <a:t>292,7 млн.грн.</a:t>
                    </a:r>
                  </a:p>
                  <a:p>
                    <a:r>
                      <a:rPr lang="ru-RU"/>
                      <a:t>15%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2"/>
              <c:layout>
                <c:manualLayout>
                  <c:x val="0.14292083650833975"/>
                  <c:y val="9.464073775746716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К</a:t>
                    </a:r>
                    <a:r>
                      <a:rPr lang="ru-RU"/>
                      <a:t>ультура </a:t>
                    </a:r>
                  </a:p>
                  <a:p>
                    <a:r>
                      <a:rPr lang="ru-RU"/>
                      <a:t>16,6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3"/>
              <c:layout>
                <c:manualLayout>
                  <c:x val="-1.5088415408186843E-2"/>
                  <c:y val="0.20040619548304991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Ф</a:t>
                    </a:r>
                    <a:r>
                      <a:rPr lang="ru-RU"/>
                      <a:t>ізична культура і спорт </a:t>
                    </a:r>
                  </a:p>
                  <a:p>
                    <a:r>
                      <a:rPr lang="ru-RU"/>
                      <a:t>24,5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4"/>
              <c:layout>
                <c:manualLayout>
                  <c:x val="-0.23705067614104142"/>
                  <c:y val="0.17908977320948655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У</a:t>
                    </a:r>
                    <a:r>
                      <a:rPr lang="ru-RU"/>
                      <a:t>тримання та заходи соціальних служб </a:t>
                    </a:r>
                  </a:p>
                  <a:p>
                    <a:r>
                      <a:rPr lang="ru-RU"/>
                      <a:t>13,8 млн.грн.</a:t>
                    </a:r>
                  </a:p>
                  <a:p>
                    <a:r>
                      <a:rPr lang="ru-RU"/>
                      <a:t>1%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5"/>
              <c:layout>
                <c:manualLayout>
                  <c:x val="-0.14015324697316064"/>
                  <c:y val="-4.2112011572665413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Д</a:t>
                    </a:r>
                    <a:r>
                      <a:rPr lang="ru-RU" sz="900"/>
                      <a:t>ержавні та міські програми соціального захисту</a:t>
                    </a:r>
                    <a:r>
                      <a:rPr lang="ru-RU"/>
                      <a:t> </a:t>
                    </a:r>
                  </a:p>
                  <a:p>
                    <a:r>
                      <a:rPr lang="ru-RU"/>
                      <a:t>401,5 млн.грн.</a:t>
                    </a:r>
                  </a:p>
                  <a:p>
                    <a:r>
                      <a:rPr lang="ru-RU"/>
                      <a:t>20%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6"/>
              <c:layout>
                <c:manualLayout>
                  <c:x val="-7.7733141706571723E-2"/>
                  <c:y val="4.837768974076572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</a:t>
                    </a:r>
                    <a:r>
                      <a:rPr lang="ru-RU"/>
                      <a:t>итлово-комунальне  господарство</a:t>
                    </a:r>
                  </a:p>
                  <a:p>
                    <a:r>
                      <a:rPr lang="ru-RU"/>
                      <a:t>275,7 млн.грн.</a:t>
                    </a:r>
                  </a:p>
                  <a:p>
                    <a:r>
                      <a:rPr lang="ru-RU"/>
                      <a:t>14%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7"/>
              <c:layout>
                <c:manualLayout>
                  <c:x val="-4.2746930827195002E-2"/>
                  <c:y val="-5.789752272615192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К</a:t>
                    </a:r>
                    <a:r>
                      <a:rPr lang="ru-RU"/>
                      <a:t>ошти, що передаються до  держаного бюджету</a:t>
                    </a:r>
                  </a:p>
                  <a:p>
                    <a:r>
                      <a:rPr lang="ru-RU"/>
                      <a:t> 93,8 млн.грн.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8"/>
              <c:layout>
                <c:manualLayout>
                  <c:x val="6.8300059266785201E-2"/>
                  <c:y val="-4.523137113080072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Т</a:t>
                    </a:r>
                    <a:r>
                      <a:rPr lang="ru-RU"/>
                      <a:t>ранспорт</a:t>
                    </a:r>
                  </a:p>
                  <a:p>
                    <a:r>
                      <a:rPr lang="ru-RU"/>
                      <a:t> 105,5 млн.грн.</a:t>
                    </a:r>
                  </a:p>
                  <a:p>
                    <a:r>
                      <a:rPr lang="ru-RU"/>
                      <a:t>5%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dLbl>
              <c:idx val="9"/>
              <c:layout>
                <c:manualLayout>
                  <c:x val="0.17157361781390226"/>
                  <c:y val="-1.499712327190834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І</a:t>
                    </a:r>
                    <a:r>
                      <a:rPr lang="ru-RU"/>
                      <a:t>нші видатки</a:t>
                    </a:r>
                  </a:p>
                  <a:p>
                    <a:r>
                      <a:rPr lang="ru-RU"/>
                      <a:t>119,5 млн.грн.</a:t>
                    </a:r>
                  </a:p>
                  <a:p>
                    <a:r>
                      <a:rPr lang="ru-RU"/>
                      <a:t>6%</a:t>
                    </a:r>
                  </a:p>
                </c:rich>
              </c:tx>
              <c:showVal val="1"/>
              <c:showCatName val="1"/>
              <c:showPercent val="1"/>
              <c:separator>
</c:separator>
            </c:dLbl>
            <c:spPr>
              <a:solidFill>
                <a:schemeClr val="bg1"/>
              </a:solidFill>
              <a:scene3d>
                <a:camera prst="orthographicFront"/>
                <a:lightRig rig="threePt" dir="t"/>
              </a:scene3d>
              <a:sp3d prstMaterial="flat"/>
            </c:spPr>
            <c:txPr>
              <a:bodyPr/>
              <a:lstStyle/>
              <a:p>
                <a:pPr>
                  <a:defRPr sz="9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Percent val="1"/>
            <c:separator>
</c:separator>
            <c:showLeaderLines val="1"/>
            <c:leaderLines>
              <c:spPr>
                <a:ln w="6350" cap="rnd">
                  <a:bevel/>
                </a:ln>
              </c:spPr>
            </c:leaderLines>
          </c:dLbls>
          <c:cat>
            <c:strRef>
              <c:f>'з+с ф. функц.'!$A$1:$A$10</c:f>
              <c:strCache>
                <c:ptCount val="10"/>
                <c:pt idx="0">
                  <c:v>Освіта</c:v>
                </c:pt>
                <c:pt idx="1">
                  <c:v>Охорона здоров'я</c:v>
                </c:pt>
                <c:pt idx="2">
                  <c:v>Культура</c:v>
                </c:pt>
                <c:pt idx="3">
                  <c:v>Фізична культура і спорт</c:v>
                </c:pt>
                <c:pt idx="4">
                  <c:v>Утримання та заходи соціальних служб</c:v>
                </c:pt>
                <c:pt idx="5">
                  <c:v>Соціальний захист та соціальне  забезпечення, 
компенсація пільгового проїзду</c:v>
                </c:pt>
                <c:pt idx="6">
                  <c:v>Житлово-комунальне  господарство</c:v>
                </c:pt>
                <c:pt idx="7">
                  <c:v>Кошти, що передаються до  держаного бюджету</c:v>
                </c:pt>
                <c:pt idx="8">
                  <c:v>Транспорт</c:v>
                </c:pt>
                <c:pt idx="9">
                  <c:v>Інші видатки</c:v>
                </c:pt>
              </c:strCache>
            </c:strRef>
          </c:cat>
          <c:val>
            <c:numRef>
              <c:f>'з+с ф. функц.'!$B$1:$B$10</c:f>
              <c:numCache>
                <c:formatCode>#,##0.0</c:formatCode>
                <c:ptCount val="10"/>
                <c:pt idx="0">
                  <c:v>628.79999999999995</c:v>
                </c:pt>
                <c:pt idx="1">
                  <c:v>292.7</c:v>
                </c:pt>
                <c:pt idx="2">
                  <c:v>16.600000000000001</c:v>
                </c:pt>
                <c:pt idx="3">
                  <c:v>24.5</c:v>
                </c:pt>
                <c:pt idx="4">
                  <c:v>13.8</c:v>
                </c:pt>
                <c:pt idx="5">
                  <c:v>401.5</c:v>
                </c:pt>
                <c:pt idx="6">
                  <c:v>275.7</c:v>
                </c:pt>
                <c:pt idx="7">
                  <c:v>93.8</c:v>
                </c:pt>
                <c:pt idx="8">
                  <c:v>105.5</c:v>
                </c:pt>
                <c:pt idx="9">
                  <c:v>119.5</c:v>
                </c:pt>
              </c:numCache>
            </c:numRef>
          </c:val>
        </c:ser>
        <c:dLbls>
          <c:showVal val="1"/>
          <c:showCatName val="1"/>
        </c:dLbls>
      </c:pie3DChart>
      <c:spPr>
        <a:effectLst>
          <a:outerShdw blurRad="50800" dist="50800" dir="5400000" algn="ctr" rotWithShape="0">
            <a:srgbClr val="DCFCEE"/>
          </a:outerShdw>
        </a:effectLst>
      </c:spPr>
    </c:plotArea>
    <c:plotVisOnly val="1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  <a:scene3d>
      <a:camera prst="orthographicFront"/>
      <a:lightRig rig="threePt" dir="t"/>
    </a:scene3d>
    <a:sp3d prstMaterial="translucentPowder">
      <a:bevelT w="165100" prst="coolSlant"/>
      <a:bevelB w="63500" h="165100"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DA68A2-0464-4EE9-9413-352AA5BB2F90}" type="doc">
      <dgm:prSet loTypeId="urn:microsoft.com/office/officeart/2005/8/layout/hierarchy4" loCatId="list" qsTypeId="urn:microsoft.com/office/officeart/2005/8/quickstyle/simple5" qsCatId="simple" csTypeId="urn:microsoft.com/office/officeart/2005/8/colors/accent4_5" csCatId="accent4" phldr="1"/>
      <dgm:spPr/>
      <dgm:t>
        <a:bodyPr/>
        <a:lstStyle/>
        <a:p>
          <a:endParaRPr lang="ru-RU"/>
        </a:p>
      </dgm:t>
    </dgm:pt>
    <dgm:pt modelId="{DF103BE6-9D31-44BE-A11E-6447184827B7}">
      <dgm:prSet phldrT="[Текст]"/>
      <dgm:spPr/>
      <dgm:t>
        <a:bodyPr/>
        <a:lstStyle/>
        <a:p>
          <a:r>
            <a:rPr lang="ru-RU"/>
            <a:t>Доходи звітного періоду - 2134,7 млн.грн.</a:t>
          </a:r>
        </a:p>
      </dgm:t>
    </dgm:pt>
    <dgm:pt modelId="{B7D1B373-E7B8-431C-A93A-F684D0535122}" type="parTrans" cxnId="{C1E0C038-5216-4617-AF00-3AA67A191C73}">
      <dgm:prSet/>
      <dgm:spPr/>
      <dgm:t>
        <a:bodyPr/>
        <a:lstStyle/>
        <a:p>
          <a:endParaRPr lang="ru-RU"/>
        </a:p>
      </dgm:t>
    </dgm:pt>
    <dgm:pt modelId="{15B71809-88AF-4C71-AEEA-F3DB69680084}" type="sibTrans" cxnId="{C1E0C038-5216-4617-AF00-3AA67A191C73}">
      <dgm:prSet/>
      <dgm:spPr/>
      <dgm:t>
        <a:bodyPr/>
        <a:lstStyle/>
        <a:p>
          <a:endParaRPr lang="ru-RU"/>
        </a:p>
      </dgm:t>
    </dgm:pt>
    <dgm:pt modelId="{52594BD4-6A12-4357-AF1B-35641AD4E3C4}">
      <dgm:prSet phldrT="[Текст]" custT="1"/>
      <dgm:spPr/>
      <dgm:t>
        <a:bodyPr/>
        <a:lstStyle/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Доходи загального фонду бюджету </a:t>
          </a:r>
        </a:p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1319,5 млн.грн. </a:t>
          </a:r>
        </a:p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(61,8% )</a:t>
          </a:r>
          <a:endParaRPr lang="ru-RU" sz="1400"/>
        </a:p>
      </dgm:t>
    </dgm:pt>
    <dgm:pt modelId="{36DC4C27-1ED6-4A26-B103-BAF95A58A4FF}" type="parTrans" cxnId="{0C8B8572-2614-4591-9DA3-55A226526FD8}">
      <dgm:prSet/>
      <dgm:spPr/>
      <dgm:t>
        <a:bodyPr/>
        <a:lstStyle/>
        <a:p>
          <a:endParaRPr lang="ru-RU"/>
        </a:p>
      </dgm:t>
    </dgm:pt>
    <dgm:pt modelId="{8D5E0C95-2DA4-4D46-AA7E-ACC30D2E38D2}" type="sibTrans" cxnId="{0C8B8572-2614-4591-9DA3-55A226526FD8}">
      <dgm:prSet/>
      <dgm:spPr/>
      <dgm:t>
        <a:bodyPr/>
        <a:lstStyle/>
        <a:p>
          <a:endParaRPr lang="ru-RU"/>
        </a:p>
      </dgm:t>
    </dgm:pt>
    <dgm:pt modelId="{24429F00-0DFF-454A-9439-1BAF40F478EE}">
      <dgm:prSet phldrT="[Текст]" custT="1"/>
      <dgm:spPr/>
      <dgm:t>
        <a:bodyPr/>
        <a:lstStyle/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Доходи спеціального фонду бюджету </a:t>
          </a:r>
          <a:r>
            <a:rPr lang="en-US" sz="1400">
              <a:solidFill>
                <a:schemeClr val="lt1"/>
              </a:solidFill>
              <a:latin typeface="+mn-lt"/>
              <a:ea typeface="+mn-ea"/>
              <a:cs typeface="+mn-cs"/>
            </a:rPr>
            <a:t> </a:t>
          </a:r>
          <a:endParaRPr lang="ru-RU" sz="1400"/>
        </a:p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82,5 млн.грн. </a:t>
          </a:r>
          <a:r>
            <a:rPr lang="en-US" sz="1400">
              <a:solidFill>
                <a:schemeClr val="lt1"/>
              </a:solidFill>
              <a:latin typeface="+mn-lt"/>
              <a:ea typeface="+mn-ea"/>
              <a:cs typeface="+mn-cs"/>
            </a:rPr>
            <a:t>     </a:t>
          </a:r>
          <a:endParaRPr lang="uk-UA" sz="1400">
            <a:solidFill>
              <a:schemeClr val="lt1"/>
            </a:solidFill>
            <a:latin typeface="+mn-lt"/>
            <a:ea typeface="+mn-ea"/>
            <a:cs typeface="+mn-cs"/>
          </a:endParaRPr>
        </a:p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( 3,9% )</a:t>
          </a:r>
          <a:endParaRPr lang="ru-RU" sz="1400"/>
        </a:p>
      </dgm:t>
    </dgm:pt>
    <dgm:pt modelId="{641306BA-7D3F-45D1-8892-27710182835E}" type="parTrans" cxnId="{E474EDCC-BC97-420B-9E63-29A67518526C}">
      <dgm:prSet/>
      <dgm:spPr/>
      <dgm:t>
        <a:bodyPr/>
        <a:lstStyle/>
        <a:p>
          <a:endParaRPr lang="ru-RU"/>
        </a:p>
      </dgm:t>
    </dgm:pt>
    <dgm:pt modelId="{CBEDC1EE-EC89-4B75-BAB2-BDBF14BFA6CD}" type="sibTrans" cxnId="{E474EDCC-BC97-420B-9E63-29A67518526C}">
      <dgm:prSet/>
      <dgm:spPr/>
      <dgm:t>
        <a:bodyPr/>
        <a:lstStyle/>
        <a:p>
          <a:endParaRPr lang="ru-RU"/>
        </a:p>
      </dgm:t>
    </dgm:pt>
    <dgm:pt modelId="{032F85E7-9B93-4CD5-9B3E-6E97E822D391}">
      <dgm:prSet phldrT="[Текст]" custT="1"/>
      <dgm:spPr/>
      <dgm:t>
        <a:bodyPr/>
        <a:lstStyle/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Офіційні трансферти</a:t>
          </a:r>
        </a:p>
        <a:p>
          <a:r>
            <a:rPr lang="uk-UA" sz="1400">
              <a:solidFill>
                <a:schemeClr val="lt1"/>
              </a:solidFill>
              <a:latin typeface="+mn-lt"/>
              <a:ea typeface="+mn-ea"/>
              <a:cs typeface="+mn-cs"/>
            </a:rPr>
            <a:t> </a:t>
          </a:r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732,7 млн.грн.</a:t>
          </a:r>
          <a:r>
            <a:rPr lang="en-US" sz="1400">
              <a:solidFill>
                <a:schemeClr val="lt1"/>
              </a:solidFill>
              <a:latin typeface="+mn-lt"/>
              <a:ea typeface="+mn-ea"/>
              <a:cs typeface="+mn-cs"/>
            </a:rPr>
            <a:t>     </a:t>
          </a:r>
          <a:endParaRPr lang="uk-UA" sz="1400">
            <a:solidFill>
              <a:schemeClr val="lt1"/>
            </a:solidFill>
            <a:latin typeface="+mn-lt"/>
            <a:ea typeface="+mn-ea"/>
            <a:cs typeface="+mn-cs"/>
          </a:endParaRPr>
        </a:p>
        <a:p>
          <a:r>
            <a:rPr lang="ru-RU" sz="1400">
              <a:solidFill>
                <a:schemeClr val="lt1"/>
              </a:solidFill>
              <a:latin typeface="+mn-lt"/>
              <a:ea typeface="+mn-ea"/>
              <a:cs typeface="+mn-cs"/>
            </a:rPr>
            <a:t>( 34,3% ) </a:t>
          </a:r>
          <a:endParaRPr lang="ru-RU" sz="1400"/>
        </a:p>
      </dgm:t>
    </dgm:pt>
    <dgm:pt modelId="{0C6C3FE4-52FF-4EEF-BDBB-637FFC589217}" type="parTrans" cxnId="{B4FE311B-6B06-4902-9D59-06D2A97B8A2C}">
      <dgm:prSet/>
      <dgm:spPr/>
      <dgm:t>
        <a:bodyPr/>
        <a:lstStyle/>
        <a:p>
          <a:endParaRPr lang="ru-RU"/>
        </a:p>
      </dgm:t>
    </dgm:pt>
    <dgm:pt modelId="{F87FD95F-4C79-4B43-BA87-5A28840AB541}" type="sibTrans" cxnId="{B4FE311B-6B06-4902-9D59-06D2A97B8A2C}">
      <dgm:prSet/>
      <dgm:spPr/>
      <dgm:t>
        <a:bodyPr/>
        <a:lstStyle/>
        <a:p>
          <a:endParaRPr lang="ru-RU"/>
        </a:p>
      </dgm:t>
    </dgm:pt>
    <dgm:pt modelId="{92E1C9B2-9664-48B7-8ED3-1EFA2324A914}" type="pres">
      <dgm:prSet presAssocID="{90DA68A2-0464-4EE9-9413-352AA5BB2F9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D835E16-1F71-45A0-973D-FE07465E3266}" type="pres">
      <dgm:prSet presAssocID="{DF103BE6-9D31-44BE-A11E-6447184827B7}" presName="vertOne" presStyleCnt="0"/>
      <dgm:spPr/>
    </dgm:pt>
    <dgm:pt modelId="{DDC931A5-14F0-464D-A305-BF8491344A19}" type="pres">
      <dgm:prSet presAssocID="{DF103BE6-9D31-44BE-A11E-6447184827B7}" presName="txOne" presStyleLbl="node0" presStyleIdx="0" presStyleCnt="1" custScaleY="36596" custLinFactNeighborX="-273" custLinFactNeighborY="-1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4AA0F-6D37-48A8-B917-8273188E5F78}" type="pres">
      <dgm:prSet presAssocID="{DF103BE6-9D31-44BE-A11E-6447184827B7}" presName="parTransOne" presStyleCnt="0"/>
      <dgm:spPr/>
    </dgm:pt>
    <dgm:pt modelId="{1F50CAA0-06C0-40CC-804D-2A1D36B0CE64}" type="pres">
      <dgm:prSet presAssocID="{DF103BE6-9D31-44BE-A11E-6447184827B7}" presName="horzOne" presStyleCnt="0"/>
      <dgm:spPr/>
    </dgm:pt>
    <dgm:pt modelId="{9D7ADA0B-9FFF-4F9F-944E-742AC806D9AA}" type="pres">
      <dgm:prSet presAssocID="{52594BD4-6A12-4357-AF1B-35641AD4E3C4}" presName="vertTwo" presStyleCnt="0"/>
      <dgm:spPr/>
    </dgm:pt>
    <dgm:pt modelId="{9E71348A-2892-4E0D-83B5-15A8AA0741A3}" type="pres">
      <dgm:prSet presAssocID="{52594BD4-6A12-4357-AF1B-35641AD4E3C4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B697729-78CB-493A-A02B-8F0A5BA5698D}" type="pres">
      <dgm:prSet presAssocID="{52594BD4-6A12-4357-AF1B-35641AD4E3C4}" presName="horzTwo" presStyleCnt="0"/>
      <dgm:spPr/>
    </dgm:pt>
    <dgm:pt modelId="{4552E69D-B863-4675-9C51-DB560EADC99E}" type="pres">
      <dgm:prSet presAssocID="{8D5E0C95-2DA4-4D46-AA7E-ACC30D2E38D2}" presName="sibSpaceTwo" presStyleCnt="0"/>
      <dgm:spPr/>
    </dgm:pt>
    <dgm:pt modelId="{348B3BA0-F4C4-4D3C-8052-5A02C208C321}" type="pres">
      <dgm:prSet presAssocID="{24429F00-0DFF-454A-9439-1BAF40F478EE}" presName="vertTwo" presStyleCnt="0"/>
      <dgm:spPr/>
    </dgm:pt>
    <dgm:pt modelId="{22B70AAB-1F01-44BD-8C86-280DFCC25A82}" type="pres">
      <dgm:prSet presAssocID="{24429F00-0DFF-454A-9439-1BAF40F478EE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751C69-C63C-4E31-9604-7C5FDE351947}" type="pres">
      <dgm:prSet presAssocID="{24429F00-0DFF-454A-9439-1BAF40F478EE}" presName="horzTwo" presStyleCnt="0"/>
      <dgm:spPr/>
    </dgm:pt>
    <dgm:pt modelId="{086A18D3-191B-49F3-8D8A-CF458639FD9B}" type="pres">
      <dgm:prSet presAssocID="{CBEDC1EE-EC89-4B75-BAB2-BDBF14BFA6CD}" presName="sibSpaceTwo" presStyleCnt="0"/>
      <dgm:spPr/>
    </dgm:pt>
    <dgm:pt modelId="{84DC1EB3-8EE1-4F31-B98B-B08E6E6AFBAA}" type="pres">
      <dgm:prSet presAssocID="{032F85E7-9B93-4CD5-9B3E-6E97E822D391}" presName="vertTwo" presStyleCnt="0"/>
      <dgm:spPr/>
    </dgm:pt>
    <dgm:pt modelId="{BF35DE20-2FFE-4066-B1D3-6558A301840F}" type="pres">
      <dgm:prSet presAssocID="{032F85E7-9B93-4CD5-9B3E-6E97E822D391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9F3D6E-EE40-408A-A254-69598DFDFFDA}" type="pres">
      <dgm:prSet presAssocID="{032F85E7-9B93-4CD5-9B3E-6E97E822D391}" presName="horzTwo" presStyleCnt="0"/>
      <dgm:spPr/>
    </dgm:pt>
  </dgm:ptLst>
  <dgm:cxnLst>
    <dgm:cxn modelId="{47D3A721-FCEC-4C25-90F5-184FE4F3EC4B}" type="presOf" srcId="{DF103BE6-9D31-44BE-A11E-6447184827B7}" destId="{DDC931A5-14F0-464D-A305-BF8491344A19}" srcOrd="0" destOrd="0" presId="urn:microsoft.com/office/officeart/2005/8/layout/hierarchy4"/>
    <dgm:cxn modelId="{901BC798-5270-40FE-84E1-2C0775904708}" type="presOf" srcId="{90DA68A2-0464-4EE9-9413-352AA5BB2F90}" destId="{92E1C9B2-9664-48B7-8ED3-1EFA2324A914}" srcOrd="0" destOrd="0" presId="urn:microsoft.com/office/officeart/2005/8/layout/hierarchy4"/>
    <dgm:cxn modelId="{B4FE311B-6B06-4902-9D59-06D2A97B8A2C}" srcId="{DF103BE6-9D31-44BE-A11E-6447184827B7}" destId="{032F85E7-9B93-4CD5-9B3E-6E97E822D391}" srcOrd="2" destOrd="0" parTransId="{0C6C3FE4-52FF-4EEF-BDBB-637FFC589217}" sibTransId="{F87FD95F-4C79-4B43-BA87-5A28840AB541}"/>
    <dgm:cxn modelId="{458A8BD8-DA9B-478A-A8B4-71A58E220900}" type="presOf" srcId="{032F85E7-9B93-4CD5-9B3E-6E97E822D391}" destId="{BF35DE20-2FFE-4066-B1D3-6558A301840F}" srcOrd="0" destOrd="0" presId="urn:microsoft.com/office/officeart/2005/8/layout/hierarchy4"/>
    <dgm:cxn modelId="{A34C9198-5474-4997-AC96-B1B5E140E4E3}" type="presOf" srcId="{24429F00-0DFF-454A-9439-1BAF40F478EE}" destId="{22B70AAB-1F01-44BD-8C86-280DFCC25A82}" srcOrd="0" destOrd="0" presId="urn:microsoft.com/office/officeart/2005/8/layout/hierarchy4"/>
    <dgm:cxn modelId="{C1E0C038-5216-4617-AF00-3AA67A191C73}" srcId="{90DA68A2-0464-4EE9-9413-352AA5BB2F90}" destId="{DF103BE6-9D31-44BE-A11E-6447184827B7}" srcOrd="0" destOrd="0" parTransId="{B7D1B373-E7B8-431C-A93A-F684D0535122}" sibTransId="{15B71809-88AF-4C71-AEEA-F3DB69680084}"/>
    <dgm:cxn modelId="{0C8B8572-2614-4591-9DA3-55A226526FD8}" srcId="{DF103BE6-9D31-44BE-A11E-6447184827B7}" destId="{52594BD4-6A12-4357-AF1B-35641AD4E3C4}" srcOrd="0" destOrd="0" parTransId="{36DC4C27-1ED6-4A26-B103-BAF95A58A4FF}" sibTransId="{8D5E0C95-2DA4-4D46-AA7E-ACC30D2E38D2}"/>
    <dgm:cxn modelId="{A830E4E7-FD4D-4FE2-9017-6F80F238DCBA}" type="presOf" srcId="{52594BD4-6A12-4357-AF1B-35641AD4E3C4}" destId="{9E71348A-2892-4E0D-83B5-15A8AA0741A3}" srcOrd="0" destOrd="0" presId="urn:microsoft.com/office/officeart/2005/8/layout/hierarchy4"/>
    <dgm:cxn modelId="{E474EDCC-BC97-420B-9E63-29A67518526C}" srcId="{DF103BE6-9D31-44BE-A11E-6447184827B7}" destId="{24429F00-0DFF-454A-9439-1BAF40F478EE}" srcOrd="1" destOrd="0" parTransId="{641306BA-7D3F-45D1-8892-27710182835E}" sibTransId="{CBEDC1EE-EC89-4B75-BAB2-BDBF14BFA6CD}"/>
    <dgm:cxn modelId="{2D491BE2-E444-4030-B151-A7183D1A938B}" type="presParOf" srcId="{92E1C9B2-9664-48B7-8ED3-1EFA2324A914}" destId="{4D835E16-1F71-45A0-973D-FE07465E3266}" srcOrd="0" destOrd="0" presId="urn:microsoft.com/office/officeart/2005/8/layout/hierarchy4"/>
    <dgm:cxn modelId="{64BE0491-9919-4254-BD38-635D4DA58419}" type="presParOf" srcId="{4D835E16-1F71-45A0-973D-FE07465E3266}" destId="{DDC931A5-14F0-464D-A305-BF8491344A19}" srcOrd="0" destOrd="0" presId="urn:microsoft.com/office/officeart/2005/8/layout/hierarchy4"/>
    <dgm:cxn modelId="{B5AE892F-5CFF-4084-AC2D-14DAAA63457F}" type="presParOf" srcId="{4D835E16-1F71-45A0-973D-FE07465E3266}" destId="{4D04AA0F-6D37-48A8-B917-8273188E5F78}" srcOrd="1" destOrd="0" presId="urn:microsoft.com/office/officeart/2005/8/layout/hierarchy4"/>
    <dgm:cxn modelId="{D5DD9937-C023-44E0-B72B-004C8B10837A}" type="presParOf" srcId="{4D835E16-1F71-45A0-973D-FE07465E3266}" destId="{1F50CAA0-06C0-40CC-804D-2A1D36B0CE64}" srcOrd="2" destOrd="0" presId="urn:microsoft.com/office/officeart/2005/8/layout/hierarchy4"/>
    <dgm:cxn modelId="{1AA473BF-93EF-438A-A13D-B1F9B094ED29}" type="presParOf" srcId="{1F50CAA0-06C0-40CC-804D-2A1D36B0CE64}" destId="{9D7ADA0B-9FFF-4F9F-944E-742AC806D9AA}" srcOrd="0" destOrd="0" presId="urn:microsoft.com/office/officeart/2005/8/layout/hierarchy4"/>
    <dgm:cxn modelId="{B52B16FD-BCD3-45AE-9DED-FA6A3DCC9725}" type="presParOf" srcId="{9D7ADA0B-9FFF-4F9F-944E-742AC806D9AA}" destId="{9E71348A-2892-4E0D-83B5-15A8AA0741A3}" srcOrd="0" destOrd="0" presId="urn:microsoft.com/office/officeart/2005/8/layout/hierarchy4"/>
    <dgm:cxn modelId="{91B0B28B-8054-4DAB-A552-2CDDBCC0F92B}" type="presParOf" srcId="{9D7ADA0B-9FFF-4F9F-944E-742AC806D9AA}" destId="{CB697729-78CB-493A-A02B-8F0A5BA5698D}" srcOrd="1" destOrd="0" presId="urn:microsoft.com/office/officeart/2005/8/layout/hierarchy4"/>
    <dgm:cxn modelId="{AC9B0B5B-4F0A-475D-ABE4-54512FAB70FC}" type="presParOf" srcId="{1F50CAA0-06C0-40CC-804D-2A1D36B0CE64}" destId="{4552E69D-B863-4675-9C51-DB560EADC99E}" srcOrd="1" destOrd="0" presId="urn:microsoft.com/office/officeart/2005/8/layout/hierarchy4"/>
    <dgm:cxn modelId="{F0537F12-C0A3-427D-9298-16C0E3F3110D}" type="presParOf" srcId="{1F50CAA0-06C0-40CC-804D-2A1D36B0CE64}" destId="{348B3BA0-F4C4-4D3C-8052-5A02C208C321}" srcOrd="2" destOrd="0" presId="urn:microsoft.com/office/officeart/2005/8/layout/hierarchy4"/>
    <dgm:cxn modelId="{EC9BB0CD-B62D-44CF-86F9-24D61F5DF3A0}" type="presParOf" srcId="{348B3BA0-F4C4-4D3C-8052-5A02C208C321}" destId="{22B70AAB-1F01-44BD-8C86-280DFCC25A82}" srcOrd="0" destOrd="0" presId="urn:microsoft.com/office/officeart/2005/8/layout/hierarchy4"/>
    <dgm:cxn modelId="{60EA6239-1F40-418F-BFA9-C74A8000108B}" type="presParOf" srcId="{348B3BA0-F4C4-4D3C-8052-5A02C208C321}" destId="{2B751C69-C63C-4E31-9604-7C5FDE351947}" srcOrd="1" destOrd="0" presId="urn:microsoft.com/office/officeart/2005/8/layout/hierarchy4"/>
    <dgm:cxn modelId="{742E4241-60EB-4A00-8D76-DD13BBA2398D}" type="presParOf" srcId="{1F50CAA0-06C0-40CC-804D-2A1D36B0CE64}" destId="{086A18D3-191B-49F3-8D8A-CF458639FD9B}" srcOrd="3" destOrd="0" presId="urn:microsoft.com/office/officeart/2005/8/layout/hierarchy4"/>
    <dgm:cxn modelId="{B68265F8-C39C-48AA-AF7C-E568FCCD9DB9}" type="presParOf" srcId="{1F50CAA0-06C0-40CC-804D-2A1D36B0CE64}" destId="{84DC1EB3-8EE1-4F31-B98B-B08E6E6AFBAA}" srcOrd="4" destOrd="0" presId="urn:microsoft.com/office/officeart/2005/8/layout/hierarchy4"/>
    <dgm:cxn modelId="{1BE14DC5-3B73-4ADC-8B51-DC425B788BD4}" type="presParOf" srcId="{84DC1EB3-8EE1-4F31-B98B-B08E6E6AFBAA}" destId="{BF35DE20-2FFE-4066-B1D3-6558A301840F}" srcOrd="0" destOrd="0" presId="urn:microsoft.com/office/officeart/2005/8/layout/hierarchy4"/>
    <dgm:cxn modelId="{848BEA20-6ED0-495E-A834-4F0E5EAB0914}" type="presParOf" srcId="{84DC1EB3-8EE1-4F31-B98B-B08E6E6AFBAA}" destId="{039F3D6E-EE40-408A-A254-69598DFDFFD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DC931A5-14F0-464D-A305-BF8491344A19}">
      <dsp:nvSpPr>
        <dsp:cNvPr id="0" name=""/>
        <dsp:cNvSpPr/>
      </dsp:nvSpPr>
      <dsp:spPr>
        <a:xfrm>
          <a:off x="0" y="610"/>
          <a:ext cx="5340318" cy="4186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Доходи звітного періоду - 2134,7 млн.грн.</a:t>
          </a:r>
        </a:p>
      </dsp:txBody>
      <dsp:txXfrm>
        <a:off x="0" y="610"/>
        <a:ext cx="5340318" cy="418659"/>
      </dsp:txXfrm>
    </dsp:sp>
    <dsp:sp modelId="{9E71348A-2892-4E0D-83B5-15A8AA0741A3}">
      <dsp:nvSpPr>
        <dsp:cNvPr id="0" name=""/>
        <dsp:cNvSpPr/>
      </dsp:nvSpPr>
      <dsp:spPr>
        <a:xfrm>
          <a:off x="1920" y="614124"/>
          <a:ext cx="1685706" cy="1144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Доходи загального фонду бюджету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1319,5 млн.грн.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(61,8% )</a:t>
          </a:r>
          <a:endParaRPr lang="ru-RU" sz="1400" kern="1200"/>
        </a:p>
      </dsp:txBody>
      <dsp:txXfrm>
        <a:off x="1920" y="614124"/>
        <a:ext cx="1685706" cy="1144004"/>
      </dsp:txXfrm>
    </dsp:sp>
    <dsp:sp modelId="{22B70AAB-1F01-44BD-8C86-280DFCC25A82}">
      <dsp:nvSpPr>
        <dsp:cNvPr id="0" name=""/>
        <dsp:cNvSpPr/>
      </dsp:nvSpPr>
      <dsp:spPr>
        <a:xfrm>
          <a:off x="1829226" y="614124"/>
          <a:ext cx="1685706" cy="1144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Доходи спеціального фонду бюджету </a:t>
          </a:r>
          <a:r>
            <a:rPr lang="en-US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 </a:t>
          </a:r>
          <a:endParaRPr lang="ru-RU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82,5 млн.грн. </a:t>
          </a:r>
          <a:r>
            <a:rPr lang="en-US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     </a:t>
          </a:r>
          <a:endParaRPr lang="uk-UA" sz="1400" kern="1200">
            <a:solidFill>
              <a:schemeClr val="lt1"/>
            </a:solidFill>
            <a:latin typeface="+mn-lt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( 3,9% )</a:t>
          </a:r>
          <a:endParaRPr lang="ru-RU" sz="1400" kern="1200"/>
        </a:p>
      </dsp:txBody>
      <dsp:txXfrm>
        <a:off x="1829226" y="614124"/>
        <a:ext cx="1685706" cy="1144004"/>
      </dsp:txXfrm>
    </dsp:sp>
    <dsp:sp modelId="{BF35DE20-2FFE-4066-B1D3-6558A301840F}">
      <dsp:nvSpPr>
        <dsp:cNvPr id="0" name=""/>
        <dsp:cNvSpPr/>
      </dsp:nvSpPr>
      <dsp:spPr>
        <a:xfrm>
          <a:off x="3656532" y="614124"/>
          <a:ext cx="1685706" cy="114400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alpha val="7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alpha val="7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alpha val="7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Офіційні трансферти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 </a:t>
          </a: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732,7 млн.грн.</a:t>
          </a:r>
          <a:r>
            <a:rPr lang="en-US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     </a:t>
          </a:r>
          <a:endParaRPr lang="uk-UA" sz="1400" kern="1200">
            <a:solidFill>
              <a:schemeClr val="lt1"/>
            </a:solidFill>
            <a:latin typeface="+mn-lt"/>
            <a:ea typeface="+mn-ea"/>
            <a:cs typeface="+mn-cs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chemeClr val="lt1"/>
              </a:solidFill>
              <a:latin typeface="+mn-lt"/>
              <a:ea typeface="+mn-ea"/>
              <a:cs typeface="+mn-cs"/>
            </a:rPr>
            <a:t>( 34,3% ) </a:t>
          </a:r>
          <a:endParaRPr lang="ru-RU" sz="1400" kern="1200"/>
        </a:p>
      </dsp:txBody>
      <dsp:txXfrm>
        <a:off x="3656532" y="614124"/>
        <a:ext cx="1685706" cy="1144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0.026</cdr:x>
      <cdr:y>0</cdr:y>
    </cdr:from>
    <cdr:to>
      <cdr:x>0.92397</cdr:x>
      <cdr:y>0.1302</cdr:y>
    </cdr:to>
    <cdr:sp macro="" textlink="">
      <cdr:nvSpPr>
        <cdr:cNvPr id="2" name="TextBox 1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152401" y="0"/>
          <a:ext cx="5263036" cy="3976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Структура доходів  загального фонду  за І квартал 2019 р.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E509E-239B-40FC-ACBD-8086FC78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2119</Words>
  <Characters>14110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/>
  <LinksUpToDate>false</LinksUpToDate>
  <CharactersWithSpaces>16197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creator>Jilia20</dc:creator>
  <cp:lastModifiedBy>Логвиненко</cp:lastModifiedBy>
  <cp:revision>4</cp:revision>
  <cp:lastPrinted>2019-05-06T06:22:00Z</cp:lastPrinted>
  <dcterms:created xsi:type="dcterms:W3CDTF">2019-05-03T11:44:00Z</dcterms:created>
  <dcterms:modified xsi:type="dcterms:W3CDTF">2019-05-06T06:23:00Z</dcterms:modified>
</cp:coreProperties>
</file>