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1C" w:rsidRPr="009B4030" w:rsidRDefault="001C1C1C" w:rsidP="001C1C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B4030">
        <w:rPr>
          <w:rFonts w:ascii="Times New Roman" w:hAnsi="Times New Roman" w:cs="Times New Roman"/>
          <w:b/>
          <w:sz w:val="27"/>
          <w:szCs w:val="27"/>
          <w:lang w:val="uk-UA"/>
        </w:rPr>
        <w:t xml:space="preserve">Довідка </w:t>
      </w:r>
    </w:p>
    <w:p w:rsidR="001C1C1C" w:rsidRPr="009B4030" w:rsidRDefault="001C1C1C" w:rsidP="001C1C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B4030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виконання бюджету міста за І </w:t>
      </w:r>
      <w:r w:rsidR="001075A8" w:rsidRPr="009B4030">
        <w:rPr>
          <w:rFonts w:ascii="Times New Roman" w:hAnsi="Times New Roman" w:cs="Times New Roman"/>
          <w:b/>
          <w:sz w:val="27"/>
          <w:szCs w:val="27"/>
          <w:lang w:val="uk-UA"/>
        </w:rPr>
        <w:t>півріччя</w:t>
      </w:r>
      <w:r w:rsidRPr="009B403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2016 року</w:t>
      </w:r>
    </w:p>
    <w:p w:rsidR="001C1C1C" w:rsidRPr="009B4030" w:rsidRDefault="001C1C1C" w:rsidP="001C1C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3C5444" w:rsidRPr="009B4030" w:rsidRDefault="003C5444" w:rsidP="003C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За </w:t>
      </w:r>
      <w:r w:rsidR="00C73FAF" w:rsidRPr="009B4030">
        <w:rPr>
          <w:rFonts w:ascii="Times New Roman" w:hAnsi="Times New Roman" w:cs="Times New Roman"/>
          <w:sz w:val="27"/>
          <w:szCs w:val="27"/>
          <w:lang w:val="uk-UA"/>
        </w:rPr>
        <w:t>І півріччя поточного року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до бюджету міста надійшло 2 814,6 </w:t>
      </w:r>
      <w:proofErr w:type="spellStart"/>
      <w:r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C7C50" w:rsidRPr="009B4030">
        <w:rPr>
          <w:rFonts w:ascii="Times New Roman" w:hAnsi="Times New Roman" w:cs="Times New Roman"/>
          <w:sz w:val="27"/>
          <w:szCs w:val="27"/>
          <w:lang w:val="uk-UA"/>
        </w:rPr>
        <w:t>, що становить 100,3% планових показників відповідного періоду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, в тому числі </w:t>
      </w:r>
      <w:r w:rsidR="00F14543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податків і зборів до загального фонду бюджету 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>– 1 546,6 </w:t>
      </w:r>
      <w:proofErr w:type="spellStart"/>
      <w:r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F14543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(100,9</w:t>
      </w:r>
      <w:r w:rsidR="00AC7C50" w:rsidRPr="009B4030">
        <w:rPr>
          <w:rFonts w:ascii="Times New Roman" w:hAnsi="Times New Roman" w:cs="Times New Roman"/>
          <w:sz w:val="27"/>
          <w:szCs w:val="27"/>
          <w:lang w:val="uk-UA"/>
        </w:rPr>
        <w:t>% до плану</w:t>
      </w:r>
      <w:r w:rsidR="00F14543" w:rsidRPr="009B4030">
        <w:rPr>
          <w:rFonts w:ascii="Times New Roman" w:hAnsi="Times New Roman" w:cs="Times New Roman"/>
          <w:sz w:val="27"/>
          <w:szCs w:val="27"/>
          <w:lang w:val="uk-UA"/>
        </w:rPr>
        <w:t>)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>, спеціального – 98,6 </w:t>
      </w:r>
      <w:proofErr w:type="spellStart"/>
      <w:r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="00F14543" w:rsidRPr="009B4030">
        <w:rPr>
          <w:rFonts w:ascii="Times New Roman" w:hAnsi="Times New Roman" w:cs="Times New Roman"/>
          <w:sz w:val="27"/>
          <w:szCs w:val="27"/>
          <w:lang w:val="uk-UA"/>
        </w:rPr>
        <w:t>(96,</w:t>
      </w:r>
      <w:r w:rsidR="008F63CF" w:rsidRPr="009B4030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AC7C50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% </w:t>
      </w:r>
      <w:r w:rsidR="00C73FAF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AC7C50" w:rsidRPr="009B4030">
        <w:rPr>
          <w:rFonts w:ascii="Times New Roman" w:hAnsi="Times New Roman" w:cs="Times New Roman"/>
          <w:sz w:val="27"/>
          <w:szCs w:val="27"/>
          <w:lang w:val="uk-UA"/>
        </w:rPr>
        <w:t>плану</w:t>
      </w:r>
      <w:r w:rsidR="00F14543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>та офіційних трансферт</w:t>
      </w:r>
      <w:r w:rsidR="00E763FA" w:rsidRPr="009B4030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– 1 169,4 </w:t>
      </w:r>
      <w:proofErr w:type="spellStart"/>
      <w:r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F14543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(99,7</w:t>
      </w:r>
      <w:r w:rsidR="00AC7C50" w:rsidRPr="009B4030">
        <w:rPr>
          <w:rFonts w:ascii="Times New Roman" w:hAnsi="Times New Roman" w:cs="Times New Roman"/>
          <w:sz w:val="27"/>
          <w:szCs w:val="27"/>
          <w:lang w:val="uk-UA"/>
        </w:rPr>
        <w:t>% планових показників</w:t>
      </w:r>
      <w:r w:rsidR="00F14543" w:rsidRPr="009B4030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AC7C50"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C5444" w:rsidRPr="009B4030" w:rsidRDefault="003C5444" w:rsidP="003C544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B4030">
        <w:rPr>
          <w:rFonts w:ascii="Times New Roman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5753523" cy="21209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5444" w:rsidRPr="009B4030" w:rsidRDefault="003C5444" w:rsidP="003C5444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r w:rsidRPr="009B4030">
        <w:rPr>
          <w:sz w:val="27"/>
          <w:szCs w:val="27"/>
        </w:rPr>
        <w:t>Порівняно з відповідним періодом минулого року доходи (без урахування трансфертів) зросли на 552,6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>. або</w:t>
      </w:r>
      <w:r w:rsidR="00E763FA" w:rsidRPr="009B4030">
        <w:rPr>
          <w:sz w:val="27"/>
          <w:szCs w:val="27"/>
        </w:rPr>
        <w:t xml:space="preserve"> на 50,6%</w:t>
      </w:r>
      <w:r w:rsidRPr="009B4030">
        <w:rPr>
          <w:sz w:val="27"/>
          <w:szCs w:val="27"/>
        </w:rPr>
        <w:t xml:space="preserve">. На збільшення надходжень значною мірою вплинули зміни в податковому та бюджетному законодавстві, </w:t>
      </w:r>
      <w:r w:rsidR="00AC7C50" w:rsidRPr="009B4030">
        <w:rPr>
          <w:sz w:val="27"/>
          <w:szCs w:val="27"/>
        </w:rPr>
        <w:t>запроваджені наприкінці минулого року</w:t>
      </w:r>
      <w:r w:rsidRPr="009B4030">
        <w:rPr>
          <w:sz w:val="27"/>
          <w:szCs w:val="27"/>
        </w:rPr>
        <w:t>.</w:t>
      </w:r>
    </w:p>
    <w:p w:rsidR="003C5444" w:rsidRPr="009B4030" w:rsidRDefault="00594F12" w:rsidP="003C5444">
      <w:pPr>
        <w:pStyle w:val="2"/>
        <w:spacing w:after="0" w:line="240" w:lineRule="auto"/>
        <w:ind w:left="0"/>
        <w:jc w:val="both"/>
        <w:rPr>
          <w:sz w:val="27"/>
          <w:szCs w:val="27"/>
        </w:rPr>
      </w:pPr>
      <w:r w:rsidRPr="009B4030">
        <w:rPr>
          <w:noProof/>
          <w:sz w:val="27"/>
          <w:szCs w:val="27"/>
          <w:lang w:val="ru-RU"/>
        </w:rPr>
        <w:drawing>
          <wp:inline distT="0" distB="0" distL="0" distR="0">
            <wp:extent cx="6031230" cy="3128433"/>
            <wp:effectExtent l="19050" t="0" r="762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5444" w:rsidRPr="009B4030" w:rsidRDefault="00AC7C50" w:rsidP="003C5444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r w:rsidRPr="009B4030">
        <w:rPr>
          <w:sz w:val="27"/>
          <w:szCs w:val="27"/>
        </w:rPr>
        <w:t>О</w:t>
      </w:r>
      <w:r w:rsidR="003C5444" w:rsidRPr="009B4030">
        <w:rPr>
          <w:sz w:val="27"/>
          <w:szCs w:val="27"/>
        </w:rPr>
        <w:t>сновним джерелом надходжень загального фонду бюджету міста (без трансфертів) залишається податок на доходи фізичних осіб, його питома вага становить 55,6</w:t>
      </w:r>
      <w:r w:rsidR="00E763FA" w:rsidRPr="009B4030">
        <w:rPr>
          <w:sz w:val="27"/>
          <w:szCs w:val="27"/>
        </w:rPr>
        <w:t>%</w:t>
      </w:r>
      <w:r w:rsidR="003C5444" w:rsidRPr="009B4030">
        <w:rPr>
          <w:sz w:val="27"/>
          <w:szCs w:val="27"/>
        </w:rPr>
        <w:t>. Обсяг надходжень за звітний період склав 860,0 </w:t>
      </w:r>
      <w:proofErr w:type="spellStart"/>
      <w:r w:rsidR="003C5444" w:rsidRPr="009B4030">
        <w:rPr>
          <w:sz w:val="27"/>
          <w:szCs w:val="27"/>
        </w:rPr>
        <w:t>млн.грн</w:t>
      </w:r>
      <w:proofErr w:type="spellEnd"/>
      <w:r w:rsidR="003C5444" w:rsidRPr="009B4030">
        <w:rPr>
          <w:sz w:val="27"/>
          <w:szCs w:val="27"/>
        </w:rPr>
        <w:t>. Темп зростання порівняно з минулорічним показником становить 148,2</w:t>
      </w:r>
      <w:r w:rsidR="00E763FA" w:rsidRPr="009B4030">
        <w:rPr>
          <w:sz w:val="27"/>
          <w:szCs w:val="27"/>
        </w:rPr>
        <w:t>%</w:t>
      </w:r>
      <w:r w:rsidR="003C5444" w:rsidRPr="009B4030">
        <w:rPr>
          <w:sz w:val="27"/>
          <w:szCs w:val="27"/>
        </w:rPr>
        <w:t xml:space="preserve"> та пов’язан</w:t>
      </w:r>
      <w:r w:rsidR="00F1295C" w:rsidRPr="009B4030">
        <w:rPr>
          <w:sz w:val="27"/>
          <w:szCs w:val="27"/>
        </w:rPr>
        <w:t>ий</w:t>
      </w:r>
      <w:r w:rsidR="003C5444" w:rsidRPr="009B4030">
        <w:rPr>
          <w:sz w:val="27"/>
          <w:szCs w:val="27"/>
        </w:rPr>
        <w:t xml:space="preserve"> із збільшенням окремих ставок оподаткування доходів фізичних осіб з 15% до 18%. Крім того, скасований єдиний соціальний внесок, що утримується із заробітної плати працівників (у розмірі 3,6%, 6,1% та інших), в результаті чого збільшилась база оподаткування даним податком.</w:t>
      </w:r>
    </w:p>
    <w:p w:rsidR="003C5444" w:rsidRPr="009B4030" w:rsidRDefault="003C5444" w:rsidP="003C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B4030">
        <w:rPr>
          <w:rFonts w:ascii="Times New Roman" w:hAnsi="Times New Roman" w:cs="Times New Roman"/>
          <w:sz w:val="27"/>
          <w:szCs w:val="27"/>
          <w:lang w:val="uk-UA"/>
        </w:rPr>
        <w:t>Також на 13,7 </w:t>
      </w:r>
      <w:proofErr w:type="spellStart"/>
      <w:r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Pr="009B4030">
        <w:rPr>
          <w:rFonts w:ascii="Times New Roman" w:hAnsi="Times New Roman" w:cs="Times New Roman"/>
          <w:sz w:val="27"/>
          <w:szCs w:val="27"/>
          <w:lang w:val="uk-UA"/>
        </w:rPr>
        <w:t>. або на 51,9</w:t>
      </w:r>
      <w:r w:rsidR="009106FD" w:rsidRPr="009B4030">
        <w:rPr>
          <w:rFonts w:ascii="Times New Roman" w:hAnsi="Times New Roman" w:cs="Times New Roman"/>
          <w:sz w:val="27"/>
          <w:szCs w:val="27"/>
          <w:lang w:val="uk-UA"/>
        </w:rPr>
        <w:t>%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збільшились надходження податку на доходи фізичних осіб з грошового забезпечення, грошових винагород та інших виплат, одержаних військовослужбовцями. </w:t>
      </w:r>
    </w:p>
    <w:p w:rsidR="003C5444" w:rsidRPr="009B4030" w:rsidRDefault="003C5444" w:rsidP="003C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  <w:lang w:val="uk-UA"/>
        </w:rPr>
      </w:pPr>
      <w:r w:rsidRPr="009B4030">
        <w:rPr>
          <w:rFonts w:ascii="Times New Roman" w:hAnsi="Times New Roman" w:cs="Times New Roman"/>
          <w:sz w:val="27"/>
          <w:szCs w:val="27"/>
          <w:lang w:val="uk-UA"/>
        </w:rPr>
        <w:lastRenderedPageBreak/>
        <w:t>На місцеві податки і збори припадає 33,5</w:t>
      </w:r>
      <w:r w:rsidR="009106FD" w:rsidRPr="009B4030">
        <w:rPr>
          <w:rFonts w:ascii="Times New Roman" w:hAnsi="Times New Roman" w:cs="Times New Roman"/>
          <w:sz w:val="27"/>
          <w:szCs w:val="27"/>
          <w:lang w:val="uk-UA"/>
        </w:rPr>
        <w:t>%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доходів загального фонду. Плата за землю є найбільшим джерелом </w:t>
      </w:r>
      <w:r w:rsidR="009106FD" w:rsidRPr="009B4030">
        <w:rPr>
          <w:rFonts w:ascii="Times New Roman" w:hAnsi="Times New Roman" w:cs="Times New Roman"/>
          <w:sz w:val="27"/>
          <w:szCs w:val="27"/>
          <w:lang w:val="uk-UA"/>
        </w:rPr>
        <w:t>цих надходжень (70,8%)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CA7437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за І півріччя поточного року </w:t>
      </w:r>
      <w:r w:rsidR="009106FD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бюджет отримав 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>366,7 </w:t>
      </w:r>
      <w:proofErr w:type="spellStart"/>
      <w:r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. В порівнянні з </w:t>
      </w:r>
      <w:r w:rsidR="009106FD" w:rsidRPr="009B4030">
        <w:rPr>
          <w:rFonts w:ascii="Times New Roman" w:hAnsi="Times New Roman" w:cs="Times New Roman"/>
          <w:sz w:val="27"/>
          <w:szCs w:val="27"/>
          <w:lang w:val="uk-UA"/>
        </w:rPr>
        <w:t>відповідним періодом минулого року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106FD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надходження зросли 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>на 150,2 </w:t>
      </w:r>
      <w:proofErr w:type="spellStart"/>
      <w:r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Pr="009B4030">
        <w:rPr>
          <w:rFonts w:ascii="Times New Roman" w:hAnsi="Times New Roman" w:cs="Times New Roman"/>
          <w:sz w:val="27"/>
          <w:szCs w:val="27"/>
          <w:lang w:val="uk-UA"/>
        </w:rPr>
        <w:t>., що пояснюється, насамперед, індексацією грошової оцінки землі (коефіцієнт індексації в поточному році – 1,433) та запровадженням нової нормативної грошової оцінки землі.</w:t>
      </w:r>
      <w:r w:rsidRPr="009B4030">
        <w:rPr>
          <w:rFonts w:ascii="Times New Roman" w:hAnsi="Times New Roman" w:cs="Times New Roman"/>
          <w:sz w:val="27"/>
          <w:szCs w:val="27"/>
          <w:highlight w:val="yellow"/>
          <w:lang w:val="uk-UA"/>
        </w:rPr>
        <w:t xml:space="preserve"> </w:t>
      </w:r>
    </w:p>
    <w:p w:rsidR="003C5444" w:rsidRPr="009B4030" w:rsidRDefault="003C5444" w:rsidP="003C5444">
      <w:pPr>
        <w:pStyle w:val="2"/>
        <w:tabs>
          <w:tab w:val="left" w:pos="360"/>
          <w:tab w:val="left" w:pos="720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9B4030">
        <w:rPr>
          <w:sz w:val="27"/>
          <w:szCs w:val="27"/>
        </w:rPr>
        <w:t>Надходження від орендної плати за користування цілісним майновим комплекс</w:t>
      </w:r>
      <w:r w:rsidR="00C73FAF" w:rsidRPr="009B4030">
        <w:rPr>
          <w:sz w:val="27"/>
          <w:szCs w:val="27"/>
        </w:rPr>
        <w:t>ом</w:t>
      </w:r>
      <w:r w:rsidRPr="009B4030">
        <w:rPr>
          <w:sz w:val="27"/>
          <w:szCs w:val="27"/>
        </w:rPr>
        <w:t xml:space="preserve"> та іншим майном, що перебуває в комунальній власності</w:t>
      </w:r>
      <w:r w:rsidR="00F1295C" w:rsidRPr="009B4030">
        <w:rPr>
          <w:sz w:val="27"/>
          <w:szCs w:val="27"/>
        </w:rPr>
        <w:t>,</w:t>
      </w:r>
      <w:r w:rsidRPr="009B4030">
        <w:rPr>
          <w:sz w:val="27"/>
          <w:szCs w:val="27"/>
        </w:rPr>
        <w:t xml:space="preserve"> склали 10,2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>. що на 0,7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>. або 7,7</w:t>
      </w:r>
      <w:r w:rsidR="00E763FA" w:rsidRPr="009B4030">
        <w:rPr>
          <w:sz w:val="27"/>
          <w:szCs w:val="27"/>
        </w:rPr>
        <w:t>%</w:t>
      </w:r>
      <w:r w:rsidRPr="009B4030">
        <w:rPr>
          <w:sz w:val="27"/>
          <w:szCs w:val="27"/>
        </w:rPr>
        <w:t xml:space="preserve"> більше ніж за аналогічний період минулого року. </w:t>
      </w:r>
    </w:p>
    <w:p w:rsidR="006B6594" w:rsidRPr="009B4030" w:rsidRDefault="006B6594" w:rsidP="006B6594">
      <w:pPr>
        <w:pStyle w:val="2"/>
        <w:tabs>
          <w:tab w:val="left" w:pos="360"/>
          <w:tab w:val="left" w:pos="720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9B4030">
        <w:rPr>
          <w:sz w:val="27"/>
          <w:szCs w:val="27"/>
        </w:rPr>
        <w:t xml:space="preserve">З метою </w:t>
      </w:r>
      <w:r w:rsidR="00F1295C" w:rsidRPr="009B4030">
        <w:rPr>
          <w:sz w:val="27"/>
          <w:szCs w:val="27"/>
        </w:rPr>
        <w:t>мобілізації додаткових надходжень до</w:t>
      </w:r>
      <w:r w:rsidRPr="009B4030">
        <w:rPr>
          <w:sz w:val="27"/>
          <w:szCs w:val="27"/>
        </w:rPr>
        <w:t xml:space="preserve"> бюджету міста та ефективного використання бюджетних коштів </w:t>
      </w:r>
      <w:r w:rsidR="00F1295C" w:rsidRPr="009B4030">
        <w:rPr>
          <w:sz w:val="27"/>
          <w:szCs w:val="27"/>
        </w:rPr>
        <w:t xml:space="preserve">департаментом фінансової та бюджетної політики міської ради здійснено розміщення тимчасово вільних бюджетних коштів </w:t>
      </w:r>
      <w:r w:rsidR="008F63CF" w:rsidRPr="009B4030">
        <w:rPr>
          <w:sz w:val="27"/>
          <w:szCs w:val="27"/>
        </w:rPr>
        <w:t>у</w:t>
      </w:r>
      <w:r w:rsidR="00F1295C" w:rsidRPr="009B4030">
        <w:rPr>
          <w:sz w:val="27"/>
          <w:szCs w:val="27"/>
        </w:rPr>
        <w:t xml:space="preserve"> сумі 524,0 </w:t>
      </w:r>
      <w:proofErr w:type="spellStart"/>
      <w:r w:rsidR="00F1295C" w:rsidRPr="009B4030">
        <w:rPr>
          <w:sz w:val="27"/>
          <w:szCs w:val="27"/>
        </w:rPr>
        <w:t>млн.грн</w:t>
      </w:r>
      <w:proofErr w:type="spellEnd"/>
      <w:r w:rsidR="00F1295C" w:rsidRPr="009B4030">
        <w:rPr>
          <w:sz w:val="27"/>
          <w:szCs w:val="27"/>
        </w:rPr>
        <w:t xml:space="preserve">. </w:t>
      </w:r>
      <w:r w:rsidRPr="009B4030">
        <w:rPr>
          <w:sz w:val="27"/>
          <w:szCs w:val="27"/>
        </w:rPr>
        <w:t xml:space="preserve">на депозитних банківських рахунках, в результаті чого бюджет отримав </w:t>
      </w:r>
      <w:r w:rsidR="00CA7437" w:rsidRPr="009B4030">
        <w:rPr>
          <w:sz w:val="27"/>
          <w:szCs w:val="27"/>
        </w:rPr>
        <w:t xml:space="preserve">відсотки </w:t>
      </w:r>
      <w:r w:rsidRPr="009B4030">
        <w:rPr>
          <w:sz w:val="27"/>
          <w:szCs w:val="27"/>
        </w:rPr>
        <w:t xml:space="preserve">від </w:t>
      </w:r>
      <w:r w:rsidR="00C73FAF" w:rsidRPr="009B4030">
        <w:rPr>
          <w:sz w:val="27"/>
          <w:szCs w:val="27"/>
        </w:rPr>
        <w:t xml:space="preserve">їх </w:t>
      </w:r>
      <w:r w:rsidRPr="009B4030">
        <w:rPr>
          <w:sz w:val="27"/>
          <w:szCs w:val="27"/>
        </w:rPr>
        <w:t xml:space="preserve">розміщення в </w:t>
      </w:r>
      <w:r w:rsidR="00CA7437" w:rsidRPr="009B4030">
        <w:rPr>
          <w:sz w:val="27"/>
          <w:szCs w:val="27"/>
        </w:rPr>
        <w:t>розмірі</w:t>
      </w:r>
      <w:r w:rsidRPr="009B4030">
        <w:rPr>
          <w:sz w:val="27"/>
          <w:szCs w:val="27"/>
        </w:rPr>
        <w:t xml:space="preserve"> 16,4 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>.</w:t>
      </w:r>
    </w:p>
    <w:p w:rsidR="006B6594" w:rsidRPr="009B4030" w:rsidRDefault="006B6594" w:rsidP="006B6594">
      <w:pPr>
        <w:pStyle w:val="2"/>
        <w:spacing w:after="0" w:line="240" w:lineRule="auto"/>
        <w:ind w:left="0" w:firstLine="709"/>
        <w:jc w:val="both"/>
        <w:rPr>
          <w:sz w:val="27"/>
          <w:szCs w:val="27"/>
        </w:rPr>
      </w:pPr>
      <w:r w:rsidRPr="009B4030">
        <w:rPr>
          <w:sz w:val="27"/>
          <w:szCs w:val="27"/>
        </w:rPr>
        <w:t>Надходження спеціального фонду бюджету міста порівняно з відповідним періодом минулого року зросли на 18,9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>. або на 23,7% та сформовані за рахунок власних надходжень бюджетних установ (</w:t>
      </w:r>
      <w:r w:rsidR="003260F3" w:rsidRPr="009B4030">
        <w:rPr>
          <w:sz w:val="27"/>
          <w:szCs w:val="27"/>
        </w:rPr>
        <w:t>82,8</w:t>
      </w:r>
      <w:r w:rsidRPr="009B4030">
        <w:rPr>
          <w:sz w:val="27"/>
          <w:szCs w:val="27"/>
        </w:rPr>
        <w:t>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>.), надходжень екологічного податку та грошових стягнень за шкоду, заподіяну порушенням законодавства про охорону навколишнього природного середовища внаслідок господарської та іншої діяльності (</w:t>
      </w:r>
      <w:r w:rsidR="003260F3" w:rsidRPr="009B4030">
        <w:rPr>
          <w:sz w:val="27"/>
          <w:szCs w:val="27"/>
        </w:rPr>
        <w:t>10,</w:t>
      </w:r>
      <w:r w:rsidR="005B6846" w:rsidRPr="009B4030">
        <w:rPr>
          <w:sz w:val="27"/>
          <w:szCs w:val="27"/>
        </w:rPr>
        <w:t>1</w:t>
      </w:r>
      <w:r w:rsidR="003260F3" w:rsidRPr="009B4030">
        <w:rPr>
          <w:sz w:val="27"/>
          <w:szCs w:val="27"/>
        </w:rPr>
        <w:t>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>.), коштів пайової участі у розвитку інфраструктури населеного пункту (</w:t>
      </w:r>
      <w:r w:rsidR="003260F3" w:rsidRPr="009B4030">
        <w:rPr>
          <w:sz w:val="27"/>
          <w:szCs w:val="27"/>
        </w:rPr>
        <w:t>3,2 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>.), коштів від продажу землі та відчуження майна комунальної власності (</w:t>
      </w:r>
      <w:r w:rsidR="003260F3" w:rsidRPr="009B4030">
        <w:rPr>
          <w:sz w:val="27"/>
          <w:szCs w:val="27"/>
        </w:rPr>
        <w:t>2,4 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 xml:space="preserve">.) тощо. Обсяг доходів бюджету розвитку склав </w:t>
      </w:r>
      <w:r w:rsidR="003260F3" w:rsidRPr="009B4030">
        <w:rPr>
          <w:sz w:val="27"/>
          <w:szCs w:val="27"/>
        </w:rPr>
        <w:t>5,7</w:t>
      </w:r>
      <w:r w:rsidRPr="009B4030">
        <w:rPr>
          <w:sz w:val="27"/>
          <w:szCs w:val="27"/>
        </w:rPr>
        <w:t> </w:t>
      </w:r>
      <w:proofErr w:type="spellStart"/>
      <w:r w:rsidRPr="009B4030">
        <w:rPr>
          <w:sz w:val="27"/>
          <w:szCs w:val="27"/>
        </w:rPr>
        <w:t>млн.грн</w:t>
      </w:r>
      <w:proofErr w:type="spellEnd"/>
      <w:r w:rsidRPr="009B4030">
        <w:rPr>
          <w:sz w:val="27"/>
          <w:szCs w:val="27"/>
        </w:rPr>
        <w:t>.</w:t>
      </w:r>
    </w:p>
    <w:p w:rsidR="001075A8" w:rsidRPr="009B4030" w:rsidRDefault="001075A8" w:rsidP="001C1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7030A0"/>
          <w:sz w:val="27"/>
          <w:szCs w:val="27"/>
          <w:lang w:val="uk-UA" w:eastAsia="ru-RU"/>
        </w:rPr>
      </w:pPr>
    </w:p>
    <w:p w:rsidR="009B7FA2" w:rsidRPr="009B4030" w:rsidRDefault="009B7FA2" w:rsidP="001C1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Видатки бюджету міста проведено в обсязі </w:t>
      </w:r>
      <w:r w:rsidR="001075A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2 401,4</w:t>
      </w:r>
      <w:r w:rsidR="00096C0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096C0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млн.грн</w:t>
      </w:r>
      <w:proofErr w:type="spellEnd"/>
      <w:r w:rsidR="00096C0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., в тому числі по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загальн</w:t>
      </w:r>
      <w:r w:rsidR="00096C0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ому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фонд</w:t>
      </w:r>
      <w:r w:rsidR="00096C0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у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– </w:t>
      </w:r>
      <w:r w:rsidR="001075A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2 204,0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 </w:t>
      </w:r>
      <w:proofErr w:type="spellStart"/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млн.грн</w:t>
      </w:r>
      <w:proofErr w:type="spellEnd"/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. або </w:t>
      </w:r>
      <w:r w:rsidR="001075A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94,0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% планових показників на відповідний період,</w:t>
      </w:r>
      <w:r w:rsidR="00096C0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по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спеціальн</w:t>
      </w:r>
      <w:r w:rsidR="00096C0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ому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фонд</w:t>
      </w:r>
      <w:r w:rsidR="00096C0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у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– </w:t>
      </w:r>
      <w:r w:rsidR="001075A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197,4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 </w:t>
      </w:r>
      <w:proofErr w:type="spellStart"/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млн.грн</w:t>
      </w:r>
      <w:proofErr w:type="spellEnd"/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.</w:t>
      </w:r>
      <w:r w:rsidR="00B44FA7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,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з яких видатки бюджету розвитку – </w:t>
      </w:r>
      <w:r w:rsidR="00DB64F1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108,7</w:t>
      </w:r>
      <w:r w:rsidR="001A525D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1A525D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млн.грн</w:t>
      </w:r>
      <w:proofErr w:type="spellEnd"/>
      <w:r w:rsidR="001A525D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.</w:t>
      </w:r>
      <w:r w:rsidR="001075A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, що становить 24,3% планових показників на відповідний період.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351F6F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До державного бюджету перераховано реверсної дотації в сумі </w:t>
      </w:r>
      <w:r w:rsidR="001075A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92,6</w:t>
      </w:r>
      <w:r w:rsidR="00351F6F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 </w:t>
      </w:r>
      <w:proofErr w:type="spellStart"/>
      <w:r w:rsidR="00351F6F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млн.грн</w:t>
      </w:r>
      <w:proofErr w:type="spellEnd"/>
      <w:r w:rsidR="00351F6F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., що дорівнює плановим показникам.</w:t>
      </w:r>
    </w:p>
    <w:p w:rsidR="00B10181" w:rsidRPr="009B4030" w:rsidRDefault="00D94ECC" w:rsidP="009B2A7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7"/>
          <w:szCs w:val="27"/>
          <w:lang w:val="uk-UA" w:eastAsia="ru-RU"/>
        </w:rPr>
      </w:pPr>
      <w:r w:rsidRPr="009B4030">
        <w:rPr>
          <w:rFonts w:ascii="Times New Roman" w:eastAsia="Calibri" w:hAnsi="Times New Roman" w:cs="Times New Roman"/>
          <w:noProof/>
          <w:color w:val="FF0000"/>
          <w:sz w:val="27"/>
          <w:szCs w:val="27"/>
          <w:lang w:val="ru-RU" w:eastAsia="ru-RU"/>
        </w:rPr>
        <w:drawing>
          <wp:inline distT="0" distB="0" distL="0" distR="0">
            <wp:extent cx="6167332" cy="3357033"/>
            <wp:effectExtent l="19050" t="0" r="4868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4714" w:rsidRPr="009B4030" w:rsidRDefault="00FA1E42" w:rsidP="00B101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lastRenderedPageBreak/>
        <w:t>Майже 8</w:t>
      </w:r>
      <w:r w:rsidR="001075A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0</w:t>
      </w:r>
      <w:r w:rsidR="00E763FA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%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загального обсягу витрат склали захищені статті видатків, </w:t>
      </w:r>
      <w:r w:rsidR="00A6391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на які спрямовано </w:t>
      </w:r>
      <w:r w:rsidR="001075A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1 912,</w:t>
      </w:r>
      <w:r w:rsidR="00791227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7</w:t>
      </w:r>
      <w:r w:rsidR="00584714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 </w:t>
      </w:r>
      <w:proofErr w:type="spellStart"/>
      <w:r w:rsidR="00584714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млн.грн</w:t>
      </w:r>
      <w:proofErr w:type="spellEnd"/>
      <w:r w:rsidR="00A6391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.</w:t>
      </w:r>
      <w:r w:rsidR="004024CB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71315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В</w:t>
      </w:r>
      <w:r w:rsidR="00A6391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иплата заробітної плати здійснювалась своєчасно та в повному обсязі</w:t>
      </w:r>
      <w:r w:rsidR="00713158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, заборгованість перед працівниками бюджетних установ відсутня</w:t>
      </w:r>
      <w:r w:rsidR="00A63915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.</w:t>
      </w:r>
    </w:p>
    <w:p w:rsidR="00A63915" w:rsidRPr="009B4030" w:rsidRDefault="00A63915" w:rsidP="001C1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За функціональною ознакою напрямки використання коштів наведен</w:t>
      </w:r>
      <w:r w:rsidR="00CA7437"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і</w:t>
      </w:r>
      <w:r w:rsidRPr="009B4030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в діаграмі.</w:t>
      </w:r>
    </w:p>
    <w:p w:rsidR="00B20E18" w:rsidRPr="009B4030" w:rsidRDefault="00615A6C" w:rsidP="001C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9B4030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Структура видатків бюджету міста за функціональною </w:t>
      </w:r>
      <w:r w:rsidR="000A0924" w:rsidRPr="009B4030">
        <w:rPr>
          <w:rFonts w:ascii="Times New Roman" w:hAnsi="Times New Roman" w:cs="Times New Roman"/>
          <w:b/>
          <w:i/>
          <w:sz w:val="27"/>
          <w:szCs w:val="27"/>
          <w:lang w:val="uk-UA"/>
        </w:rPr>
        <w:t>ознакою</w:t>
      </w:r>
      <w:r w:rsidR="00584714" w:rsidRPr="009B4030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</w:p>
    <w:p w:rsidR="00664918" w:rsidRPr="009B4030" w:rsidRDefault="00584714" w:rsidP="001C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  <w:lang w:val="uk-UA"/>
        </w:rPr>
      </w:pPr>
      <w:r w:rsidRPr="009B4030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за </w:t>
      </w:r>
      <w:r w:rsidR="009B2A73" w:rsidRPr="009B4030">
        <w:rPr>
          <w:rFonts w:ascii="Times New Roman" w:hAnsi="Times New Roman" w:cs="Times New Roman"/>
          <w:b/>
          <w:i/>
          <w:sz w:val="27"/>
          <w:szCs w:val="27"/>
          <w:lang w:val="uk-UA"/>
        </w:rPr>
        <w:t>І</w:t>
      </w:r>
      <w:r w:rsidRPr="009B4030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</w:t>
      </w:r>
      <w:r w:rsidR="009B2A73" w:rsidRPr="009B4030">
        <w:rPr>
          <w:rFonts w:ascii="Times New Roman" w:hAnsi="Times New Roman" w:cs="Times New Roman"/>
          <w:b/>
          <w:i/>
          <w:sz w:val="27"/>
          <w:szCs w:val="27"/>
          <w:lang w:val="uk-UA"/>
        </w:rPr>
        <w:t>півріччя</w:t>
      </w:r>
      <w:r w:rsidRPr="009B4030">
        <w:rPr>
          <w:rFonts w:ascii="Times New Roman" w:hAnsi="Times New Roman" w:cs="Times New Roman"/>
          <w:b/>
          <w:i/>
          <w:sz w:val="27"/>
          <w:szCs w:val="27"/>
          <w:lang w:val="uk-UA"/>
        </w:rPr>
        <w:t xml:space="preserve"> 2016 року</w:t>
      </w:r>
    </w:p>
    <w:p w:rsidR="00673D16" w:rsidRPr="009B4030" w:rsidRDefault="009B2A73" w:rsidP="009B2A73">
      <w:pPr>
        <w:pStyle w:val="justifyfull"/>
        <w:spacing w:before="0" w:beforeAutospacing="0" w:after="0" w:afterAutospacing="0"/>
        <w:jc w:val="center"/>
        <w:rPr>
          <w:rFonts w:eastAsia="Calibri"/>
          <w:color w:val="FF0000"/>
          <w:sz w:val="27"/>
          <w:szCs w:val="27"/>
          <w:lang w:val="uk-UA"/>
        </w:rPr>
      </w:pPr>
      <w:r w:rsidRPr="009B4030">
        <w:rPr>
          <w:rFonts w:eastAsia="Calibri"/>
          <w:noProof/>
          <w:color w:val="FF0000"/>
          <w:sz w:val="27"/>
          <w:szCs w:val="27"/>
        </w:rPr>
        <w:drawing>
          <wp:inline distT="0" distB="0" distL="0" distR="0">
            <wp:extent cx="5808134" cy="2929466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581F" w:rsidRPr="009B4030" w:rsidRDefault="0043581F" w:rsidP="004C36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Видатки проведені за наступними </w:t>
      </w:r>
      <w:r w:rsidR="00A25396" w:rsidRPr="009B4030">
        <w:rPr>
          <w:rFonts w:eastAsia="Calibri"/>
          <w:sz w:val="27"/>
          <w:szCs w:val="27"/>
          <w:lang w:val="uk-UA"/>
        </w:rPr>
        <w:t xml:space="preserve">основними </w:t>
      </w:r>
      <w:r w:rsidRPr="009B4030">
        <w:rPr>
          <w:rFonts w:eastAsia="Calibri"/>
          <w:sz w:val="27"/>
          <w:szCs w:val="27"/>
          <w:lang w:val="uk-UA"/>
        </w:rPr>
        <w:t>напрямками:</w:t>
      </w:r>
    </w:p>
    <w:p w:rsidR="004C361C" w:rsidRPr="009B4030" w:rsidRDefault="00AD4014" w:rsidP="0043581F">
      <w:pPr>
        <w:pStyle w:val="justifyfull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>Н</w:t>
      </w:r>
      <w:r w:rsidR="004C361C" w:rsidRPr="009B4030">
        <w:rPr>
          <w:rFonts w:eastAsia="Calibri"/>
          <w:sz w:val="27"/>
          <w:szCs w:val="27"/>
          <w:lang w:val="uk-UA"/>
        </w:rPr>
        <w:t>а реалізацію державних та міських програм соціального захисту витрачено 684,</w:t>
      </w:r>
      <w:r w:rsidRPr="009B4030">
        <w:rPr>
          <w:rFonts w:eastAsia="Calibri"/>
          <w:sz w:val="27"/>
          <w:szCs w:val="27"/>
          <w:lang w:val="uk-UA"/>
        </w:rPr>
        <w:t>2</w:t>
      </w:r>
      <w:r w:rsidR="004C361C"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="004C361C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4C361C" w:rsidRPr="009B4030">
        <w:rPr>
          <w:rFonts w:eastAsia="Calibri"/>
          <w:sz w:val="27"/>
          <w:szCs w:val="27"/>
          <w:lang w:val="uk-UA"/>
        </w:rPr>
        <w:t>. або 98,3% до плану на звітний період, з яких за рахунок відповідних субвенцій з державного бюджету – 636,9 </w:t>
      </w:r>
      <w:proofErr w:type="spellStart"/>
      <w:r w:rsidR="004C361C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4C361C" w:rsidRPr="009B4030">
        <w:rPr>
          <w:rFonts w:eastAsia="Calibri"/>
          <w:sz w:val="27"/>
          <w:szCs w:val="27"/>
          <w:lang w:val="uk-UA"/>
        </w:rPr>
        <w:t>.</w:t>
      </w:r>
    </w:p>
    <w:p w:rsidR="004C361C" w:rsidRPr="009B4030" w:rsidRDefault="004C361C" w:rsidP="004C36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Кошти субвенцій спрямовані на надання допомоги сім’ям з дітьми, малозабезпеченим сім’ям, інвалідам з дитинства, дітям-інвалідам, тимчасової державної допомоги дітям у сумі 314,6 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., надання пільг і субсидій населенню при оплаті електроенергії, природного газу, послуг </w:t>
      </w:r>
      <w:proofErr w:type="spellStart"/>
      <w:r w:rsidRPr="009B4030">
        <w:rPr>
          <w:rFonts w:eastAsia="Calibri"/>
          <w:sz w:val="27"/>
          <w:szCs w:val="27"/>
          <w:lang w:val="uk-UA"/>
        </w:rPr>
        <w:t>тепло-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, водопостачання і водовідведення, квартирної плати, вивезення побутового сміття та рідких нечистот, твердого та рідкого пічного побутового палива і скрапленого газу – 322,3 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</w:t>
      </w:r>
    </w:p>
    <w:p w:rsidR="004C361C" w:rsidRPr="009B4030" w:rsidRDefault="004C361C" w:rsidP="004C36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>За звітний період пільг</w:t>
      </w:r>
      <w:r w:rsidR="00E31654" w:rsidRPr="009B4030">
        <w:rPr>
          <w:rFonts w:eastAsia="Calibri"/>
          <w:sz w:val="27"/>
          <w:szCs w:val="27"/>
          <w:lang w:val="uk-UA"/>
        </w:rPr>
        <w:t>ами</w:t>
      </w:r>
      <w:r w:rsidRPr="009B4030">
        <w:rPr>
          <w:rFonts w:eastAsia="Calibri"/>
          <w:sz w:val="27"/>
          <w:szCs w:val="27"/>
          <w:lang w:val="uk-UA"/>
        </w:rPr>
        <w:t xml:space="preserve"> на житлово-комунальні послуги </w:t>
      </w:r>
      <w:r w:rsidR="00E31654" w:rsidRPr="009B4030">
        <w:rPr>
          <w:rFonts w:eastAsia="Calibri"/>
          <w:sz w:val="27"/>
          <w:szCs w:val="27"/>
          <w:lang w:val="uk-UA"/>
        </w:rPr>
        <w:t xml:space="preserve">охоплено </w:t>
      </w:r>
      <w:r w:rsidR="00234F43" w:rsidRPr="009B4030">
        <w:rPr>
          <w:rFonts w:eastAsia="Calibri"/>
          <w:sz w:val="27"/>
          <w:szCs w:val="27"/>
          <w:lang w:val="uk-UA"/>
        </w:rPr>
        <w:t>56,8</w:t>
      </w:r>
      <w:r w:rsidR="00C73FAF"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тис.чол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проти </w:t>
      </w:r>
      <w:r w:rsidR="00234F43" w:rsidRPr="009B4030">
        <w:rPr>
          <w:rFonts w:eastAsia="Calibri"/>
          <w:sz w:val="27"/>
          <w:szCs w:val="27"/>
          <w:lang w:val="uk-UA"/>
        </w:rPr>
        <w:t>58,4</w:t>
      </w:r>
      <w:r w:rsidRPr="009B4030">
        <w:rPr>
          <w:rFonts w:eastAsia="Calibri"/>
          <w:sz w:val="27"/>
          <w:szCs w:val="27"/>
          <w:lang w:val="uk-UA"/>
        </w:rPr>
        <w:t xml:space="preserve"> </w:t>
      </w:r>
      <w:proofErr w:type="spellStart"/>
      <w:r w:rsidRPr="009B4030">
        <w:rPr>
          <w:rFonts w:eastAsia="Calibri"/>
          <w:sz w:val="27"/>
          <w:szCs w:val="27"/>
          <w:lang w:val="uk-UA"/>
        </w:rPr>
        <w:t>тис.чол</w:t>
      </w:r>
      <w:proofErr w:type="spellEnd"/>
      <w:r w:rsidRPr="009B4030">
        <w:rPr>
          <w:rFonts w:eastAsia="Calibri"/>
          <w:sz w:val="27"/>
          <w:szCs w:val="27"/>
          <w:lang w:val="uk-UA"/>
        </w:rPr>
        <w:t>. у відповідному періоді минулого року. Більш ніж в 4 рази зросла кількість домогосподарств, які отримали житлові субсидії, таким правом скористалос</w:t>
      </w:r>
      <w:r w:rsidR="005B6846" w:rsidRPr="009B4030">
        <w:rPr>
          <w:rFonts w:eastAsia="Calibri"/>
          <w:sz w:val="27"/>
          <w:szCs w:val="27"/>
          <w:lang w:val="uk-UA"/>
        </w:rPr>
        <w:t>ь</w:t>
      </w:r>
      <w:r w:rsidRPr="009B4030">
        <w:rPr>
          <w:rFonts w:eastAsia="Calibri"/>
          <w:sz w:val="27"/>
          <w:szCs w:val="27"/>
          <w:lang w:val="uk-UA"/>
        </w:rPr>
        <w:t xml:space="preserve"> понад </w:t>
      </w:r>
      <w:r w:rsidR="00234F43" w:rsidRPr="009B4030">
        <w:rPr>
          <w:rFonts w:eastAsia="Calibri"/>
          <w:sz w:val="27"/>
          <w:szCs w:val="27"/>
          <w:lang w:val="uk-UA"/>
        </w:rPr>
        <w:t>90</w:t>
      </w:r>
      <w:r w:rsidRPr="009B4030">
        <w:rPr>
          <w:rFonts w:eastAsia="Calibri"/>
          <w:sz w:val="27"/>
          <w:szCs w:val="27"/>
          <w:lang w:val="uk-UA"/>
        </w:rPr>
        <w:t>,</w:t>
      </w:r>
      <w:r w:rsidR="00234F43" w:rsidRPr="009B4030">
        <w:rPr>
          <w:rFonts w:eastAsia="Calibri"/>
          <w:sz w:val="27"/>
          <w:szCs w:val="27"/>
          <w:lang w:val="uk-UA"/>
        </w:rPr>
        <w:t>0</w:t>
      </w:r>
      <w:r w:rsidRPr="009B4030">
        <w:rPr>
          <w:rFonts w:eastAsia="Calibri"/>
          <w:sz w:val="27"/>
          <w:szCs w:val="27"/>
          <w:lang w:val="uk-UA"/>
        </w:rPr>
        <w:t xml:space="preserve"> тис. сімей</w:t>
      </w:r>
      <w:r w:rsidR="00CB5E8B" w:rsidRPr="009B4030">
        <w:rPr>
          <w:rFonts w:eastAsia="Calibri"/>
          <w:sz w:val="27"/>
          <w:szCs w:val="27"/>
          <w:lang w:val="uk-UA"/>
        </w:rPr>
        <w:t>.</w:t>
      </w:r>
    </w:p>
    <w:p w:rsidR="004C361C" w:rsidRPr="009B4030" w:rsidRDefault="004C361C" w:rsidP="004C36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color w:val="FF0000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>В умовах відсутності відповідної субвенції з державного бюджету за рахунок коштів бюджету міста на надання пільг на послуги зв’язку та інших</w:t>
      </w:r>
      <w:r w:rsidR="00E763FA" w:rsidRPr="009B4030">
        <w:rPr>
          <w:rFonts w:eastAsia="Calibri"/>
          <w:sz w:val="27"/>
          <w:szCs w:val="27"/>
          <w:lang w:val="uk-UA"/>
        </w:rPr>
        <w:t>,</w:t>
      </w:r>
      <w:r w:rsidRPr="009B4030">
        <w:rPr>
          <w:rFonts w:eastAsia="Calibri"/>
          <w:sz w:val="27"/>
          <w:szCs w:val="27"/>
          <w:lang w:val="uk-UA"/>
        </w:rPr>
        <w:t xml:space="preserve"> передбачених законодавством пільг профінансовано 3,5</w:t>
      </w:r>
      <w:r w:rsidR="00E763FA"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Цими пільгами скористалось </w:t>
      </w:r>
      <w:r w:rsidR="00EB3AC5" w:rsidRPr="009B4030">
        <w:rPr>
          <w:rFonts w:eastAsia="Calibri"/>
          <w:sz w:val="27"/>
          <w:szCs w:val="27"/>
          <w:lang w:val="uk-UA"/>
        </w:rPr>
        <w:t>14,3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тис.чол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На компенсацію пільгового перевезення окремих категорій громадян </w:t>
      </w:r>
      <w:r w:rsidR="00BF3DD8" w:rsidRPr="009B4030">
        <w:rPr>
          <w:rFonts w:eastAsia="Calibri"/>
          <w:sz w:val="27"/>
          <w:szCs w:val="27"/>
          <w:lang w:val="uk-UA"/>
        </w:rPr>
        <w:t>різними видами транспорту</w:t>
      </w:r>
      <w:r w:rsidRPr="009B4030">
        <w:rPr>
          <w:rFonts w:eastAsia="Calibri"/>
          <w:sz w:val="27"/>
          <w:szCs w:val="27"/>
          <w:lang w:val="uk-UA"/>
        </w:rPr>
        <w:t xml:space="preserve"> використано 28,9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>. Крім того, з метою забезпечення належної та безперебійної роботи ЗКП</w:t>
      </w:r>
      <w:r w:rsidR="005B6846" w:rsidRPr="009B4030">
        <w:rPr>
          <w:rFonts w:eastAsia="Calibri"/>
          <w:sz w:val="27"/>
          <w:szCs w:val="27"/>
          <w:lang w:val="uk-UA"/>
        </w:rPr>
        <w:t> </w:t>
      </w:r>
      <w:r w:rsidRPr="009B4030">
        <w:rPr>
          <w:rFonts w:eastAsia="Calibri"/>
          <w:sz w:val="27"/>
          <w:szCs w:val="27"/>
          <w:lang w:val="uk-UA"/>
        </w:rPr>
        <w:t>МЕТ</w:t>
      </w:r>
      <w:r w:rsidR="005B6846" w:rsidRPr="009B4030">
        <w:rPr>
          <w:rFonts w:eastAsia="Calibri"/>
          <w:sz w:val="27"/>
          <w:szCs w:val="27"/>
          <w:lang w:val="uk-UA"/>
        </w:rPr>
        <w:t xml:space="preserve"> «</w:t>
      </w:r>
      <w:proofErr w:type="spellStart"/>
      <w:r w:rsidRPr="009B4030">
        <w:rPr>
          <w:rFonts w:eastAsia="Calibri"/>
          <w:sz w:val="27"/>
          <w:szCs w:val="27"/>
          <w:lang w:val="uk-UA"/>
        </w:rPr>
        <w:t>Запоріжелектротранс</w:t>
      </w:r>
      <w:proofErr w:type="spellEnd"/>
      <w:r w:rsidR="005B6846" w:rsidRPr="009B4030">
        <w:rPr>
          <w:rFonts w:eastAsia="Calibri"/>
          <w:sz w:val="27"/>
          <w:szCs w:val="27"/>
          <w:lang w:val="uk-UA"/>
        </w:rPr>
        <w:t>»</w:t>
      </w:r>
      <w:r w:rsidRPr="009B4030">
        <w:rPr>
          <w:rFonts w:eastAsia="Calibri"/>
          <w:sz w:val="27"/>
          <w:szCs w:val="27"/>
          <w:lang w:val="uk-UA"/>
        </w:rPr>
        <w:t xml:space="preserve"> надано фінансової підтримки на суму 30,1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>.</w:t>
      </w:r>
    </w:p>
    <w:p w:rsidR="004C361C" w:rsidRPr="009B4030" w:rsidRDefault="004C361C" w:rsidP="004C36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>В рамках реалізації заходів міських цільових програм на соціальний захист населення та підтримку ветеранських організацій міста витрачено 13,3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Виплати грошової компенсації фізичним особам, які надають соціальні послуги громадянам похилого віку, інвалідам, дітям-інвалідам, хворим, які не здатні до </w:t>
      </w:r>
      <w:r w:rsidRPr="009B4030">
        <w:rPr>
          <w:rFonts w:eastAsia="Calibri"/>
          <w:sz w:val="27"/>
          <w:szCs w:val="27"/>
          <w:lang w:val="uk-UA"/>
        </w:rPr>
        <w:lastRenderedPageBreak/>
        <w:t xml:space="preserve">самообслуговування та потребують сторонньої </w:t>
      </w:r>
      <w:r w:rsidR="00CF6A1C" w:rsidRPr="009B4030">
        <w:rPr>
          <w:rFonts w:eastAsia="Calibri"/>
          <w:sz w:val="27"/>
          <w:szCs w:val="27"/>
          <w:lang w:val="uk-UA"/>
        </w:rPr>
        <w:t>допомоги, проведені на суму 1,5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 xml:space="preserve">. </w:t>
      </w:r>
    </w:p>
    <w:p w:rsidR="00F85D75" w:rsidRPr="009B4030" w:rsidRDefault="00E763FA" w:rsidP="001C1C1C">
      <w:pPr>
        <w:pStyle w:val="justifyfull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>Н</w:t>
      </w:r>
      <w:r w:rsidR="00584714" w:rsidRPr="009B4030">
        <w:rPr>
          <w:rFonts w:eastAsia="Calibri"/>
          <w:sz w:val="27"/>
          <w:szCs w:val="27"/>
          <w:lang w:val="uk-UA"/>
        </w:rPr>
        <w:t xml:space="preserve">а </w:t>
      </w:r>
      <w:r w:rsidR="009C480B" w:rsidRPr="009B4030">
        <w:rPr>
          <w:rFonts w:eastAsia="Calibri"/>
          <w:sz w:val="27"/>
          <w:szCs w:val="27"/>
          <w:lang w:val="uk-UA"/>
        </w:rPr>
        <w:t xml:space="preserve">забезпечення функціонування та розвиток установ соціально-культурної сфери </w:t>
      </w:r>
      <w:r w:rsidR="00633931" w:rsidRPr="009B4030">
        <w:rPr>
          <w:rFonts w:eastAsia="Calibri"/>
          <w:sz w:val="27"/>
          <w:szCs w:val="27"/>
          <w:lang w:val="uk-UA"/>
        </w:rPr>
        <w:t>спрямовано</w:t>
      </w:r>
      <w:r w:rsidR="00584714" w:rsidRPr="009B4030">
        <w:rPr>
          <w:rFonts w:eastAsia="Calibri"/>
          <w:sz w:val="27"/>
          <w:szCs w:val="27"/>
          <w:lang w:val="uk-UA"/>
        </w:rPr>
        <w:t xml:space="preserve"> </w:t>
      </w:r>
      <w:r w:rsidR="00637A43" w:rsidRPr="009B4030">
        <w:rPr>
          <w:rFonts w:eastAsia="Calibri"/>
          <w:sz w:val="27"/>
          <w:szCs w:val="27"/>
          <w:lang w:val="uk-UA"/>
        </w:rPr>
        <w:t>1 219,1</w:t>
      </w:r>
      <w:r w:rsidR="00584714"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="00584714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584714" w:rsidRPr="009B4030">
        <w:rPr>
          <w:rFonts w:eastAsia="Calibri"/>
          <w:sz w:val="27"/>
          <w:szCs w:val="27"/>
          <w:lang w:val="uk-UA"/>
        </w:rPr>
        <w:t>.</w:t>
      </w:r>
      <w:r w:rsidR="009C480B" w:rsidRPr="009B4030">
        <w:rPr>
          <w:rFonts w:eastAsia="Calibri"/>
          <w:sz w:val="27"/>
          <w:szCs w:val="27"/>
          <w:lang w:val="uk-UA"/>
        </w:rPr>
        <w:t>,</w:t>
      </w:r>
      <w:r w:rsidR="00584714" w:rsidRPr="009B4030">
        <w:rPr>
          <w:rFonts w:eastAsia="Calibri"/>
          <w:sz w:val="27"/>
          <w:szCs w:val="27"/>
          <w:lang w:val="uk-UA"/>
        </w:rPr>
        <w:t xml:space="preserve"> </w:t>
      </w:r>
      <w:r w:rsidR="009C480B" w:rsidRPr="009B4030">
        <w:rPr>
          <w:rFonts w:eastAsia="Calibri"/>
          <w:sz w:val="27"/>
          <w:szCs w:val="27"/>
          <w:lang w:val="uk-UA"/>
        </w:rPr>
        <w:t>що становить 5</w:t>
      </w:r>
      <w:r w:rsidR="00135EB8" w:rsidRPr="009B4030">
        <w:rPr>
          <w:rFonts w:eastAsia="Calibri"/>
          <w:sz w:val="27"/>
          <w:szCs w:val="27"/>
          <w:lang w:val="uk-UA"/>
        </w:rPr>
        <w:t>0,1</w:t>
      </w:r>
      <w:r w:rsidRPr="009B4030">
        <w:rPr>
          <w:rFonts w:eastAsia="Calibri"/>
          <w:sz w:val="27"/>
          <w:szCs w:val="27"/>
          <w:lang w:val="uk-UA"/>
        </w:rPr>
        <w:t>%</w:t>
      </w:r>
      <w:r w:rsidR="009C480B" w:rsidRPr="009B4030">
        <w:rPr>
          <w:rFonts w:eastAsia="Calibri"/>
          <w:sz w:val="27"/>
          <w:szCs w:val="27"/>
          <w:lang w:val="uk-UA"/>
        </w:rPr>
        <w:t xml:space="preserve"> </w:t>
      </w:r>
      <w:r w:rsidR="00584714" w:rsidRPr="009B4030">
        <w:rPr>
          <w:rFonts w:eastAsia="Calibri"/>
          <w:sz w:val="27"/>
          <w:szCs w:val="27"/>
          <w:lang w:val="uk-UA"/>
        </w:rPr>
        <w:t>загального обсягу витрат</w:t>
      </w:r>
      <w:r w:rsidRPr="009B4030">
        <w:rPr>
          <w:rFonts w:eastAsia="Calibri"/>
          <w:sz w:val="27"/>
          <w:szCs w:val="27"/>
          <w:lang w:val="uk-UA"/>
        </w:rPr>
        <w:t xml:space="preserve"> бюджету міста</w:t>
      </w:r>
      <w:r w:rsidR="009C480B" w:rsidRPr="009B4030">
        <w:rPr>
          <w:rFonts w:eastAsia="Calibri"/>
          <w:sz w:val="27"/>
          <w:szCs w:val="27"/>
          <w:lang w:val="uk-UA"/>
        </w:rPr>
        <w:t xml:space="preserve">, в тому числі на освіту </w:t>
      </w:r>
      <w:r w:rsidR="00135EB8" w:rsidRPr="009B4030">
        <w:rPr>
          <w:rFonts w:eastAsia="Calibri"/>
          <w:sz w:val="27"/>
          <w:szCs w:val="27"/>
          <w:lang w:val="uk-UA"/>
        </w:rPr>
        <w:t>–</w:t>
      </w:r>
      <w:r w:rsidR="009C480B" w:rsidRPr="009B4030">
        <w:rPr>
          <w:rFonts w:eastAsia="Calibri"/>
          <w:sz w:val="27"/>
          <w:szCs w:val="27"/>
          <w:lang w:val="uk-UA"/>
        </w:rPr>
        <w:t xml:space="preserve"> </w:t>
      </w:r>
      <w:r w:rsidR="00135EB8" w:rsidRPr="009B4030">
        <w:rPr>
          <w:rFonts w:eastAsia="Calibri"/>
          <w:sz w:val="27"/>
          <w:szCs w:val="27"/>
          <w:lang w:val="uk-UA"/>
        </w:rPr>
        <w:t>7</w:t>
      </w:r>
      <w:r w:rsidR="004E4FA4" w:rsidRPr="009B4030">
        <w:rPr>
          <w:rFonts w:eastAsia="Calibri"/>
          <w:sz w:val="27"/>
          <w:szCs w:val="27"/>
          <w:lang w:val="uk-UA"/>
        </w:rPr>
        <w:t>29</w:t>
      </w:r>
      <w:r w:rsidR="00135EB8" w:rsidRPr="009B4030">
        <w:rPr>
          <w:rFonts w:eastAsia="Calibri"/>
          <w:sz w:val="27"/>
          <w:szCs w:val="27"/>
          <w:lang w:val="uk-UA"/>
        </w:rPr>
        <w:t>,</w:t>
      </w:r>
      <w:r w:rsidR="004E4FA4" w:rsidRPr="009B4030">
        <w:rPr>
          <w:rFonts w:eastAsia="Calibri"/>
          <w:sz w:val="27"/>
          <w:szCs w:val="27"/>
          <w:lang w:val="uk-UA"/>
        </w:rPr>
        <w:t>7</w:t>
      </w:r>
      <w:r w:rsidR="00317BDE" w:rsidRPr="009B4030">
        <w:rPr>
          <w:rFonts w:eastAsia="Calibri"/>
          <w:sz w:val="27"/>
          <w:szCs w:val="27"/>
          <w:lang w:val="uk-UA"/>
        </w:rPr>
        <w:t xml:space="preserve"> </w:t>
      </w:r>
      <w:proofErr w:type="spellStart"/>
      <w:r w:rsidR="00317BDE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317BDE" w:rsidRPr="009B4030">
        <w:rPr>
          <w:rFonts w:eastAsia="Calibri"/>
          <w:sz w:val="27"/>
          <w:szCs w:val="27"/>
          <w:lang w:val="uk-UA"/>
        </w:rPr>
        <w:t>.</w:t>
      </w:r>
      <w:r w:rsidR="00F320FF" w:rsidRPr="009B4030">
        <w:rPr>
          <w:rFonts w:eastAsia="Calibri"/>
          <w:sz w:val="27"/>
          <w:szCs w:val="27"/>
          <w:lang w:val="uk-UA"/>
        </w:rPr>
        <w:t xml:space="preserve">, </w:t>
      </w:r>
      <w:r w:rsidR="00335DF1" w:rsidRPr="009B4030">
        <w:rPr>
          <w:rFonts w:eastAsia="Calibri"/>
          <w:sz w:val="27"/>
          <w:szCs w:val="27"/>
          <w:lang w:val="uk-UA"/>
        </w:rPr>
        <w:t xml:space="preserve">охорону здоров'я </w:t>
      </w:r>
      <w:r w:rsidR="00135EB8" w:rsidRPr="009B4030">
        <w:rPr>
          <w:rFonts w:eastAsia="Calibri"/>
          <w:sz w:val="27"/>
          <w:szCs w:val="27"/>
          <w:lang w:val="uk-UA"/>
        </w:rPr>
        <w:t>–</w:t>
      </w:r>
      <w:r w:rsidR="00FA51B2" w:rsidRPr="009B4030">
        <w:rPr>
          <w:rFonts w:eastAsia="Calibri"/>
          <w:sz w:val="27"/>
          <w:szCs w:val="27"/>
          <w:lang w:val="uk-UA"/>
        </w:rPr>
        <w:t xml:space="preserve"> </w:t>
      </w:r>
      <w:r w:rsidR="00135EB8" w:rsidRPr="009B4030">
        <w:rPr>
          <w:rFonts w:eastAsia="Calibri"/>
          <w:sz w:val="27"/>
          <w:szCs w:val="27"/>
          <w:lang w:val="uk-UA"/>
        </w:rPr>
        <w:t>389,0</w:t>
      </w:r>
      <w:r w:rsidR="00335DF1" w:rsidRPr="009B4030">
        <w:rPr>
          <w:rFonts w:eastAsia="Calibri"/>
          <w:sz w:val="27"/>
          <w:szCs w:val="27"/>
        </w:rPr>
        <w:t> </w:t>
      </w:r>
      <w:proofErr w:type="spellStart"/>
      <w:r w:rsidR="00335DF1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335DF1" w:rsidRPr="009B4030">
        <w:rPr>
          <w:rFonts w:eastAsia="Calibri"/>
          <w:sz w:val="27"/>
          <w:szCs w:val="27"/>
          <w:lang w:val="uk-UA"/>
        </w:rPr>
        <w:t>.</w:t>
      </w:r>
      <w:r w:rsidR="004B49D3" w:rsidRPr="009B4030">
        <w:rPr>
          <w:rFonts w:eastAsia="Calibri"/>
          <w:sz w:val="27"/>
          <w:szCs w:val="27"/>
          <w:lang w:val="uk-UA"/>
        </w:rPr>
        <w:t>,</w:t>
      </w:r>
      <w:r w:rsidR="0063130B" w:rsidRPr="009B4030">
        <w:rPr>
          <w:rFonts w:eastAsia="Calibri"/>
          <w:sz w:val="27"/>
          <w:szCs w:val="27"/>
          <w:lang w:val="uk-UA"/>
        </w:rPr>
        <w:t xml:space="preserve"> </w:t>
      </w:r>
      <w:r w:rsidR="00BE7599" w:rsidRPr="009B4030">
        <w:rPr>
          <w:rFonts w:eastAsia="Calibri"/>
          <w:sz w:val="27"/>
          <w:szCs w:val="27"/>
          <w:lang w:val="uk-UA"/>
        </w:rPr>
        <w:t>культур</w:t>
      </w:r>
      <w:r w:rsidR="00FA51B2" w:rsidRPr="009B4030">
        <w:rPr>
          <w:rFonts w:eastAsia="Calibri"/>
          <w:sz w:val="27"/>
          <w:szCs w:val="27"/>
          <w:lang w:val="uk-UA"/>
        </w:rPr>
        <w:t>у</w:t>
      </w:r>
      <w:r w:rsidR="00BE7599" w:rsidRPr="009B4030">
        <w:rPr>
          <w:rFonts w:eastAsia="Calibri"/>
          <w:sz w:val="27"/>
          <w:szCs w:val="27"/>
          <w:lang w:val="uk-UA"/>
        </w:rPr>
        <w:t xml:space="preserve"> </w:t>
      </w:r>
      <w:r w:rsidR="00135EB8" w:rsidRPr="009B4030">
        <w:rPr>
          <w:rFonts w:eastAsia="Calibri"/>
          <w:sz w:val="27"/>
          <w:szCs w:val="27"/>
          <w:lang w:val="uk-UA"/>
        </w:rPr>
        <w:t>–</w:t>
      </w:r>
      <w:r w:rsidR="00FA51B2" w:rsidRPr="009B4030">
        <w:rPr>
          <w:rFonts w:eastAsia="Calibri"/>
          <w:sz w:val="27"/>
          <w:szCs w:val="27"/>
          <w:lang w:val="uk-UA"/>
        </w:rPr>
        <w:t xml:space="preserve"> </w:t>
      </w:r>
      <w:r w:rsidR="00135EB8" w:rsidRPr="009B4030">
        <w:rPr>
          <w:rFonts w:eastAsia="Calibri"/>
          <w:sz w:val="27"/>
          <w:szCs w:val="27"/>
          <w:lang w:val="uk-UA"/>
        </w:rPr>
        <w:t>63,2</w:t>
      </w:r>
      <w:r w:rsidR="00BE7599"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="00BE7599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BE7599" w:rsidRPr="009B4030">
        <w:rPr>
          <w:rFonts w:eastAsia="Calibri"/>
          <w:sz w:val="27"/>
          <w:szCs w:val="27"/>
          <w:lang w:val="uk-UA"/>
        </w:rPr>
        <w:t>.</w:t>
      </w:r>
      <w:r w:rsidR="00FA51B2" w:rsidRPr="009B4030">
        <w:rPr>
          <w:rFonts w:eastAsia="Calibri"/>
          <w:sz w:val="27"/>
          <w:szCs w:val="27"/>
          <w:lang w:val="uk-UA"/>
        </w:rPr>
        <w:t>,</w:t>
      </w:r>
      <w:r w:rsidR="00BE7599" w:rsidRPr="009B4030">
        <w:rPr>
          <w:rFonts w:eastAsia="Calibri"/>
          <w:sz w:val="27"/>
          <w:szCs w:val="27"/>
          <w:lang w:val="uk-UA"/>
        </w:rPr>
        <w:t xml:space="preserve"> фізичну культуру і спорт </w:t>
      </w:r>
      <w:r w:rsidR="00135EB8" w:rsidRPr="009B4030">
        <w:rPr>
          <w:rFonts w:eastAsia="Calibri"/>
          <w:sz w:val="27"/>
          <w:szCs w:val="27"/>
          <w:lang w:val="uk-UA"/>
        </w:rPr>
        <w:t>–</w:t>
      </w:r>
      <w:r w:rsidR="00BE7599" w:rsidRPr="009B4030">
        <w:rPr>
          <w:rFonts w:eastAsia="Calibri"/>
          <w:sz w:val="27"/>
          <w:szCs w:val="27"/>
          <w:lang w:val="uk-UA"/>
        </w:rPr>
        <w:t xml:space="preserve"> </w:t>
      </w:r>
      <w:r w:rsidR="00135EB8" w:rsidRPr="009B4030">
        <w:rPr>
          <w:rFonts w:eastAsia="Calibri"/>
          <w:sz w:val="27"/>
          <w:szCs w:val="27"/>
          <w:lang w:val="uk-UA"/>
        </w:rPr>
        <w:t>23,</w:t>
      </w:r>
      <w:r w:rsidR="004E4FA4" w:rsidRPr="009B4030">
        <w:rPr>
          <w:rFonts w:eastAsia="Calibri"/>
          <w:sz w:val="27"/>
          <w:szCs w:val="27"/>
          <w:lang w:val="uk-UA"/>
        </w:rPr>
        <w:t>8</w:t>
      </w:r>
      <w:r w:rsidR="00BE7599"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="00BE7599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BE7599" w:rsidRPr="009B4030">
        <w:rPr>
          <w:rFonts w:eastAsia="Calibri"/>
          <w:sz w:val="27"/>
          <w:szCs w:val="27"/>
          <w:lang w:val="uk-UA"/>
        </w:rPr>
        <w:t xml:space="preserve">., </w:t>
      </w:r>
      <w:r w:rsidRPr="009B4030">
        <w:rPr>
          <w:rFonts w:eastAsia="Calibri"/>
          <w:sz w:val="27"/>
          <w:szCs w:val="27"/>
          <w:lang w:val="uk-UA"/>
        </w:rPr>
        <w:t xml:space="preserve">установи </w:t>
      </w:r>
      <w:r w:rsidR="00637A43" w:rsidRPr="009B4030">
        <w:rPr>
          <w:rFonts w:eastAsia="Calibri"/>
          <w:sz w:val="27"/>
          <w:szCs w:val="27"/>
          <w:lang w:val="uk-UA"/>
        </w:rPr>
        <w:t>соціального захисту – 13,4</w:t>
      </w:r>
      <w:r w:rsidR="00AD4014"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="00AD4014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AD4014" w:rsidRPr="009B4030">
        <w:rPr>
          <w:rFonts w:eastAsia="Calibri"/>
          <w:sz w:val="27"/>
          <w:szCs w:val="27"/>
          <w:lang w:val="uk-UA"/>
        </w:rPr>
        <w:t>.</w:t>
      </w:r>
      <w:r w:rsidR="00F85D75" w:rsidRPr="009B4030">
        <w:rPr>
          <w:rFonts w:eastAsia="Calibri"/>
          <w:sz w:val="27"/>
          <w:szCs w:val="27"/>
          <w:lang w:val="uk-UA"/>
        </w:rPr>
        <w:t xml:space="preserve"> </w:t>
      </w:r>
      <w:r w:rsidR="002A231B" w:rsidRPr="009B4030">
        <w:rPr>
          <w:rFonts w:eastAsia="Calibri"/>
          <w:sz w:val="27"/>
          <w:szCs w:val="27"/>
          <w:lang w:val="uk-UA"/>
        </w:rPr>
        <w:t>Із зазначеного обсягу видатки бюджету розвитку проведені в сумі 28,8 </w:t>
      </w:r>
      <w:proofErr w:type="spellStart"/>
      <w:r w:rsidR="002A231B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2A231B" w:rsidRPr="009B4030">
        <w:rPr>
          <w:rFonts w:eastAsia="Calibri"/>
          <w:sz w:val="27"/>
          <w:szCs w:val="27"/>
          <w:lang w:val="uk-UA"/>
        </w:rPr>
        <w:t>.</w:t>
      </w:r>
      <w:r w:rsidR="00633931" w:rsidRPr="009B4030">
        <w:rPr>
          <w:rFonts w:eastAsia="Calibri"/>
          <w:sz w:val="27"/>
          <w:szCs w:val="27"/>
          <w:lang w:val="uk-UA"/>
        </w:rPr>
        <w:t xml:space="preserve"> та спрямовані на придбання предметів довгострокового користування, реконструкцію і капітальний ремонт будівель та приміщень установ.</w:t>
      </w:r>
    </w:p>
    <w:p w:rsidR="00E44C96" w:rsidRPr="009B4030" w:rsidRDefault="005C3135" w:rsidP="0043581F">
      <w:pPr>
        <w:pStyle w:val="justifyfull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Видатки на житлово-комунальне господарство </w:t>
      </w:r>
      <w:r w:rsidR="00AC7E3F" w:rsidRPr="009B4030">
        <w:rPr>
          <w:rFonts w:eastAsia="Calibri"/>
          <w:sz w:val="27"/>
          <w:szCs w:val="27"/>
          <w:lang w:val="uk-UA"/>
        </w:rPr>
        <w:t>склали</w:t>
      </w:r>
      <w:r w:rsidRPr="009B4030">
        <w:rPr>
          <w:rFonts w:eastAsia="Calibri"/>
          <w:sz w:val="27"/>
          <w:szCs w:val="27"/>
          <w:lang w:val="uk-UA"/>
        </w:rPr>
        <w:t xml:space="preserve"> </w:t>
      </w:r>
      <w:r w:rsidR="004A1C4E" w:rsidRPr="009B4030">
        <w:rPr>
          <w:rFonts w:eastAsia="Calibri"/>
          <w:sz w:val="27"/>
          <w:szCs w:val="27"/>
          <w:lang w:val="uk-UA"/>
        </w:rPr>
        <w:t>259,0</w:t>
      </w:r>
      <w:r w:rsidR="00EC082A"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="00EC082A"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="00EC082A" w:rsidRPr="009B4030">
        <w:rPr>
          <w:rFonts w:eastAsia="Calibri"/>
          <w:sz w:val="27"/>
          <w:szCs w:val="27"/>
          <w:lang w:val="uk-UA"/>
        </w:rPr>
        <w:t>.</w:t>
      </w:r>
      <w:r w:rsidR="00523C3F" w:rsidRPr="009B4030">
        <w:rPr>
          <w:rFonts w:eastAsia="Calibri"/>
          <w:sz w:val="27"/>
          <w:szCs w:val="27"/>
          <w:lang w:val="uk-UA"/>
        </w:rPr>
        <w:t xml:space="preserve">, </w:t>
      </w:r>
      <w:r w:rsidR="00E44C96" w:rsidRPr="009B4030">
        <w:rPr>
          <w:rFonts w:eastAsia="Calibri"/>
          <w:sz w:val="27"/>
          <w:szCs w:val="27"/>
          <w:lang w:val="uk-UA"/>
        </w:rPr>
        <w:t>Кошти спрямовані на реалізацію заходів наступних програм:</w:t>
      </w:r>
    </w:p>
    <w:p w:rsidR="00523C3F" w:rsidRPr="009B4030" w:rsidRDefault="00E44C96" w:rsidP="00E44C96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- </w:t>
      </w:r>
      <w:r w:rsidRPr="009B4030">
        <w:rPr>
          <w:i/>
          <w:sz w:val="27"/>
          <w:szCs w:val="27"/>
          <w:lang w:val="uk-UA"/>
        </w:rPr>
        <w:t>Програма розвитку інфраструктури та комплексного благоустрою міста</w:t>
      </w:r>
      <w:r w:rsidRPr="009B4030">
        <w:rPr>
          <w:sz w:val="27"/>
          <w:szCs w:val="27"/>
          <w:lang w:val="uk-UA"/>
        </w:rPr>
        <w:t xml:space="preserve"> – 87,9 </w:t>
      </w:r>
      <w:proofErr w:type="spellStart"/>
      <w:r w:rsidRPr="009B4030">
        <w:rPr>
          <w:sz w:val="27"/>
          <w:szCs w:val="27"/>
          <w:lang w:val="uk-UA"/>
        </w:rPr>
        <w:t>млн.грн</w:t>
      </w:r>
      <w:proofErr w:type="spellEnd"/>
      <w:r w:rsidRPr="009B4030">
        <w:rPr>
          <w:sz w:val="27"/>
          <w:szCs w:val="27"/>
          <w:lang w:val="uk-UA"/>
        </w:rPr>
        <w:t>.</w:t>
      </w:r>
    </w:p>
    <w:p w:rsidR="004A1C4E" w:rsidRPr="009B4030" w:rsidRDefault="005C3135" w:rsidP="001C1C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val="uk-UA"/>
        </w:rPr>
      </w:pPr>
      <w:r w:rsidRPr="009B4030">
        <w:rPr>
          <w:rFonts w:eastAsia="Calibri"/>
          <w:sz w:val="27"/>
          <w:szCs w:val="27"/>
          <w:lang w:val="uk-UA"/>
        </w:rPr>
        <w:t xml:space="preserve">На </w:t>
      </w:r>
      <w:r w:rsidR="001206EA" w:rsidRPr="009B4030">
        <w:rPr>
          <w:rFonts w:eastAsia="Calibri"/>
          <w:sz w:val="27"/>
          <w:szCs w:val="27"/>
          <w:lang w:val="uk-UA"/>
        </w:rPr>
        <w:t xml:space="preserve">заходи з </w:t>
      </w:r>
      <w:r w:rsidRPr="009B4030">
        <w:rPr>
          <w:rFonts w:eastAsia="Calibri"/>
          <w:sz w:val="27"/>
          <w:szCs w:val="27"/>
          <w:lang w:val="uk-UA"/>
        </w:rPr>
        <w:t>благоустр</w:t>
      </w:r>
      <w:r w:rsidR="001206EA" w:rsidRPr="009B4030">
        <w:rPr>
          <w:rFonts w:eastAsia="Calibri"/>
          <w:sz w:val="27"/>
          <w:szCs w:val="27"/>
          <w:lang w:val="uk-UA"/>
        </w:rPr>
        <w:t>ою</w:t>
      </w:r>
      <w:r w:rsidRPr="009B4030">
        <w:rPr>
          <w:rFonts w:eastAsia="Calibri"/>
          <w:sz w:val="27"/>
          <w:szCs w:val="27"/>
          <w:lang w:val="uk-UA"/>
        </w:rPr>
        <w:t xml:space="preserve"> міста використано </w:t>
      </w:r>
      <w:r w:rsidR="004A1C4E" w:rsidRPr="009B4030">
        <w:rPr>
          <w:rFonts w:eastAsia="Calibri"/>
          <w:sz w:val="27"/>
          <w:szCs w:val="27"/>
          <w:lang w:val="uk-UA"/>
        </w:rPr>
        <w:t>38,2</w:t>
      </w:r>
      <w:r w:rsidRPr="009B4030">
        <w:rPr>
          <w:rFonts w:eastAsia="Calibri"/>
          <w:sz w:val="27"/>
          <w:szCs w:val="27"/>
          <w:lang w:val="uk-UA"/>
        </w:rPr>
        <w:t> </w:t>
      </w:r>
      <w:proofErr w:type="spellStart"/>
      <w:r w:rsidRPr="009B4030">
        <w:rPr>
          <w:rFonts w:eastAsia="Calibri"/>
          <w:sz w:val="27"/>
          <w:szCs w:val="27"/>
          <w:lang w:val="uk-UA"/>
        </w:rPr>
        <w:t>млн.грн</w:t>
      </w:r>
      <w:proofErr w:type="spellEnd"/>
      <w:r w:rsidRPr="009B4030">
        <w:rPr>
          <w:rFonts w:eastAsia="Calibri"/>
          <w:sz w:val="27"/>
          <w:szCs w:val="27"/>
          <w:lang w:val="uk-UA"/>
        </w:rPr>
        <w:t>.</w:t>
      </w:r>
      <w:r w:rsidR="001206EA" w:rsidRPr="009B4030">
        <w:rPr>
          <w:rFonts w:eastAsia="Calibri"/>
          <w:sz w:val="27"/>
          <w:szCs w:val="27"/>
          <w:lang w:val="uk-UA"/>
        </w:rPr>
        <w:t xml:space="preserve"> та </w:t>
      </w:r>
      <w:r w:rsidRPr="009B4030">
        <w:rPr>
          <w:rFonts w:eastAsia="Calibri"/>
          <w:sz w:val="27"/>
          <w:szCs w:val="27"/>
          <w:lang w:val="uk-UA"/>
        </w:rPr>
        <w:t>спрямован</w:t>
      </w:r>
      <w:r w:rsidR="001206EA" w:rsidRPr="009B4030">
        <w:rPr>
          <w:rFonts w:eastAsia="Calibri"/>
          <w:sz w:val="27"/>
          <w:szCs w:val="27"/>
          <w:lang w:val="uk-UA"/>
        </w:rPr>
        <w:t>о</w:t>
      </w:r>
      <w:r w:rsidRPr="009B4030">
        <w:rPr>
          <w:rFonts w:eastAsia="Calibri"/>
          <w:sz w:val="27"/>
          <w:szCs w:val="27"/>
          <w:lang w:val="uk-UA"/>
        </w:rPr>
        <w:t xml:space="preserve"> на </w:t>
      </w:r>
      <w:r w:rsidR="009C45AC" w:rsidRPr="009B4030">
        <w:rPr>
          <w:rFonts w:eastAsia="Calibri"/>
          <w:sz w:val="27"/>
          <w:szCs w:val="27"/>
          <w:lang w:val="uk-UA"/>
        </w:rPr>
        <w:t xml:space="preserve">забезпечення </w:t>
      </w:r>
      <w:r w:rsidRPr="009B4030">
        <w:rPr>
          <w:rFonts w:eastAsia="Calibri"/>
          <w:sz w:val="27"/>
          <w:szCs w:val="27"/>
          <w:lang w:val="uk-UA"/>
        </w:rPr>
        <w:t>зовнішнього освітлення</w:t>
      </w:r>
      <w:r w:rsidR="009C45AC" w:rsidRPr="009B4030">
        <w:rPr>
          <w:rFonts w:eastAsia="Calibri"/>
          <w:sz w:val="27"/>
          <w:szCs w:val="27"/>
          <w:lang w:val="uk-UA"/>
        </w:rPr>
        <w:t xml:space="preserve"> міста</w:t>
      </w:r>
      <w:r w:rsidRPr="009B4030">
        <w:rPr>
          <w:rFonts w:eastAsia="Calibri"/>
          <w:sz w:val="27"/>
          <w:szCs w:val="27"/>
          <w:lang w:val="uk-UA"/>
        </w:rPr>
        <w:t>, догляд за зеленими насадженням</w:t>
      </w:r>
      <w:r w:rsidR="005B6846" w:rsidRPr="009B4030">
        <w:rPr>
          <w:rFonts w:eastAsia="Calibri"/>
          <w:sz w:val="27"/>
          <w:szCs w:val="27"/>
          <w:lang w:val="uk-UA"/>
        </w:rPr>
        <w:t>и</w:t>
      </w:r>
      <w:r w:rsidRPr="009B4030">
        <w:rPr>
          <w:rFonts w:eastAsia="Calibri"/>
          <w:sz w:val="27"/>
          <w:szCs w:val="27"/>
          <w:lang w:val="uk-UA"/>
        </w:rPr>
        <w:t>, поточний ремонт та обслуговування фонтанів, енергопостачання</w:t>
      </w:r>
      <w:r w:rsidR="009C45AC" w:rsidRPr="009B4030">
        <w:rPr>
          <w:rFonts w:eastAsia="Calibri"/>
          <w:sz w:val="27"/>
          <w:szCs w:val="27"/>
          <w:lang w:val="uk-UA"/>
        </w:rPr>
        <w:t xml:space="preserve"> парків</w:t>
      </w:r>
      <w:r w:rsidRPr="009B4030">
        <w:rPr>
          <w:rFonts w:eastAsia="Calibri"/>
          <w:sz w:val="27"/>
          <w:szCs w:val="27"/>
          <w:lang w:val="uk-UA"/>
        </w:rPr>
        <w:t>, засобів регулювання дорожнього руху</w:t>
      </w:r>
      <w:r w:rsidR="009C45AC" w:rsidRPr="009B4030">
        <w:rPr>
          <w:rFonts w:eastAsia="Calibri"/>
          <w:sz w:val="27"/>
          <w:szCs w:val="27"/>
          <w:lang w:val="uk-UA"/>
        </w:rPr>
        <w:t xml:space="preserve"> тощо</w:t>
      </w:r>
      <w:r w:rsidRPr="009B4030">
        <w:rPr>
          <w:rFonts w:eastAsia="Calibri"/>
          <w:sz w:val="27"/>
          <w:szCs w:val="27"/>
          <w:lang w:val="uk-UA"/>
        </w:rPr>
        <w:t>.</w:t>
      </w:r>
      <w:r w:rsidR="00B92AC6" w:rsidRPr="009B4030">
        <w:rPr>
          <w:rFonts w:eastAsia="Calibri"/>
          <w:color w:val="FF0000"/>
          <w:sz w:val="27"/>
          <w:szCs w:val="27"/>
          <w:lang w:val="uk-UA"/>
        </w:rPr>
        <w:t xml:space="preserve"> </w:t>
      </w:r>
    </w:p>
    <w:p w:rsidR="00E44C96" w:rsidRPr="009B4030" w:rsidRDefault="001206EA" w:rsidP="000362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На оплату </w:t>
      </w:r>
      <w:r w:rsidR="009C45AC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робіт, пов’язаних із будівництвом, реконструкцією, ремонтом та утриманням автомобільних доріг з бюджету міста витрачено </w:t>
      </w:r>
      <w:r w:rsidR="00735FC3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43,3</w:t>
      </w:r>
      <w:r w:rsidR="009C45AC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proofErr w:type="spellStart"/>
      <w:r w:rsidR="009C45AC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млн.грн</w:t>
      </w:r>
      <w:proofErr w:type="spellEnd"/>
      <w:r w:rsidR="009C45AC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.</w:t>
      </w:r>
      <w:r w:rsidR="00E44C9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, з яких на утримання і експлуатацію доріг – 20,6 </w:t>
      </w:r>
      <w:proofErr w:type="spellStart"/>
      <w:r w:rsidR="00E44C9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млн.грн</w:t>
      </w:r>
      <w:proofErr w:type="spellEnd"/>
      <w:r w:rsidR="00E44C9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.</w:t>
      </w:r>
      <w:r w:rsidR="00831C3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,</w:t>
      </w:r>
      <w:r w:rsidR="00E44C9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  <w:r w:rsidR="00831C3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будівельні та ремонтні </w:t>
      </w:r>
      <w:r w:rsidR="002A2973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роботи</w:t>
      </w:r>
      <w:r w:rsidR="00E44C9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– 16,7 </w:t>
      </w:r>
      <w:proofErr w:type="spellStart"/>
      <w:r w:rsidR="00E44C9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млн.грн</w:t>
      </w:r>
      <w:proofErr w:type="spellEnd"/>
      <w:r w:rsidR="00E44C9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>.</w:t>
      </w:r>
      <w:r w:rsidR="00735FC3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</w:p>
    <w:p w:rsidR="001F29BB" w:rsidRPr="009B4030" w:rsidRDefault="002A2973" w:rsidP="002A2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B4030">
        <w:rPr>
          <w:rFonts w:ascii="Times New Roman" w:hAnsi="Times New Roman" w:cs="Times New Roman"/>
          <w:sz w:val="27"/>
          <w:szCs w:val="27"/>
          <w:lang w:val="uk-UA"/>
        </w:rPr>
        <w:t>Видатки н</w:t>
      </w:r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а будівництво та реконструкцію об’єктів комунальної інфраструктури 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проведені в сумі </w:t>
      </w:r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6,4 </w:t>
      </w:r>
      <w:proofErr w:type="spellStart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, в тому числі </w:t>
      </w:r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мереж зовнішнього освітлення – 2,1 </w:t>
      </w:r>
      <w:proofErr w:type="spellStart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світлофорних об’єкт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ів - </w:t>
      </w:r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0,6 </w:t>
      </w:r>
      <w:proofErr w:type="spellStart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скверів, парків, майданів та площ міста 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1,1 </w:t>
      </w:r>
      <w:proofErr w:type="spellStart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зливової каналізації, вулиць, тротуарів, </w:t>
      </w:r>
      <w:proofErr w:type="spellStart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>водопропусків</w:t>
      </w:r>
      <w:proofErr w:type="spellEnd"/>
      <w:r w:rsidR="001F29BB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та мостових переходів 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>- 2,5 </w:t>
      </w:r>
      <w:proofErr w:type="spellStart"/>
      <w:r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97065" w:rsidRPr="009B4030" w:rsidRDefault="001F29BB" w:rsidP="00166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Pr="009B4030">
        <w:rPr>
          <w:rFonts w:ascii="Times New Roman" w:hAnsi="Times New Roman" w:cs="Times New Roman"/>
          <w:i/>
          <w:sz w:val="27"/>
          <w:szCs w:val="27"/>
          <w:lang w:val="uk-UA"/>
        </w:rPr>
        <w:t>Програма розвитку житлово-комунального господарства міста</w:t>
      </w:r>
      <w:r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– 170,2 </w:t>
      </w:r>
      <w:proofErr w:type="spellStart"/>
      <w:r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Pr="009B4030">
        <w:rPr>
          <w:rFonts w:ascii="Times New Roman" w:hAnsi="Times New Roman" w:cs="Times New Roman"/>
          <w:sz w:val="27"/>
          <w:szCs w:val="27"/>
          <w:lang w:val="uk-UA"/>
        </w:rPr>
        <w:t>.,</w:t>
      </w:r>
      <w:r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</w:t>
      </w:r>
      <w:r w:rsidR="002A2973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з яких </w:t>
      </w:r>
      <w:r w:rsidR="00E44C96" w:rsidRPr="009B4030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на </w:t>
      </w:r>
      <w:r w:rsidR="00E44C96" w:rsidRPr="009B4030">
        <w:rPr>
          <w:rFonts w:ascii="Times New Roman" w:hAnsi="Times New Roman" w:cs="Times New Roman"/>
          <w:sz w:val="27"/>
          <w:szCs w:val="27"/>
          <w:lang w:val="uk-UA"/>
        </w:rPr>
        <w:t>фінансову підтримку комунальним підприємствам галузі - 113,5 </w:t>
      </w:r>
      <w:proofErr w:type="spellStart"/>
      <w:r w:rsidR="00E44C96"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="00E44C96"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2A2973" w:rsidRPr="009B403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97065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проведення капітального ремонту житлового фонду комунальної власності міста </w:t>
      </w:r>
      <w:r w:rsidR="002A2973" w:rsidRPr="009B4030">
        <w:rPr>
          <w:rFonts w:ascii="Times New Roman" w:hAnsi="Times New Roman" w:cs="Times New Roman"/>
          <w:sz w:val="27"/>
          <w:szCs w:val="27"/>
          <w:lang w:val="uk-UA"/>
        </w:rPr>
        <w:t>та об’єднан</w:t>
      </w:r>
      <w:r w:rsidR="00046BD2" w:rsidRPr="009B4030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="002A2973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співвласників багатоквартирних будинків - </w:t>
      </w:r>
      <w:r w:rsidR="00697065" w:rsidRPr="009B4030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043143" w:rsidRPr="009B4030">
        <w:rPr>
          <w:rFonts w:ascii="Times New Roman" w:hAnsi="Times New Roman" w:cs="Times New Roman"/>
          <w:sz w:val="27"/>
          <w:szCs w:val="27"/>
          <w:lang w:val="uk-UA"/>
        </w:rPr>
        <w:t>8,</w:t>
      </w:r>
      <w:r w:rsidR="00166921" w:rsidRPr="009B4030">
        <w:rPr>
          <w:rFonts w:ascii="Times New Roman" w:hAnsi="Times New Roman" w:cs="Times New Roman"/>
          <w:sz w:val="27"/>
          <w:szCs w:val="27"/>
          <w:lang w:val="uk-UA"/>
        </w:rPr>
        <w:t>0 </w:t>
      </w:r>
      <w:proofErr w:type="spellStart"/>
      <w:r w:rsidR="00166921"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="00166921"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D21C9D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встановлення </w:t>
      </w:r>
      <w:r w:rsidR="00CE6235" w:rsidRPr="009B4030">
        <w:rPr>
          <w:rFonts w:ascii="Times New Roman" w:hAnsi="Times New Roman" w:cs="Times New Roman"/>
          <w:sz w:val="27"/>
          <w:szCs w:val="27"/>
          <w:lang w:val="uk-UA"/>
        </w:rPr>
        <w:t>прилад</w:t>
      </w:r>
      <w:r w:rsidR="00166921" w:rsidRPr="009B4030">
        <w:rPr>
          <w:rFonts w:ascii="Times New Roman" w:hAnsi="Times New Roman" w:cs="Times New Roman"/>
          <w:sz w:val="27"/>
          <w:szCs w:val="27"/>
          <w:lang w:val="uk-UA"/>
        </w:rPr>
        <w:t>ів</w:t>
      </w:r>
      <w:r w:rsidR="00CE6235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1C9D" w:rsidRPr="009B4030">
        <w:rPr>
          <w:rFonts w:ascii="Times New Roman" w:hAnsi="Times New Roman" w:cs="Times New Roman"/>
          <w:sz w:val="27"/>
          <w:szCs w:val="27"/>
          <w:lang w:val="uk-UA"/>
        </w:rPr>
        <w:t>обліку теплової енергії</w:t>
      </w:r>
      <w:r w:rsidR="00CE6235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66921" w:rsidRPr="009B4030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D21C9D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3,0 </w:t>
      </w:r>
      <w:proofErr w:type="spellStart"/>
      <w:r w:rsidR="00D21C9D" w:rsidRPr="009B4030">
        <w:rPr>
          <w:rFonts w:ascii="Times New Roman" w:hAnsi="Times New Roman" w:cs="Times New Roman"/>
          <w:sz w:val="27"/>
          <w:szCs w:val="27"/>
          <w:lang w:val="uk-UA"/>
        </w:rPr>
        <w:t>млн.грн</w:t>
      </w:r>
      <w:proofErr w:type="spellEnd"/>
      <w:r w:rsidR="00D21C9D"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166921" w:rsidRPr="009B403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F1A4B" w:rsidRPr="009B4030">
        <w:rPr>
          <w:sz w:val="27"/>
          <w:szCs w:val="27"/>
          <w:lang w:val="uk-UA"/>
        </w:rPr>
        <w:t xml:space="preserve"> </w:t>
      </w:r>
      <w:r w:rsidR="00697065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проведення реконструкції та будівництва </w:t>
      </w:r>
      <w:r w:rsidR="00421ED3">
        <w:rPr>
          <w:rFonts w:ascii="Times New Roman" w:hAnsi="Times New Roman" w:cs="Times New Roman"/>
          <w:sz w:val="27"/>
          <w:szCs w:val="27"/>
          <w:lang w:val="uk-UA"/>
        </w:rPr>
        <w:t xml:space="preserve">об’єктів </w:t>
      </w:r>
      <w:r w:rsidR="00697065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житлового фонду, водопровідних мереж, каналізаційних колекторів, </w:t>
      </w:r>
      <w:proofErr w:type="spellStart"/>
      <w:r w:rsidR="00697065" w:rsidRPr="009B4030">
        <w:rPr>
          <w:rFonts w:ascii="Times New Roman" w:hAnsi="Times New Roman" w:cs="Times New Roman"/>
          <w:sz w:val="27"/>
          <w:szCs w:val="27"/>
          <w:lang w:val="uk-UA"/>
        </w:rPr>
        <w:t>водопропусків</w:t>
      </w:r>
      <w:proofErr w:type="spellEnd"/>
      <w:r w:rsidR="00697065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та насосних станцій міста </w:t>
      </w:r>
      <w:r w:rsidR="00EB3AC5" w:rsidRPr="009B4030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697065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14</w:t>
      </w:r>
      <w:r w:rsidR="00221290" w:rsidRPr="009B4030">
        <w:rPr>
          <w:rFonts w:ascii="Times New Roman" w:hAnsi="Times New Roman" w:cs="Times New Roman"/>
          <w:sz w:val="27"/>
          <w:szCs w:val="27"/>
          <w:lang w:val="uk-UA"/>
        </w:rPr>
        <w:t>,8 </w:t>
      </w:r>
      <w:proofErr w:type="spellStart"/>
      <w:r w:rsidR="00221290" w:rsidRPr="009B4030">
        <w:rPr>
          <w:rFonts w:ascii="Times New Roman" w:hAnsi="Times New Roman" w:cs="Times New Roman"/>
          <w:sz w:val="27"/>
          <w:szCs w:val="27"/>
          <w:lang w:val="uk-UA"/>
        </w:rPr>
        <w:t>млн</w:t>
      </w:r>
      <w:r w:rsidR="00166921" w:rsidRPr="009B4030">
        <w:rPr>
          <w:rFonts w:ascii="Times New Roman" w:hAnsi="Times New Roman" w:cs="Times New Roman"/>
          <w:sz w:val="27"/>
          <w:szCs w:val="27"/>
          <w:lang w:val="uk-UA"/>
        </w:rPr>
        <w:t>.грн</w:t>
      </w:r>
      <w:proofErr w:type="spellEnd"/>
      <w:r w:rsidR="00166921" w:rsidRPr="009B4030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46BD2" w:rsidRPr="009B4030">
        <w:rPr>
          <w:rFonts w:ascii="Times New Roman" w:hAnsi="Times New Roman" w:cs="Times New Roman"/>
          <w:sz w:val="27"/>
          <w:szCs w:val="27"/>
          <w:lang w:val="uk-UA"/>
        </w:rPr>
        <w:t xml:space="preserve"> тощо.</w:t>
      </w:r>
    </w:p>
    <w:p w:rsidR="0007384B" w:rsidRPr="00774E3C" w:rsidRDefault="00774E3C" w:rsidP="001C1C1C">
      <w:pPr>
        <w:pStyle w:val="21"/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774E3C">
        <w:rPr>
          <w:color w:val="000000"/>
          <w:sz w:val="27"/>
          <w:szCs w:val="27"/>
          <w:shd w:val="clear" w:color="auto" w:fill="FFFFFF"/>
        </w:rPr>
        <w:t xml:space="preserve">Забезпечення високих показників виконання доходної частини </w:t>
      </w:r>
      <w:r w:rsidRPr="00774E3C">
        <w:rPr>
          <w:sz w:val="27"/>
          <w:szCs w:val="27"/>
        </w:rPr>
        <w:t>бюджету міста в результаті з</w:t>
      </w:r>
      <w:r w:rsidR="000D4254" w:rsidRPr="00774E3C">
        <w:rPr>
          <w:sz w:val="27"/>
          <w:szCs w:val="27"/>
        </w:rPr>
        <w:t xml:space="preserve">ростання </w:t>
      </w:r>
      <w:r w:rsidRPr="00774E3C">
        <w:rPr>
          <w:color w:val="000000"/>
          <w:sz w:val="27"/>
          <w:szCs w:val="27"/>
          <w:shd w:val="clear" w:color="auto" w:fill="FFFFFF"/>
        </w:rPr>
        <w:t xml:space="preserve">основних прогнозних </w:t>
      </w:r>
      <w:proofErr w:type="spellStart"/>
      <w:r w:rsidRPr="00774E3C">
        <w:rPr>
          <w:color w:val="000000"/>
          <w:sz w:val="27"/>
          <w:szCs w:val="27"/>
          <w:shd w:val="clear" w:color="auto" w:fill="FFFFFF"/>
        </w:rPr>
        <w:t>макропоказників</w:t>
      </w:r>
      <w:proofErr w:type="spellEnd"/>
      <w:r w:rsidRPr="00774E3C">
        <w:rPr>
          <w:color w:val="000000"/>
          <w:sz w:val="27"/>
          <w:szCs w:val="27"/>
          <w:shd w:val="clear" w:color="auto" w:fill="FFFFFF"/>
        </w:rPr>
        <w:t xml:space="preserve"> економічного і соціального розвитку </w:t>
      </w:r>
      <w:r w:rsidRPr="00774E3C">
        <w:rPr>
          <w:sz w:val="27"/>
          <w:szCs w:val="27"/>
        </w:rPr>
        <w:t xml:space="preserve">дозволили </w:t>
      </w:r>
      <w:r w:rsidR="00736AD1">
        <w:rPr>
          <w:sz w:val="27"/>
          <w:szCs w:val="27"/>
        </w:rPr>
        <w:t xml:space="preserve">уточнити бюджетні показники та </w:t>
      </w:r>
      <w:r w:rsidRPr="00774E3C">
        <w:rPr>
          <w:sz w:val="27"/>
          <w:szCs w:val="27"/>
        </w:rPr>
        <w:t xml:space="preserve">збільшити обсяг видатків на вирішення нагальних потреб </w:t>
      </w:r>
      <w:r w:rsidR="00736AD1">
        <w:rPr>
          <w:sz w:val="27"/>
          <w:szCs w:val="27"/>
        </w:rPr>
        <w:t xml:space="preserve">територіальної громади міста більш ніж на 500,0 </w:t>
      </w:r>
      <w:proofErr w:type="spellStart"/>
      <w:r w:rsidR="00736AD1">
        <w:rPr>
          <w:sz w:val="27"/>
          <w:szCs w:val="27"/>
        </w:rPr>
        <w:t>млн.грн</w:t>
      </w:r>
      <w:proofErr w:type="spellEnd"/>
      <w:r w:rsidR="00736AD1">
        <w:rPr>
          <w:sz w:val="27"/>
          <w:szCs w:val="27"/>
        </w:rPr>
        <w:t>.</w:t>
      </w:r>
    </w:p>
    <w:p w:rsidR="00774E3C" w:rsidRDefault="00774E3C" w:rsidP="001C1C1C">
      <w:pPr>
        <w:pStyle w:val="21"/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736AD1" w:rsidRPr="009B4030" w:rsidRDefault="00736AD1" w:rsidP="001C1C1C">
      <w:pPr>
        <w:pStyle w:val="21"/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707D97" w:rsidRPr="009B4030" w:rsidRDefault="00707D97" w:rsidP="00707D97">
      <w:pPr>
        <w:pStyle w:val="21"/>
        <w:spacing w:after="0" w:line="240" w:lineRule="auto"/>
        <w:contextualSpacing/>
        <w:jc w:val="both"/>
        <w:rPr>
          <w:sz w:val="27"/>
          <w:szCs w:val="27"/>
        </w:rPr>
      </w:pPr>
      <w:r w:rsidRPr="009B4030">
        <w:rPr>
          <w:sz w:val="27"/>
          <w:szCs w:val="27"/>
        </w:rPr>
        <w:t xml:space="preserve">Директор департаменту фінансової </w:t>
      </w:r>
    </w:p>
    <w:p w:rsidR="00707D97" w:rsidRPr="00EC31C0" w:rsidRDefault="00707D97" w:rsidP="00707D97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 w:rsidRPr="009B4030">
        <w:rPr>
          <w:sz w:val="27"/>
          <w:szCs w:val="27"/>
        </w:rPr>
        <w:t>та бюджетної політики міської ради</w:t>
      </w:r>
      <w:r w:rsidRPr="009B4030">
        <w:rPr>
          <w:sz w:val="27"/>
          <w:szCs w:val="27"/>
        </w:rPr>
        <w:tab/>
      </w:r>
      <w:r w:rsidRPr="009B4030">
        <w:rPr>
          <w:sz w:val="27"/>
          <w:szCs w:val="27"/>
        </w:rPr>
        <w:tab/>
      </w:r>
      <w:r w:rsidRPr="009B4030">
        <w:rPr>
          <w:sz w:val="27"/>
          <w:szCs w:val="27"/>
        </w:rPr>
        <w:tab/>
      </w:r>
      <w:r w:rsidRPr="009B4030">
        <w:rPr>
          <w:sz w:val="27"/>
          <w:szCs w:val="27"/>
        </w:rPr>
        <w:tab/>
      </w:r>
      <w:r w:rsidRPr="009B4030">
        <w:rPr>
          <w:sz w:val="27"/>
          <w:szCs w:val="27"/>
        </w:rPr>
        <w:tab/>
        <w:t>О.А.</w:t>
      </w:r>
      <w:proofErr w:type="spellStart"/>
      <w:r w:rsidRPr="009B4030">
        <w:rPr>
          <w:sz w:val="27"/>
          <w:szCs w:val="27"/>
        </w:rPr>
        <w:t>Вагіс</w:t>
      </w:r>
      <w:proofErr w:type="spellEnd"/>
    </w:p>
    <w:sectPr w:rsidR="00707D97" w:rsidRPr="00EC31C0" w:rsidSect="0007384B">
      <w:headerReference w:type="default" r:id="rId12"/>
      <w:pgSz w:w="11906" w:h="16838"/>
      <w:pgMar w:top="851" w:right="56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D1" w:rsidRDefault="00736AD1" w:rsidP="00017EEB">
      <w:pPr>
        <w:spacing w:after="0" w:line="240" w:lineRule="auto"/>
      </w:pPr>
      <w:r>
        <w:separator/>
      </w:r>
    </w:p>
  </w:endnote>
  <w:endnote w:type="continuationSeparator" w:id="1">
    <w:p w:rsidR="00736AD1" w:rsidRDefault="00736AD1" w:rsidP="0001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D1" w:rsidRDefault="00736AD1" w:rsidP="00017EEB">
      <w:pPr>
        <w:spacing w:after="0" w:line="240" w:lineRule="auto"/>
      </w:pPr>
      <w:r>
        <w:separator/>
      </w:r>
    </w:p>
  </w:footnote>
  <w:footnote w:type="continuationSeparator" w:id="1">
    <w:p w:rsidR="00736AD1" w:rsidRDefault="00736AD1" w:rsidP="0001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8971"/>
      <w:docPartObj>
        <w:docPartGallery w:val="Page Numbers (Top of Page)"/>
        <w:docPartUnique/>
      </w:docPartObj>
    </w:sdtPr>
    <w:sdtContent>
      <w:p w:rsidR="00736AD1" w:rsidRDefault="00736AD1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36AD1" w:rsidRDefault="00736A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1E85"/>
    <w:multiLevelType w:val="hybridMultilevel"/>
    <w:tmpl w:val="6584D3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152AF"/>
    <w:multiLevelType w:val="hybridMultilevel"/>
    <w:tmpl w:val="5E009504"/>
    <w:lvl w:ilvl="0" w:tplc="3A30B940">
      <w:start w:val="1"/>
      <w:numFmt w:val="bullet"/>
      <w:lvlText w:val=""/>
      <w:lvlJc w:val="left"/>
      <w:pPr>
        <w:ind w:left="7590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C5A2DB8"/>
    <w:multiLevelType w:val="hybridMultilevel"/>
    <w:tmpl w:val="73A603E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215419"/>
    <w:multiLevelType w:val="hybridMultilevel"/>
    <w:tmpl w:val="C15807C2"/>
    <w:lvl w:ilvl="0" w:tplc="F7AE8CB0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A2"/>
    <w:rsid w:val="000017C8"/>
    <w:rsid w:val="00002375"/>
    <w:rsid w:val="00003400"/>
    <w:rsid w:val="00014EDB"/>
    <w:rsid w:val="00017EEB"/>
    <w:rsid w:val="000361C5"/>
    <w:rsid w:val="0003624C"/>
    <w:rsid w:val="00042F45"/>
    <w:rsid w:val="00043143"/>
    <w:rsid w:val="00046BD2"/>
    <w:rsid w:val="0006467C"/>
    <w:rsid w:val="0007384B"/>
    <w:rsid w:val="0009324B"/>
    <w:rsid w:val="00096453"/>
    <w:rsid w:val="00096C05"/>
    <w:rsid w:val="000A0924"/>
    <w:rsid w:val="000B1670"/>
    <w:rsid w:val="000B46F3"/>
    <w:rsid w:val="000B5A5E"/>
    <w:rsid w:val="000D1277"/>
    <w:rsid w:val="000D4254"/>
    <w:rsid w:val="000D58DD"/>
    <w:rsid w:val="000F0439"/>
    <w:rsid w:val="000F7E8E"/>
    <w:rsid w:val="00104352"/>
    <w:rsid w:val="001075A8"/>
    <w:rsid w:val="00112AB4"/>
    <w:rsid w:val="001206EA"/>
    <w:rsid w:val="00135EB8"/>
    <w:rsid w:val="001406D0"/>
    <w:rsid w:val="00166921"/>
    <w:rsid w:val="00175101"/>
    <w:rsid w:val="001808DD"/>
    <w:rsid w:val="0018380D"/>
    <w:rsid w:val="00184D80"/>
    <w:rsid w:val="00191583"/>
    <w:rsid w:val="001A525D"/>
    <w:rsid w:val="001B0580"/>
    <w:rsid w:val="001B7588"/>
    <w:rsid w:val="001C1C1C"/>
    <w:rsid w:val="001D71A6"/>
    <w:rsid w:val="001E014A"/>
    <w:rsid w:val="001E6265"/>
    <w:rsid w:val="001F29BB"/>
    <w:rsid w:val="001F379C"/>
    <w:rsid w:val="002040F6"/>
    <w:rsid w:val="002113D4"/>
    <w:rsid w:val="002179AA"/>
    <w:rsid w:val="00221290"/>
    <w:rsid w:val="00234F43"/>
    <w:rsid w:val="00243FDC"/>
    <w:rsid w:val="002444DC"/>
    <w:rsid w:val="00260758"/>
    <w:rsid w:val="0026590A"/>
    <w:rsid w:val="00271975"/>
    <w:rsid w:val="00295E6D"/>
    <w:rsid w:val="002A231B"/>
    <w:rsid w:val="002A2973"/>
    <w:rsid w:val="002A48F2"/>
    <w:rsid w:val="002A6AB4"/>
    <w:rsid w:val="002C6F3D"/>
    <w:rsid w:val="002D02BE"/>
    <w:rsid w:val="002F1638"/>
    <w:rsid w:val="0030608A"/>
    <w:rsid w:val="00310B33"/>
    <w:rsid w:val="00313B79"/>
    <w:rsid w:val="00317BDE"/>
    <w:rsid w:val="003260F3"/>
    <w:rsid w:val="00327882"/>
    <w:rsid w:val="00327D28"/>
    <w:rsid w:val="00331F2C"/>
    <w:rsid w:val="00332522"/>
    <w:rsid w:val="00333555"/>
    <w:rsid w:val="00335DF1"/>
    <w:rsid w:val="003401C3"/>
    <w:rsid w:val="00344ADB"/>
    <w:rsid w:val="003507B1"/>
    <w:rsid w:val="00351F6F"/>
    <w:rsid w:val="00366B5F"/>
    <w:rsid w:val="003A1798"/>
    <w:rsid w:val="003A496C"/>
    <w:rsid w:val="003B10AD"/>
    <w:rsid w:val="003B4933"/>
    <w:rsid w:val="003B4ADE"/>
    <w:rsid w:val="003C5444"/>
    <w:rsid w:val="003D2ADE"/>
    <w:rsid w:val="003D73CC"/>
    <w:rsid w:val="003E0839"/>
    <w:rsid w:val="00400A81"/>
    <w:rsid w:val="004024CB"/>
    <w:rsid w:val="00412E56"/>
    <w:rsid w:val="00420D97"/>
    <w:rsid w:val="00421ED3"/>
    <w:rsid w:val="00432062"/>
    <w:rsid w:val="0043581F"/>
    <w:rsid w:val="0044409D"/>
    <w:rsid w:val="00445D64"/>
    <w:rsid w:val="00463C28"/>
    <w:rsid w:val="004764E2"/>
    <w:rsid w:val="00483049"/>
    <w:rsid w:val="0049397E"/>
    <w:rsid w:val="00495327"/>
    <w:rsid w:val="004964E1"/>
    <w:rsid w:val="004975E8"/>
    <w:rsid w:val="004A1C4E"/>
    <w:rsid w:val="004A1EF8"/>
    <w:rsid w:val="004A45C4"/>
    <w:rsid w:val="004A5E6C"/>
    <w:rsid w:val="004B0DA5"/>
    <w:rsid w:val="004B49D3"/>
    <w:rsid w:val="004B6C91"/>
    <w:rsid w:val="004B71DC"/>
    <w:rsid w:val="004C1BC9"/>
    <w:rsid w:val="004C361C"/>
    <w:rsid w:val="004D1534"/>
    <w:rsid w:val="004E4FA4"/>
    <w:rsid w:val="004E559D"/>
    <w:rsid w:val="004F0E35"/>
    <w:rsid w:val="004F1A4B"/>
    <w:rsid w:val="004F322E"/>
    <w:rsid w:val="004F46E2"/>
    <w:rsid w:val="0050335C"/>
    <w:rsid w:val="00517C78"/>
    <w:rsid w:val="00523C3F"/>
    <w:rsid w:val="00535016"/>
    <w:rsid w:val="00553651"/>
    <w:rsid w:val="0056204F"/>
    <w:rsid w:val="005714AF"/>
    <w:rsid w:val="00584714"/>
    <w:rsid w:val="00594F12"/>
    <w:rsid w:val="005A0390"/>
    <w:rsid w:val="005A50C5"/>
    <w:rsid w:val="005B6846"/>
    <w:rsid w:val="005C3135"/>
    <w:rsid w:val="005C78DD"/>
    <w:rsid w:val="005E25F2"/>
    <w:rsid w:val="00615A6C"/>
    <w:rsid w:val="0063130B"/>
    <w:rsid w:val="00633931"/>
    <w:rsid w:val="00637A43"/>
    <w:rsid w:val="00664918"/>
    <w:rsid w:val="00673D16"/>
    <w:rsid w:val="006932E8"/>
    <w:rsid w:val="006935D1"/>
    <w:rsid w:val="00694461"/>
    <w:rsid w:val="00697065"/>
    <w:rsid w:val="006A2702"/>
    <w:rsid w:val="006B1D76"/>
    <w:rsid w:val="006B5D9E"/>
    <w:rsid w:val="006B6594"/>
    <w:rsid w:val="006C7902"/>
    <w:rsid w:val="006D1897"/>
    <w:rsid w:val="006D5BFD"/>
    <w:rsid w:val="00701052"/>
    <w:rsid w:val="007079ED"/>
    <w:rsid w:val="00707D97"/>
    <w:rsid w:val="00713158"/>
    <w:rsid w:val="00716F78"/>
    <w:rsid w:val="0073154E"/>
    <w:rsid w:val="00735FC3"/>
    <w:rsid w:val="00736AD1"/>
    <w:rsid w:val="00741684"/>
    <w:rsid w:val="00745707"/>
    <w:rsid w:val="00756F7D"/>
    <w:rsid w:val="007648A9"/>
    <w:rsid w:val="007738CB"/>
    <w:rsid w:val="00774328"/>
    <w:rsid w:val="00774E3C"/>
    <w:rsid w:val="00776B97"/>
    <w:rsid w:val="00791227"/>
    <w:rsid w:val="00794AC0"/>
    <w:rsid w:val="00796605"/>
    <w:rsid w:val="007A5C0A"/>
    <w:rsid w:val="007A6F55"/>
    <w:rsid w:val="007D2FEA"/>
    <w:rsid w:val="007D6E28"/>
    <w:rsid w:val="007F75B9"/>
    <w:rsid w:val="0081168A"/>
    <w:rsid w:val="00812D42"/>
    <w:rsid w:val="00831C36"/>
    <w:rsid w:val="008329AD"/>
    <w:rsid w:val="008579EB"/>
    <w:rsid w:val="00881C73"/>
    <w:rsid w:val="008A52A2"/>
    <w:rsid w:val="008D029C"/>
    <w:rsid w:val="008F2855"/>
    <w:rsid w:val="008F63CF"/>
    <w:rsid w:val="009031D8"/>
    <w:rsid w:val="009106FD"/>
    <w:rsid w:val="00926BF6"/>
    <w:rsid w:val="009322E0"/>
    <w:rsid w:val="00941206"/>
    <w:rsid w:val="00944605"/>
    <w:rsid w:val="00946CD6"/>
    <w:rsid w:val="00953293"/>
    <w:rsid w:val="00971339"/>
    <w:rsid w:val="00974D4B"/>
    <w:rsid w:val="00980EC5"/>
    <w:rsid w:val="009A0096"/>
    <w:rsid w:val="009A3A71"/>
    <w:rsid w:val="009B0933"/>
    <w:rsid w:val="009B2A73"/>
    <w:rsid w:val="009B4030"/>
    <w:rsid w:val="009B6A9E"/>
    <w:rsid w:val="009B7FA2"/>
    <w:rsid w:val="009C45AC"/>
    <w:rsid w:val="009C480B"/>
    <w:rsid w:val="009E092A"/>
    <w:rsid w:val="009E63B6"/>
    <w:rsid w:val="009F7832"/>
    <w:rsid w:val="00A06608"/>
    <w:rsid w:val="00A07573"/>
    <w:rsid w:val="00A16252"/>
    <w:rsid w:val="00A20525"/>
    <w:rsid w:val="00A25396"/>
    <w:rsid w:val="00A46E0E"/>
    <w:rsid w:val="00A50D40"/>
    <w:rsid w:val="00A53E28"/>
    <w:rsid w:val="00A624E0"/>
    <w:rsid w:val="00A63915"/>
    <w:rsid w:val="00A72D00"/>
    <w:rsid w:val="00A8756D"/>
    <w:rsid w:val="00AC0CC0"/>
    <w:rsid w:val="00AC113A"/>
    <w:rsid w:val="00AC2057"/>
    <w:rsid w:val="00AC7C50"/>
    <w:rsid w:val="00AC7E3F"/>
    <w:rsid w:val="00AD097F"/>
    <w:rsid w:val="00AD32EF"/>
    <w:rsid w:val="00AD4014"/>
    <w:rsid w:val="00AD4FAD"/>
    <w:rsid w:val="00AE1B64"/>
    <w:rsid w:val="00AE217C"/>
    <w:rsid w:val="00AE331F"/>
    <w:rsid w:val="00AF5B9B"/>
    <w:rsid w:val="00B10181"/>
    <w:rsid w:val="00B20E18"/>
    <w:rsid w:val="00B232C0"/>
    <w:rsid w:val="00B25F1D"/>
    <w:rsid w:val="00B44FA7"/>
    <w:rsid w:val="00B61E79"/>
    <w:rsid w:val="00B737C7"/>
    <w:rsid w:val="00B80AB7"/>
    <w:rsid w:val="00B80E9C"/>
    <w:rsid w:val="00B92AC6"/>
    <w:rsid w:val="00BA14F9"/>
    <w:rsid w:val="00BA4847"/>
    <w:rsid w:val="00BB2A16"/>
    <w:rsid w:val="00BC18EC"/>
    <w:rsid w:val="00BC7B37"/>
    <w:rsid w:val="00BD1F86"/>
    <w:rsid w:val="00BE7599"/>
    <w:rsid w:val="00BF3DD8"/>
    <w:rsid w:val="00C156AD"/>
    <w:rsid w:val="00C2062F"/>
    <w:rsid w:val="00C35428"/>
    <w:rsid w:val="00C41945"/>
    <w:rsid w:val="00C53EC6"/>
    <w:rsid w:val="00C73FAF"/>
    <w:rsid w:val="00C90D41"/>
    <w:rsid w:val="00CA7437"/>
    <w:rsid w:val="00CB5E8B"/>
    <w:rsid w:val="00CC16D9"/>
    <w:rsid w:val="00CC5FFA"/>
    <w:rsid w:val="00CD6B7D"/>
    <w:rsid w:val="00CE6235"/>
    <w:rsid w:val="00CF461B"/>
    <w:rsid w:val="00CF6A1C"/>
    <w:rsid w:val="00D206B2"/>
    <w:rsid w:val="00D21C9D"/>
    <w:rsid w:val="00D2270D"/>
    <w:rsid w:val="00D65F9B"/>
    <w:rsid w:val="00D73030"/>
    <w:rsid w:val="00D805F7"/>
    <w:rsid w:val="00D8108A"/>
    <w:rsid w:val="00D824CB"/>
    <w:rsid w:val="00D828EB"/>
    <w:rsid w:val="00D8533A"/>
    <w:rsid w:val="00D863DD"/>
    <w:rsid w:val="00D91997"/>
    <w:rsid w:val="00D94ECC"/>
    <w:rsid w:val="00DA1C66"/>
    <w:rsid w:val="00DA712B"/>
    <w:rsid w:val="00DB64F1"/>
    <w:rsid w:val="00DC748B"/>
    <w:rsid w:val="00DD435A"/>
    <w:rsid w:val="00DF2228"/>
    <w:rsid w:val="00DF4705"/>
    <w:rsid w:val="00DF7052"/>
    <w:rsid w:val="00E03EE6"/>
    <w:rsid w:val="00E10FEB"/>
    <w:rsid w:val="00E1355F"/>
    <w:rsid w:val="00E16C8B"/>
    <w:rsid w:val="00E31654"/>
    <w:rsid w:val="00E44C96"/>
    <w:rsid w:val="00E4603C"/>
    <w:rsid w:val="00E531F3"/>
    <w:rsid w:val="00E53A2C"/>
    <w:rsid w:val="00E56A8D"/>
    <w:rsid w:val="00E633BB"/>
    <w:rsid w:val="00E67DC6"/>
    <w:rsid w:val="00E74AF6"/>
    <w:rsid w:val="00E763FA"/>
    <w:rsid w:val="00EA000B"/>
    <w:rsid w:val="00EB1698"/>
    <w:rsid w:val="00EB2730"/>
    <w:rsid w:val="00EB3AC5"/>
    <w:rsid w:val="00EB7FF2"/>
    <w:rsid w:val="00EC082A"/>
    <w:rsid w:val="00EC31C0"/>
    <w:rsid w:val="00EC569E"/>
    <w:rsid w:val="00ED5E8E"/>
    <w:rsid w:val="00EF3F5C"/>
    <w:rsid w:val="00F006F4"/>
    <w:rsid w:val="00F01D79"/>
    <w:rsid w:val="00F03F13"/>
    <w:rsid w:val="00F1295C"/>
    <w:rsid w:val="00F13563"/>
    <w:rsid w:val="00F14543"/>
    <w:rsid w:val="00F2416F"/>
    <w:rsid w:val="00F30A55"/>
    <w:rsid w:val="00F320FF"/>
    <w:rsid w:val="00F42842"/>
    <w:rsid w:val="00F50E52"/>
    <w:rsid w:val="00F52056"/>
    <w:rsid w:val="00F572AC"/>
    <w:rsid w:val="00F7310D"/>
    <w:rsid w:val="00F77A9E"/>
    <w:rsid w:val="00F8346A"/>
    <w:rsid w:val="00F85D75"/>
    <w:rsid w:val="00F90747"/>
    <w:rsid w:val="00F94F67"/>
    <w:rsid w:val="00F97E0B"/>
    <w:rsid w:val="00FA1E42"/>
    <w:rsid w:val="00FA237A"/>
    <w:rsid w:val="00FA51B2"/>
    <w:rsid w:val="00FD1425"/>
    <w:rsid w:val="00FD391D"/>
    <w:rsid w:val="00FD6BF7"/>
    <w:rsid w:val="00FD7808"/>
    <w:rsid w:val="00F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A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ED"/>
    <w:rPr>
      <w:rFonts w:ascii="Tahoma" w:hAnsi="Tahoma" w:cs="Tahoma"/>
      <w:sz w:val="16"/>
      <w:szCs w:val="16"/>
      <w:lang w:val="en-US"/>
    </w:rPr>
  </w:style>
  <w:style w:type="paragraph" w:customStyle="1" w:styleId="a5">
    <w:name w:val="Заголовок"/>
    <w:basedOn w:val="a"/>
    <w:next w:val="a6"/>
    <w:uiPriority w:val="99"/>
    <w:rsid w:val="000023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6">
    <w:name w:val="Body Text"/>
    <w:basedOn w:val="a"/>
    <w:link w:val="a7"/>
    <w:uiPriority w:val="99"/>
    <w:semiHidden/>
    <w:unhideWhenUsed/>
    <w:rsid w:val="000023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2375"/>
    <w:rPr>
      <w:lang w:val="en-US"/>
    </w:rPr>
  </w:style>
  <w:style w:type="paragraph" w:styleId="2">
    <w:name w:val="Body Text Indent 2"/>
    <w:basedOn w:val="a"/>
    <w:link w:val="20"/>
    <w:uiPriority w:val="99"/>
    <w:semiHidden/>
    <w:rsid w:val="00335D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5D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79660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741684"/>
    <w:pPr>
      <w:ind w:left="720"/>
      <w:contextualSpacing/>
    </w:pPr>
    <w:rPr>
      <w:lang w:val="ru-RU"/>
    </w:rPr>
  </w:style>
  <w:style w:type="paragraph" w:styleId="a9">
    <w:name w:val="header"/>
    <w:basedOn w:val="a"/>
    <w:link w:val="aa"/>
    <w:uiPriority w:val="99"/>
    <w:unhideWhenUsed/>
    <w:rsid w:val="0001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7EEB"/>
    <w:rPr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01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7EE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h3\&#1075;&#1072;&#1083;&#1080;&#1085;&#1072;\&#1044;&#1110;&#1072;&#1075;&#1088;&#1072;&#1084;&#1080;\2016\&#1044;&#1110;&#1072;&#1075;&#1088;&#1072;&#1084;&#1080;%201%20&#1087;&#1110;&#1074;&#1088;&#1110;&#1095;&#1095;&#1103;%2020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oh3\&#1075;&#1072;&#1083;&#1080;&#1085;&#1072;\&#1044;&#1110;&#1072;&#1075;&#1088;&#1072;&#1084;&#1080;\2016\&#1044;&#1110;&#1072;&#1075;&#1088;&#1072;&#1084;&#1080;%201%20&#1087;&#1110;&#1074;&#1088;&#1110;&#1095;&#1095;&#1103;%202016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s\MANAGER\BUDZHET\2016\&#1044;&#1086;&#1074;&#1110;&#1076;&#1082;&#1080;%20&#1087;&#1088;&#1086;%20&#1074;&#1080;&#1082;&#1086;&#1085;&#1072;&#1085;&#1085;&#1103;\&#1030;%20&#1087;&#1110;&#1074;&#1088;&#1110;&#1095;&#1095;&#1103;%202016\&#1044;&#1110;&#1072;&#1075;&#1088;&#1072;&#1084;&#1080;%20&#1079;&#1072;%201%20&#1087;&#1110;&#1074;&#1088;&#1110;&#1095;&#1095;&#1103;%20(&#1091;&#1090;&#1086;&#1095;&#1085;)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fs\MANAGER\BUDZHET\2016\&#1044;&#1086;&#1074;&#1110;&#1076;&#1082;&#1080;%20&#1087;&#1088;&#1086;%20&#1074;&#1080;&#1082;&#1086;&#1085;&#1072;&#1085;&#1085;&#1103;\&#1030;%20&#1087;&#1110;&#1074;&#1088;&#1110;&#1095;&#1095;&#1103;%202016\&#1044;&#1110;&#1072;&#1075;&#1088;&#1072;&#1084;&#1080;%20&#1079;&#1072;%201%20&#1087;&#1110;&#1074;&#1088;&#1110;&#1095;&#1095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Структура доходів бюджету м.Запоріжжя за І півріччя 2016 року</a:t>
            </a:r>
          </a:p>
        </c:rich>
      </c:tx>
      <c:layout>
        <c:manualLayout>
          <c:xMode val="edge"/>
          <c:yMode val="edge"/>
          <c:x val="9.5128774402323993E-2"/>
          <c:y val="1.4230113666070625E-2"/>
        </c:manualLayout>
      </c:layout>
      <c:spPr>
        <a:noFill/>
        <a:ln w="25400">
          <a:noFill/>
        </a:ln>
      </c:spPr>
    </c:title>
    <c:view3D>
      <c:rotX val="30"/>
      <c:rotY val="260"/>
      <c:perspective val="0"/>
    </c:view3D>
    <c:plotArea>
      <c:layout>
        <c:manualLayout>
          <c:layoutTarget val="inner"/>
          <c:xMode val="edge"/>
          <c:yMode val="edge"/>
          <c:x val="0"/>
          <c:y val="0.19403743693715014"/>
          <c:w val="0.95090138685462799"/>
          <c:h val="0.70082795039841783"/>
        </c:manualLayout>
      </c:layout>
      <c:pie3DChart>
        <c:varyColors val="1"/>
        <c:ser>
          <c:idx val="0"/>
          <c:order val="0"/>
          <c:tx>
            <c:strRef>
              <c:f>'структура бюджета за 1 кв 16'!$C$3</c:f>
              <c:strCache>
                <c:ptCount val="1"/>
                <c:pt idx="0">
                  <c:v>Факт за 1 півріччя 2016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explosion val="38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623317921906283"/>
                  <c:y val="5.5655617898062192E-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0.20935433820287191"/>
                  <c:y val="-5.3892215568862332E-2"/>
                </c:manualLayout>
              </c:layout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3.8746694851137277E-2"/>
                  <c:y val="-2.3546607572257131E-2"/>
                </c:manualLayout>
              </c:layout>
              <c:dLblPos val="bestFit"/>
              <c:showCatName val="1"/>
              <c:showPercent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CatName val="1"/>
            <c:showPercent val="1"/>
            <c:showLeaderLines val="1"/>
          </c:dLbls>
          <c:cat>
            <c:strRef>
              <c:f>'структура бюджета за 1 кв 16'!$B$4:$B$6</c:f>
              <c:strCache>
                <c:ptCount val="3"/>
                <c:pt idx="0">
                  <c:v>Загальний фонд</c:v>
                </c:pt>
                <c:pt idx="1">
                  <c:v>Трансферти</c:v>
                </c:pt>
                <c:pt idx="2">
                  <c:v>Спеціальний фонд</c:v>
                </c:pt>
              </c:strCache>
            </c:strRef>
          </c:cat>
          <c:val>
            <c:numRef>
              <c:f>'структура бюджета за 1 кв 16'!$C$4:$C$6</c:f>
              <c:numCache>
                <c:formatCode>#,##0.0</c:formatCode>
                <c:ptCount val="3"/>
                <c:pt idx="0">
                  <c:v>1546.6</c:v>
                </c:pt>
                <c:pt idx="1">
                  <c:v>1169.4000000000001</c:v>
                </c:pt>
                <c:pt idx="2">
                  <c:v>98.6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30"/>
      <c:depthPercent val="100"/>
      <c:rAngAx val="1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78513549755686E-2"/>
          <c:y val="0.24691734388816522"/>
          <c:w val="0.7546747184730549"/>
          <c:h val="0.53184270069689565"/>
        </c:manualLayout>
      </c:layout>
      <c:bar3DChart>
        <c:barDir val="col"/>
        <c:grouping val="clustered"/>
        <c:ser>
          <c:idx val="0"/>
          <c:order val="0"/>
          <c:tx>
            <c:strRef>
              <c:f>'Виконання ЗФ за І пів 2016 '!$C$3</c:f>
              <c:strCache>
                <c:ptCount val="1"/>
                <c:pt idx="0">
                  <c:v>Факт на 01.07.2015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-9.1848450057405284E-3"/>
                  <c:y val="-4.1856441889381745E-17"/>
                </c:manualLayout>
              </c:layout>
              <c:showVal val="1"/>
            </c:dLbl>
            <c:dLbl>
              <c:idx val="2"/>
              <c:layout>
                <c:manualLayout>
                  <c:x val="-6.123230003827081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5924225028702694E-3"/>
                  <c:y val="-2.2831050228310701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Arial Narrow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'Виконання ЗФ за І пів 2016 '!$B$4:$B$8</c:f>
              <c:strCache>
                <c:ptCount val="5"/>
                <c:pt idx="0">
                  <c:v>Податок на доходи фізичних осіб</c:v>
                </c:pt>
                <c:pt idx="1">
                  <c:v>Акцизний податок</c:v>
                </c:pt>
                <c:pt idx="2">
                  <c:v>Податок на майно (в частині плати за землю)</c:v>
                </c:pt>
                <c:pt idx="3">
                  <c:v>Єдиний податок</c:v>
                </c:pt>
                <c:pt idx="4">
                  <c:v>Інші</c:v>
                </c:pt>
              </c:strCache>
            </c:strRef>
          </c:cat>
          <c:val>
            <c:numRef>
              <c:f>'Виконання ЗФ за І пів 2016 '!$C$4:$C$8</c:f>
              <c:numCache>
                <c:formatCode>#,##0.0</c:formatCode>
                <c:ptCount val="5"/>
                <c:pt idx="0">
                  <c:v>580.22500000000002</c:v>
                </c:pt>
                <c:pt idx="1">
                  <c:v>79.304000000000002</c:v>
                </c:pt>
                <c:pt idx="2">
                  <c:v>216.49800000000027</c:v>
                </c:pt>
                <c:pt idx="3">
                  <c:v>87.516999999999996</c:v>
                </c:pt>
                <c:pt idx="4">
                  <c:v>49.343000000000004</c:v>
                </c:pt>
              </c:numCache>
            </c:numRef>
          </c:val>
        </c:ser>
        <c:ser>
          <c:idx val="1"/>
          <c:order val="1"/>
          <c:tx>
            <c:strRef>
              <c:f>'Виконання ЗФ за І пів 2016 '!$D$3</c:f>
              <c:strCache>
                <c:ptCount val="1"/>
                <c:pt idx="0">
                  <c:v>План на 01.07.2016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-8.3004772774435149E-3"/>
                  <c:y val="1.0695187165775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8493150684931729E-3"/>
                </c:manualLayout>
              </c:layout>
              <c:showVal val="1"/>
            </c:dLbl>
            <c:dLbl>
              <c:idx val="4"/>
              <c:layout>
                <c:manualLayout>
                  <c:x val="1.2348593902417123E-2"/>
                  <c:y val="-2.2830434965682772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Arial Narrow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'Виконання ЗФ за І пів 2016 '!$B$4:$B$8</c:f>
              <c:strCache>
                <c:ptCount val="5"/>
                <c:pt idx="0">
                  <c:v>Податок на доходи фізичних осіб</c:v>
                </c:pt>
                <c:pt idx="1">
                  <c:v>Акцизний податок</c:v>
                </c:pt>
                <c:pt idx="2">
                  <c:v>Податок на майно (в частині плати за землю)</c:v>
                </c:pt>
                <c:pt idx="3">
                  <c:v>Єдиний податок</c:v>
                </c:pt>
                <c:pt idx="4">
                  <c:v>Інші</c:v>
                </c:pt>
              </c:strCache>
            </c:strRef>
          </c:cat>
          <c:val>
            <c:numRef>
              <c:f>'Виконання ЗФ за І пів 2016 '!$D$4:$D$8</c:f>
              <c:numCache>
                <c:formatCode>0.0</c:formatCode>
                <c:ptCount val="5"/>
                <c:pt idx="0" formatCode="General">
                  <c:v>847.5</c:v>
                </c:pt>
                <c:pt idx="1">
                  <c:v>116</c:v>
                </c:pt>
                <c:pt idx="2">
                  <c:v>365.77499999999969</c:v>
                </c:pt>
                <c:pt idx="3">
                  <c:v>139.47</c:v>
                </c:pt>
                <c:pt idx="4">
                  <c:v>63.373000000000005</c:v>
                </c:pt>
              </c:numCache>
            </c:numRef>
          </c:val>
        </c:ser>
        <c:ser>
          <c:idx val="2"/>
          <c:order val="2"/>
          <c:tx>
            <c:strRef>
              <c:f>'Виконання ЗФ за І пів 2016 '!$E$3</c:f>
              <c:strCache>
                <c:ptCount val="1"/>
                <c:pt idx="0">
                  <c:v>Факт на 01.07.2016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1.8369690011481084E-2"/>
                  <c:y val="-6.8493150684931729E-3"/>
                </c:manualLayout>
              </c:layout>
              <c:showVal val="1"/>
            </c:dLbl>
            <c:dLbl>
              <c:idx val="1"/>
              <c:layout>
                <c:manualLayout>
                  <c:x val="1.9560368815695207E-2"/>
                  <c:y val="-1.1415778909989203E-2"/>
                </c:manualLayout>
              </c:layout>
              <c:showVal val="1"/>
            </c:dLbl>
            <c:dLbl>
              <c:idx val="2"/>
              <c:layout>
                <c:manualLayout>
                  <c:x val="2.0546949166112483E-2"/>
                  <c:y val="-4.5660869931365535E-3"/>
                </c:manualLayout>
              </c:layout>
              <c:showVal val="1"/>
            </c:dLbl>
            <c:dLbl>
              <c:idx val="3"/>
              <c:layout>
                <c:manualLayout>
                  <c:x val="1.8573788465277723E-2"/>
                  <c:y val="-2.2830434965682772E-3"/>
                </c:manualLayout>
              </c:layout>
              <c:showVal val="1"/>
            </c:dLbl>
            <c:dLbl>
              <c:idx val="4"/>
              <c:layout>
                <c:manualLayout>
                  <c:x val="2.2622068485473552E-2"/>
                  <c:y val="-3.5650623885918088E-3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Arial Narrow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'Виконання ЗФ за І пів 2016 '!$B$4:$B$8</c:f>
              <c:strCache>
                <c:ptCount val="5"/>
                <c:pt idx="0">
                  <c:v>Податок на доходи фізичних осіб</c:v>
                </c:pt>
                <c:pt idx="1">
                  <c:v>Акцизний податок</c:v>
                </c:pt>
                <c:pt idx="2">
                  <c:v>Податок на майно (в частині плати за землю)</c:v>
                </c:pt>
                <c:pt idx="3">
                  <c:v>Єдиний податок</c:v>
                </c:pt>
                <c:pt idx="4">
                  <c:v>Інші</c:v>
                </c:pt>
              </c:strCache>
            </c:strRef>
          </c:cat>
          <c:val>
            <c:numRef>
              <c:f>'Виконання ЗФ за І пів 2016 '!$E$4:$E$8</c:f>
              <c:numCache>
                <c:formatCode>0.0</c:formatCode>
                <c:ptCount val="5"/>
                <c:pt idx="0">
                  <c:v>859.99</c:v>
                </c:pt>
                <c:pt idx="1">
                  <c:v>116.06399999999999</c:v>
                </c:pt>
                <c:pt idx="2">
                  <c:v>366.69600000000003</c:v>
                </c:pt>
                <c:pt idx="3">
                  <c:v>139.929</c:v>
                </c:pt>
                <c:pt idx="4">
                  <c:v>63.975000000000001</c:v>
                </c:pt>
              </c:numCache>
            </c:numRef>
          </c:val>
        </c:ser>
        <c:dLbls>
          <c:showVal val="1"/>
        </c:dLbls>
        <c:shape val="box"/>
        <c:axId val="96303744"/>
        <c:axId val="96330112"/>
        <c:axId val="0"/>
      </c:bar3DChart>
      <c:catAx>
        <c:axId val="963037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>
                <a:latin typeface="Arial Narrow" pitchFamily="34" charset="0"/>
                <a:cs typeface="Times New Roman" pitchFamily="18" charset="0"/>
              </a:defRPr>
            </a:pPr>
            <a:endParaRPr lang="ru-RU"/>
          </a:p>
        </c:txPr>
        <c:crossAx val="96330112"/>
        <c:crosses val="autoZero"/>
        <c:auto val="1"/>
        <c:lblAlgn val="ctr"/>
        <c:lblOffset val="100"/>
      </c:catAx>
      <c:valAx>
        <c:axId val="96330112"/>
        <c:scaling>
          <c:orientation val="minMax"/>
        </c:scaling>
        <c:axPos val="l"/>
        <c:majorGridlines>
          <c:spPr>
            <a:ln w="3175"/>
          </c:spPr>
        </c:majorGridlines>
        <c:numFmt formatCode="#,##0.0" sourceLinked="1"/>
        <c:tickLblPos val="nextTo"/>
        <c:spPr>
          <a:ln w="3175"/>
        </c:spPr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303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254031101450446"/>
          <c:y val="0.40051169387357832"/>
          <c:w val="0.13516873536617341"/>
          <c:h val="0.33494855923758377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Виконання бюджету міста по видатках загального фонду бюджету за економічною сутністю</a:t>
            </a:r>
          </a:p>
        </c:rich>
      </c:tx>
      <c:layout>
        <c:manualLayout>
          <c:xMode val="edge"/>
          <c:yMode val="edge"/>
          <c:x val="0.16044566108907893"/>
          <c:y val="2.4757132631148381E-3"/>
        </c:manualLayout>
      </c:layout>
    </c:title>
    <c:view3D>
      <c:rotX val="10"/>
      <c:rotY val="40"/>
      <c:rAngAx val="1"/>
    </c:view3D>
    <c:plotArea>
      <c:layout>
        <c:manualLayout>
          <c:layoutTarget val="inner"/>
          <c:xMode val="edge"/>
          <c:yMode val="edge"/>
          <c:x val="8.9529027588797855E-2"/>
          <c:y val="0.10449573631622261"/>
          <c:w val="0.89700021576146238"/>
          <c:h val="0.72119797525309404"/>
        </c:manualLayout>
      </c:layout>
      <c:bar3DChart>
        <c:barDir val="col"/>
        <c:grouping val="clustered"/>
        <c:ser>
          <c:idx val="1"/>
          <c:order val="0"/>
          <c:tx>
            <c:strRef>
              <c:f>'заг. ф. економіка'!$B$1</c:f>
              <c:strCache>
                <c:ptCount val="1"/>
                <c:pt idx="0">
                  <c:v>Планові показники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8.2539459710994946E-3"/>
                  <c:y val="-9.74025974025974E-3"/>
                </c:manualLayout>
              </c:layout>
              <c:showVal val="1"/>
            </c:dLbl>
            <c:dLbl>
              <c:idx val="1"/>
              <c:layout>
                <c:manualLayout>
                  <c:x val="1.4444405449424082E-2"/>
                  <c:y val="-1.2987012987012988E-2"/>
                </c:manualLayout>
              </c:layout>
              <c:showVal val="1"/>
            </c:dLbl>
            <c:dLbl>
              <c:idx val="2"/>
              <c:layout>
                <c:manualLayout>
                  <c:x val="1.2380918956649228E-2"/>
                  <c:y val="-9.74025974025974E-3"/>
                </c:manualLayout>
              </c:layout>
              <c:showVal val="1"/>
            </c:dLbl>
            <c:dLbl>
              <c:idx val="3"/>
              <c:layout>
                <c:manualLayout>
                  <c:x val="1.6507891942198989E-2"/>
                  <c:y val="-1.2987012987012988E-2"/>
                </c:manualLayout>
              </c:layout>
              <c:showVal val="1"/>
            </c:dLbl>
            <c:dLbl>
              <c:idx val="4"/>
              <c:layout>
                <c:manualLayout>
                  <c:x val="1.2380918956649303E-2"/>
                  <c:y val="-1.6233766233766243E-2"/>
                </c:manualLayout>
              </c:layout>
              <c:showVal val="1"/>
            </c:dLbl>
            <c:dLbl>
              <c:idx val="5"/>
              <c:layout>
                <c:manualLayout>
                  <c:x val="1.8571378434973865E-2"/>
                  <c:y val="-1.2987012987012988E-2"/>
                </c:manualLayout>
              </c:layout>
              <c:showVal val="1"/>
            </c:dLbl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900" b="1">
                    <a:solidFill>
                      <a:schemeClr val="dk1"/>
                    </a:solidFill>
                    <a:latin typeface="Arial Narrow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'заг. ф. економіка'!$A$2:$A$7</c:f>
              <c:strCache>
                <c:ptCount val="6"/>
                <c:pt idx="0">
                  <c:v>Оплата праці з нарахуваннями </c:v>
                </c:pt>
                <c:pt idx="1">
                  <c:v>Соціальне забезпечення</c:v>
                </c:pt>
                <c:pt idx="2">
                  <c:v> Комунальні послуги та енергоносії</c:v>
                </c:pt>
                <c:pt idx="3">
                  <c:v>Продукти харчування</c:v>
                </c:pt>
                <c:pt idx="4">
                  <c:v>Медикаменти </c:v>
                </c:pt>
                <c:pt idx="5">
                  <c:v>інші</c:v>
                </c:pt>
              </c:strCache>
            </c:strRef>
          </c:cat>
          <c:val>
            <c:numRef>
              <c:f>'заг. ф. економіка'!$B$2:$B$7</c:f>
              <c:numCache>
                <c:formatCode>0.0</c:formatCode>
                <c:ptCount val="6"/>
                <c:pt idx="0">
                  <c:v>907.7</c:v>
                </c:pt>
                <c:pt idx="1">
                  <c:v>692.2</c:v>
                </c:pt>
                <c:pt idx="2">
                  <c:v>181.1</c:v>
                </c:pt>
                <c:pt idx="3">
                  <c:v>55.1</c:v>
                </c:pt>
                <c:pt idx="4">
                  <c:v>30.2</c:v>
                </c:pt>
                <c:pt idx="5">
                  <c:v>477.7</c:v>
                </c:pt>
              </c:numCache>
            </c:numRef>
          </c:val>
        </c:ser>
        <c:ser>
          <c:idx val="0"/>
          <c:order val="1"/>
          <c:tx>
            <c:strRef>
              <c:f>'заг. ф. економіка'!$C$1</c:f>
              <c:strCache>
                <c:ptCount val="1"/>
                <c:pt idx="0">
                  <c:v>Виконано</c:v>
                </c:pt>
              </c:strCache>
            </c:strRef>
          </c:tx>
          <c:spPr>
            <a:gradFill flip="none" rotWithShape="1"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16200000" scaled="0"/>
              <a:tileRect/>
            </a:gradFill>
            <a:ln>
              <a:solidFill>
                <a:schemeClr val="accent6">
                  <a:lumMod val="50000"/>
                </a:schemeClr>
              </a:solidFill>
            </a:ln>
          </c:spPr>
          <c:dLbls>
            <c:dLbl>
              <c:idx val="0"/>
              <c:layout>
                <c:manualLayout>
                  <c:x val="3.714275686994771E-2"/>
                  <c:y val="-1.2987012987012988E-2"/>
                </c:manualLayout>
              </c:layout>
              <c:showVal val="1"/>
            </c:dLbl>
            <c:dLbl>
              <c:idx val="1"/>
              <c:layout>
                <c:manualLayout>
                  <c:x val="3.714275686994771E-2"/>
                  <c:y val="-1.2987012987012988E-2"/>
                </c:manualLayout>
              </c:layout>
              <c:showVal val="1"/>
            </c:dLbl>
            <c:dLbl>
              <c:idx val="2"/>
              <c:layout>
                <c:manualLayout>
                  <c:x val="2.8888810898848209E-2"/>
                  <c:y val="-9.74025974025974E-3"/>
                </c:manualLayout>
              </c:layout>
              <c:showVal val="1"/>
            </c:dLbl>
            <c:dLbl>
              <c:idx val="3"/>
              <c:layout>
                <c:manualLayout>
                  <c:x val="2.2698351420523635E-2"/>
                  <c:y val="-1.2987012987012988E-2"/>
                </c:manualLayout>
              </c:layout>
              <c:showVal val="1"/>
            </c:dLbl>
            <c:dLbl>
              <c:idx val="4"/>
              <c:layout>
                <c:manualLayout>
                  <c:x val="2.4761837913298473E-2"/>
                  <c:y val="-1.6233766233766243E-2"/>
                </c:manualLayout>
              </c:layout>
              <c:showVal val="1"/>
            </c:dLbl>
            <c:dLbl>
              <c:idx val="5"/>
              <c:layout>
                <c:manualLayout>
                  <c:x val="3.5079270377172872E-2"/>
                  <c:y val="-9.7402597402596811E-3"/>
                </c:manualLayout>
              </c:layout>
              <c:showVal val="1"/>
            </c:dLbl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dk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900" b="1">
                    <a:solidFill>
                      <a:schemeClr val="dk1"/>
                    </a:solidFill>
                    <a:latin typeface="Arial Narrow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'заг. ф. економіка'!$A$2:$A$7</c:f>
              <c:strCache>
                <c:ptCount val="6"/>
                <c:pt idx="0">
                  <c:v>Оплата праці з нарахуваннями </c:v>
                </c:pt>
                <c:pt idx="1">
                  <c:v>Соціальне забезпечення</c:v>
                </c:pt>
                <c:pt idx="2">
                  <c:v> Комунальні послуги та енергоносії</c:v>
                </c:pt>
                <c:pt idx="3">
                  <c:v>Продукти харчування</c:v>
                </c:pt>
                <c:pt idx="4">
                  <c:v>Медикаменти </c:v>
                </c:pt>
                <c:pt idx="5">
                  <c:v>інші</c:v>
                </c:pt>
              </c:strCache>
            </c:strRef>
          </c:cat>
          <c:val>
            <c:numRef>
              <c:f>'заг. ф. економіка'!$C$2:$C$7</c:f>
              <c:numCache>
                <c:formatCode>0.0</c:formatCode>
                <c:ptCount val="6"/>
                <c:pt idx="0">
                  <c:v>898.6</c:v>
                </c:pt>
                <c:pt idx="1">
                  <c:v>678.5</c:v>
                </c:pt>
                <c:pt idx="2">
                  <c:v>166.3</c:v>
                </c:pt>
                <c:pt idx="3">
                  <c:v>47.4</c:v>
                </c:pt>
                <c:pt idx="4">
                  <c:v>26.7</c:v>
                </c:pt>
                <c:pt idx="5">
                  <c:v>386.5</c:v>
                </c:pt>
              </c:numCache>
            </c:numRef>
          </c:val>
        </c:ser>
        <c:gapWidth val="53"/>
        <c:gapDepth val="356"/>
        <c:shape val="cylinder"/>
        <c:axId val="99477760"/>
        <c:axId val="99495936"/>
        <c:axId val="0"/>
      </c:bar3DChart>
      <c:catAx>
        <c:axId val="99477760"/>
        <c:scaling>
          <c:orientation val="minMax"/>
        </c:scaling>
        <c:axPos val="b"/>
        <c:tickLblPos val="nextTo"/>
        <c:txPr>
          <a:bodyPr rot="0" vert="horz"/>
          <a:lstStyle/>
          <a:p>
            <a:pPr>
              <a:defRPr sz="800" b="1">
                <a:latin typeface="Arial Narrow" pitchFamily="34" charset="0"/>
              </a:defRPr>
            </a:pPr>
            <a:endParaRPr lang="ru-RU"/>
          </a:p>
        </c:txPr>
        <c:crossAx val="99495936"/>
        <c:crosses val="autoZero"/>
        <c:auto val="1"/>
        <c:lblAlgn val="ctr"/>
        <c:lblOffset val="100"/>
      </c:catAx>
      <c:valAx>
        <c:axId val="99495936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9477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14715860926578"/>
          <c:y val="0.93159048481203444"/>
          <c:w val="0.35705682781468601"/>
          <c:h val="6.8409515187965078E-2"/>
        </c:manualLayout>
      </c:layout>
    </c:legend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9758411221228711"/>
          <c:y val="0.20412389152152646"/>
          <c:w val="0.62445548788782734"/>
          <c:h val="0.5976974673037666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25"/>
          <c:dLbls>
            <c:dLbl>
              <c:idx val="0"/>
              <c:layout>
                <c:manualLayout>
                  <c:x val="7.8580605118864166E-2"/>
                  <c:y val="-9.59938981986235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Освіта
729,7 млн.грн.
30%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5.2744402802325924E-2"/>
                  <c:y val="7.606104792456498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Охорона здоров'я
388,9</a:t>
                    </a:r>
                    <a:r>
                      <a:rPr lang="ru-RU" sz="800" b="0" baseline="0">
                        <a:latin typeface="Arial Narrow" pitchFamily="34" charset="0"/>
                      </a:rPr>
                      <a:t> </a:t>
                    </a:r>
                    <a:r>
                      <a:rPr lang="ru-RU" sz="800" b="0">
                        <a:latin typeface="Arial Narrow" pitchFamily="34" charset="0"/>
                      </a:rPr>
                      <a:t>млн.грн.
16%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8.60644744077875E-2"/>
                  <c:y val="4.26257432106700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Культура
63,3 млн.грн.
3%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7.4374489293807591E-2"/>
                  <c:y val="5.99730033745781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Фізична культура і спорт
23,8млн.грн.
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5.9039271476863324E-2"/>
                  <c:y val="-3.671798168086124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Соціальний захист та соціальне  забезпечення, 
компенсація пільгового проїзду
697,9млн.грн.
29%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8.6778500544061846E-2"/>
                  <c:y val="0.13983789591067955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Житлово-комунальне та дорожнє господарство
259,0 млн.грн.
11%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0.15011559705014374"/>
                  <c:y val="-1.977561095018563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Кошти, що передаються до  держаного бюджету
92,6млн.грн.
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3.6274074713246091E-2"/>
                  <c:y val="-5.51157173729353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Транспорт
33,0млн.грн.
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0.2335271415903907"/>
                  <c:y val="-6.299484585152249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>
                        <a:latin typeface="Arial Narrow" pitchFamily="34" charset="0"/>
                      </a:rPr>
                      <a:t>Інші видатки
113,2 млн.грн.
5%</a:t>
                    </a:r>
                  </a:p>
                </c:rich>
              </c:tx>
              <c:showVal val="1"/>
              <c:showCatName val="1"/>
              <c:showPercent val="1"/>
            </c:dLbl>
            <c:spPr>
              <a:solidFill>
                <a:srgbClr val="FBDDF1"/>
              </a:solidFill>
              <a:scene3d>
                <a:camera prst="orthographicFront"/>
                <a:lightRig rig="threePt" dir="t"/>
              </a:scene3d>
              <a:sp3d prstMaterial="flat">
                <a:bevelT w="234950" h="177800"/>
              </a:sp3d>
            </c:spPr>
            <c:txPr>
              <a:bodyPr/>
              <a:lstStyle/>
              <a:p>
                <a:pPr>
                  <a:defRPr sz="800" b="0">
                    <a:latin typeface="Arial Narrow" pitchFamily="34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'з+с ф. функц.'!$A$1:$A$9</c:f>
              <c:strCache>
                <c:ptCount val="9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Соціальний захист та соціальне  забезпечення, 
компенсація пільгового проїзду</c:v>
                </c:pt>
                <c:pt idx="5">
                  <c:v>Житлово-комунальне та дорожнє господарство</c:v>
                </c:pt>
                <c:pt idx="6">
                  <c:v>Кошти, що передаються до  держаного бюджету</c:v>
                </c:pt>
                <c:pt idx="7">
                  <c:v>Транспорт</c:v>
                </c:pt>
                <c:pt idx="8">
                  <c:v>Інші видатки</c:v>
                </c:pt>
              </c:strCache>
            </c:strRef>
          </c:cat>
          <c:val>
            <c:numRef>
              <c:f>'з+с ф. функц.'!$B$1:$B$9</c:f>
              <c:numCache>
                <c:formatCode>#,##0.0</c:formatCode>
                <c:ptCount val="9"/>
                <c:pt idx="0">
                  <c:v>730.3</c:v>
                </c:pt>
                <c:pt idx="1">
                  <c:v>388.9</c:v>
                </c:pt>
                <c:pt idx="2">
                  <c:v>63.300000000000004</c:v>
                </c:pt>
                <c:pt idx="3">
                  <c:v>23.2</c:v>
                </c:pt>
                <c:pt idx="4">
                  <c:v>697.9</c:v>
                </c:pt>
                <c:pt idx="5">
                  <c:v>259</c:v>
                </c:pt>
                <c:pt idx="6">
                  <c:v>92.6</c:v>
                </c:pt>
                <c:pt idx="7">
                  <c:v>33</c:v>
                </c:pt>
                <c:pt idx="8">
                  <c:v>113.2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noFill/>
    <a:ln>
      <a:noFill/>
    </a:ln>
    <a:scene3d>
      <a:camera prst="orthographicFront"/>
      <a:lightRig rig="threePt" dir="t"/>
    </a:scene3d>
    <a:sp3d prstMaterial="translucentPowder">
      <a:bevelT w="165100" prst="coolSlant"/>
      <a:bevelB w="63500" h="165100"/>
    </a:sp3d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0.04513</cdr:x>
      <cdr:y>2.80714E-7</cdr:y>
    </cdr:from>
    <cdr:to>
      <cdr:x>0.97427</cdr:x>
      <cdr:y>0.23262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6224" y="1"/>
          <a:ext cx="5686425" cy="828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 b="1" i="1">
              <a:latin typeface="Times New Roman" pitchFamily="18" charset="0"/>
              <a:cs typeface="Times New Roman" pitchFamily="18" charset="0"/>
            </a:rPr>
            <a:t>Виконання загального фонду бюджету</a:t>
          </a:r>
          <a:r>
            <a:rPr lang="ru-RU" sz="1200" b="1" i="1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i="1">
              <a:latin typeface="Times New Roman" pitchFamily="18" charset="0"/>
              <a:cs typeface="Times New Roman" pitchFamily="18" charset="0"/>
            </a:rPr>
            <a:t>міста Запоріжжя (без</a:t>
          </a:r>
          <a:r>
            <a:rPr lang="ru-RU" sz="1200" b="1" i="1" baseline="0">
              <a:latin typeface="Times New Roman" pitchFamily="18" charset="0"/>
              <a:cs typeface="Times New Roman" pitchFamily="18" charset="0"/>
            </a:rPr>
            <a:t> урахування трансфертів)</a:t>
          </a:r>
          <a:r>
            <a:rPr lang="ru-RU" sz="1200" b="1" i="1">
              <a:latin typeface="Times New Roman" pitchFamily="18" charset="0"/>
              <a:cs typeface="Times New Roman" pitchFamily="18" charset="0"/>
            </a:rPr>
            <a:t> за І півріччя 2016 року, млн.грн.</a:t>
          </a:r>
        </a:p>
      </cdr:txBody>
    </cdr:sp>
  </cdr:relSizeAnchor>
  <cdr:relSizeAnchor xmlns:cdr="http://schemas.openxmlformats.org/drawingml/2006/chartDrawing">
    <cdr:from>
      <cdr:x>0.14641</cdr:x>
      <cdr:y>0.11976</cdr:y>
    </cdr:from>
    <cdr:to>
      <cdr:x>0.2719</cdr:x>
      <cdr:y>0.26347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66800" y="762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0.18732</cdr:x>
      <cdr:y>0.08989</cdr:y>
    </cdr:from>
    <cdr:to>
      <cdr:x>0.27902</cdr:x>
      <cdr:y>0.14347</cdr:y>
    </cdr:to>
    <cdr:sp macro="" textlink="">
      <cdr:nvSpPr>
        <cdr:cNvPr id="2" name="Выгнутая вверх стрелка 1"/>
        <cdr:cNvSpPr/>
      </cdr:nvSpPr>
      <cdr:spPr>
        <a:xfrm xmlns:a="http://schemas.openxmlformats.org/drawingml/2006/main">
          <a:off x="1152892" y="351620"/>
          <a:ext cx="564380" cy="209584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0.86314</cdr:x>
      <cdr:y>0.79985</cdr:y>
    </cdr:from>
    <cdr:to>
      <cdr:x>0.98556</cdr:x>
      <cdr:y>0.87583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5312282" y="3128693"/>
          <a:ext cx="753450" cy="2972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Arial Narrow" pitchFamily="34" charset="0"/>
            </a:rPr>
            <a:t>млн.грн.</a:t>
          </a:r>
        </a:p>
      </cdr:txBody>
    </cdr:sp>
  </cdr:relSizeAnchor>
  <cdr:relSizeAnchor xmlns:cdr="http://schemas.openxmlformats.org/drawingml/2006/chartDrawing">
    <cdr:from>
      <cdr:x>0.80463</cdr:x>
      <cdr:y>0.26961</cdr:y>
    </cdr:from>
    <cdr:to>
      <cdr:x>0.85476</cdr:x>
      <cdr:y>0.33333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5962651" y="1047749"/>
          <a:ext cx="3714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0.19058</cdr:x>
      <cdr:y>0.10113</cdr:y>
    </cdr:from>
    <cdr:to>
      <cdr:x>0.27284</cdr:x>
      <cdr:y>0.17711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1172922" y="395588"/>
          <a:ext cx="506280" cy="2972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99,0%</a:t>
          </a:r>
        </a:p>
      </cdr:txBody>
    </cdr:sp>
  </cdr:relSizeAnchor>
  <cdr:relSizeAnchor xmlns:cdr="http://schemas.openxmlformats.org/drawingml/2006/chartDrawing">
    <cdr:from>
      <cdr:x>0.3192</cdr:x>
      <cdr:y>0.22518</cdr:y>
    </cdr:from>
    <cdr:to>
      <cdr:x>0.40018</cdr:x>
      <cdr:y>0.29626</cdr:y>
    </cdr:to>
    <cdr:sp macro="" textlink="">
      <cdr:nvSpPr>
        <cdr:cNvPr id="19" name="TextBox 18"/>
        <cdr:cNvSpPr txBox="1"/>
      </cdr:nvSpPr>
      <cdr:spPr>
        <a:xfrm xmlns:a="http://schemas.openxmlformats.org/drawingml/2006/main">
          <a:off x="1964584" y="880817"/>
          <a:ext cx="498402" cy="2780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98,0%</a:t>
          </a:r>
        </a:p>
      </cdr:txBody>
    </cdr:sp>
  </cdr:relSizeAnchor>
  <cdr:relSizeAnchor xmlns:cdr="http://schemas.openxmlformats.org/drawingml/2006/chartDrawing">
    <cdr:from>
      <cdr:x>0.44043</cdr:x>
      <cdr:y>0.53376</cdr:y>
    </cdr:from>
    <cdr:to>
      <cdr:x>0.52172</cdr:x>
      <cdr:y>0.58959</cdr:y>
    </cdr:to>
    <cdr:sp macro="" textlink="">
      <cdr:nvSpPr>
        <cdr:cNvPr id="20" name="TextBox 19"/>
        <cdr:cNvSpPr txBox="1"/>
      </cdr:nvSpPr>
      <cdr:spPr>
        <a:xfrm xmlns:a="http://schemas.openxmlformats.org/drawingml/2006/main">
          <a:off x="2710711" y="2087857"/>
          <a:ext cx="500271" cy="218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91,8%</a:t>
          </a:r>
        </a:p>
      </cdr:txBody>
    </cdr:sp>
  </cdr:relSizeAnchor>
  <cdr:relSizeAnchor xmlns:cdr="http://schemas.openxmlformats.org/drawingml/2006/chartDrawing">
    <cdr:from>
      <cdr:x>0.56006</cdr:x>
      <cdr:y>0.60417</cdr:y>
    </cdr:from>
    <cdr:to>
      <cdr:x>0.6469</cdr:x>
      <cdr:y>0.6679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3446934" y="2363289"/>
          <a:ext cx="534517" cy="2492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86,1%</a:t>
          </a:r>
        </a:p>
      </cdr:txBody>
    </cdr:sp>
  </cdr:relSizeAnchor>
  <cdr:relSizeAnchor xmlns:cdr="http://schemas.openxmlformats.org/drawingml/2006/chartDrawing">
    <cdr:from>
      <cdr:x>0.68159</cdr:x>
      <cdr:y>0.61507</cdr:y>
    </cdr:from>
    <cdr:to>
      <cdr:x>0.76315</cdr:x>
      <cdr:y>0.67026</cdr:y>
    </cdr:to>
    <cdr:sp macro="" textlink="">
      <cdr:nvSpPr>
        <cdr:cNvPr id="22" name="TextBox 21"/>
        <cdr:cNvSpPr txBox="1"/>
      </cdr:nvSpPr>
      <cdr:spPr>
        <a:xfrm xmlns:a="http://schemas.openxmlformats.org/drawingml/2006/main">
          <a:off x="4194926" y="2405903"/>
          <a:ext cx="501958" cy="2158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88,5%</a:t>
          </a:r>
        </a:p>
      </cdr:txBody>
    </cdr:sp>
  </cdr:relSizeAnchor>
  <cdr:relSizeAnchor xmlns:cdr="http://schemas.openxmlformats.org/drawingml/2006/chartDrawing">
    <cdr:from>
      <cdr:x>0.80981</cdr:x>
      <cdr:y>0.35823</cdr:y>
    </cdr:from>
    <cdr:to>
      <cdr:x>0.89079</cdr:x>
      <cdr:y>0.41783</cdr:y>
    </cdr:to>
    <cdr:sp macro="" textlink="">
      <cdr:nvSpPr>
        <cdr:cNvPr id="23" name="TextBox 22"/>
        <cdr:cNvSpPr txBox="1"/>
      </cdr:nvSpPr>
      <cdr:spPr>
        <a:xfrm xmlns:a="http://schemas.openxmlformats.org/drawingml/2006/main">
          <a:off x="4984110" y="1401247"/>
          <a:ext cx="498402" cy="2331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 b="1"/>
            <a:t>80,9%</a:t>
          </a:r>
        </a:p>
      </cdr:txBody>
    </cdr:sp>
  </cdr:relSizeAnchor>
  <cdr:relSizeAnchor xmlns:cdr="http://schemas.openxmlformats.org/drawingml/2006/chartDrawing">
    <cdr:from>
      <cdr:x>0.31434</cdr:x>
      <cdr:y>0.21537</cdr:y>
    </cdr:from>
    <cdr:to>
      <cdr:x>0.40604</cdr:x>
      <cdr:y>0.26895</cdr:y>
    </cdr:to>
    <cdr:sp macro="" textlink="">
      <cdr:nvSpPr>
        <cdr:cNvPr id="16" name="Выгнутая вверх стрелка 15"/>
        <cdr:cNvSpPr/>
      </cdr:nvSpPr>
      <cdr:spPr>
        <a:xfrm xmlns:a="http://schemas.openxmlformats.org/drawingml/2006/main">
          <a:off x="1934633" y="842433"/>
          <a:ext cx="564380" cy="209584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0.43471</cdr:x>
      <cdr:y>0.52273</cdr:y>
    </cdr:from>
    <cdr:to>
      <cdr:x>0.52641</cdr:x>
      <cdr:y>0.57631</cdr:y>
    </cdr:to>
    <cdr:sp macro="" textlink="">
      <cdr:nvSpPr>
        <cdr:cNvPr id="24" name="Выгнутая вверх стрелка 23"/>
        <cdr:cNvSpPr/>
      </cdr:nvSpPr>
      <cdr:spPr>
        <a:xfrm xmlns:a="http://schemas.openxmlformats.org/drawingml/2006/main">
          <a:off x="2675466" y="2044700"/>
          <a:ext cx="564380" cy="209584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0.55645</cdr:x>
      <cdr:y>0.58983</cdr:y>
    </cdr:from>
    <cdr:to>
      <cdr:x>0.64815</cdr:x>
      <cdr:y>0.64341</cdr:y>
    </cdr:to>
    <cdr:sp macro="" textlink="">
      <cdr:nvSpPr>
        <cdr:cNvPr id="25" name="Выгнутая вверх стрелка 24"/>
        <cdr:cNvSpPr/>
      </cdr:nvSpPr>
      <cdr:spPr>
        <a:xfrm xmlns:a="http://schemas.openxmlformats.org/drawingml/2006/main">
          <a:off x="3424766" y="2307167"/>
          <a:ext cx="564380" cy="209584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0.67407</cdr:x>
      <cdr:y>0.60606</cdr:y>
    </cdr:from>
    <cdr:to>
      <cdr:x>0.76577</cdr:x>
      <cdr:y>0.65964</cdr:y>
    </cdr:to>
    <cdr:sp macro="" textlink="">
      <cdr:nvSpPr>
        <cdr:cNvPr id="26" name="Выгнутая вверх стрелка 25"/>
        <cdr:cNvSpPr/>
      </cdr:nvSpPr>
      <cdr:spPr>
        <a:xfrm xmlns:a="http://schemas.openxmlformats.org/drawingml/2006/main">
          <a:off x="4148667" y="2370666"/>
          <a:ext cx="564380" cy="209584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0.80545</cdr:x>
      <cdr:y>0.34632</cdr:y>
    </cdr:from>
    <cdr:to>
      <cdr:x>0.89715</cdr:x>
      <cdr:y>0.3999</cdr:y>
    </cdr:to>
    <cdr:sp macro="" textlink="">
      <cdr:nvSpPr>
        <cdr:cNvPr id="27" name="Выгнутая вверх стрелка 26"/>
        <cdr:cNvSpPr/>
      </cdr:nvSpPr>
      <cdr:spPr>
        <a:xfrm xmlns:a="http://schemas.openxmlformats.org/drawingml/2006/main">
          <a:off x="4957233" y="1354667"/>
          <a:ext cx="564380" cy="209584"/>
        </a:xfrm>
        <a:prstGeom xmlns:a="http://schemas.openxmlformats.org/drawingml/2006/main" prst="curvedDownArrow">
          <a:avLst/>
        </a:prstGeom>
        <a:solidFill xmlns:a="http://schemas.openxmlformats.org/drawingml/2006/main">
          <a:srgbClr val="4F81BD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0.0277</cdr:x>
      <cdr:y>0.8068</cdr:y>
    </cdr:from>
    <cdr:to>
      <cdr:x>0.20918</cdr:x>
      <cdr:y>0.93333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0868" y="2510366"/>
          <a:ext cx="1054100" cy="39370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5">
            <a:lumMod val="60000"/>
            <a:lumOff val="40000"/>
          </a:schemeClr>
        </a:solidFill>
        <a:ln xmlns:a="http://schemas.openxmlformats.org/drawingml/2006/main" w="3175">
          <a:solidFill>
            <a:schemeClr val="tx1"/>
          </a:solidFill>
        </a:ln>
        <a:effectLst xmlns:a="http://schemas.openxmlformats.org/drawingml/2006/main">
          <a:outerShdw blurRad="63500" sx="102000" sy="102000" algn="ctr" rotWithShape="0">
            <a:prstClr val="black">
              <a:alpha val="40000"/>
            </a:prstClr>
          </a:outerShdw>
        </a:effectLst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uk-UA" sz="700" i="1">
              <a:latin typeface="Arial Narrow" pitchFamily="34" charset="0"/>
              <a:ea typeface="+mn-ea"/>
              <a:cs typeface="+mn-cs"/>
            </a:rPr>
            <a:t>в т.ч. утримання та заходи  соціальних служб - 13,7млн.грн.</a:t>
          </a:r>
          <a:endParaRPr lang="ru-RU" sz="700" i="1">
            <a:latin typeface="Arial Narrow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550D-D126-457A-ACDD-F407C193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ferro</dc:creator>
  <cp:lastModifiedBy>Логвиненко В.В.</cp:lastModifiedBy>
  <cp:revision>47</cp:revision>
  <cp:lastPrinted>2016-08-05T07:40:00Z</cp:lastPrinted>
  <dcterms:created xsi:type="dcterms:W3CDTF">2016-07-07T09:53:00Z</dcterms:created>
  <dcterms:modified xsi:type="dcterms:W3CDTF">2016-08-05T09:06:00Z</dcterms:modified>
</cp:coreProperties>
</file>