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C" w:rsidRPr="00745707" w:rsidRDefault="001C1C1C" w:rsidP="001C1C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57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Довідка </w:t>
      </w:r>
    </w:p>
    <w:p w:rsidR="001C1C1C" w:rsidRPr="00745707" w:rsidRDefault="001C1C1C" w:rsidP="001C1C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45707">
        <w:rPr>
          <w:rFonts w:ascii="Times New Roman" w:hAnsi="Times New Roman" w:cs="Times New Roman"/>
          <w:b/>
          <w:sz w:val="32"/>
          <w:szCs w:val="32"/>
          <w:lang w:val="uk-UA"/>
        </w:rPr>
        <w:t>про виконання бюджету міста за І квартал 2016 року</w:t>
      </w:r>
    </w:p>
    <w:p w:rsidR="001C1C1C" w:rsidRPr="001C1C1C" w:rsidRDefault="001C1C1C" w:rsidP="001C1C1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1C1C" w:rsidRPr="006C7902" w:rsidRDefault="001C1C1C" w:rsidP="001C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902">
        <w:rPr>
          <w:rFonts w:ascii="Times New Roman" w:hAnsi="Times New Roman" w:cs="Times New Roman"/>
          <w:sz w:val="28"/>
          <w:szCs w:val="28"/>
          <w:lang w:val="uk-UA"/>
        </w:rPr>
        <w:t>За звітний період до бюджету міста надійшло 1 289,9 </w:t>
      </w:r>
      <w:proofErr w:type="spellStart"/>
      <w:r w:rsidRPr="006C7902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6C7902">
        <w:rPr>
          <w:rFonts w:ascii="Times New Roman" w:hAnsi="Times New Roman" w:cs="Times New Roman"/>
          <w:sz w:val="28"/>
          <w:szCs w:val="28"/>
          <w:lang w:val="uk-UA"/>
        </w:rPr>
        <w:t>., в тому числі податків і зборів до загального фонду бюджету – 709,1 </w:t>
      </w:r>
      <w:proofErr w:type="spellStart"/>
      <w:r w:rsidRPr="006C7902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6C79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7902" w:rsidRPr="006C7902">
        <w:rPr>
          <w:rFonts w:ascii="Times New Roman" w:hAnsi="Times New Roman" w:cs="Times New Roman"/>
          <w:sz w:val="28"/>
          <w:szCs w:val="28"/>
          <w:lang w:val="uk-UA"/>
        </w:rPr>
        <w:t xml:space="preserve"> (планові показники виконані на 102,5 відсотка)</w:t>
      </w:r>
      <w:r w:rsidRPr="006C7902">
        <w:rPr>
          <w:rFonts w:ascii="Times New Roman" w:hAnsi="Times New Roman" w:cs="Times New Roman"/>
          <w:sz w:val="28"/>
          <w:szCs w:val="28"/>
          <w:lang w:val="uk-UA"/>
        </w:rPr>
        <w:t>, спеціального – 47,7 </w:t>
      </w:r>
      <w:proofErr w:type="spellStart"/>
      <w:r w:rsidRPr="006C7902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6C79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C7902">
        <w:rPr>
          <w:rFonts w:ascii="Times New Roman" w:hAnsi="Times New Roman" w:cs="Times New Roman"/>
          <w:sz w:val="28"/>
          <w:szCs w:val="28"/>
          <w:lang w:val="uk-UA"/>
        </w:rPr>
        <w:t xml:space="preserve">(101,0 відсотка до плану) </w:t>
      </w:r>
      <w:r w:rsidRPr="006C7902">
        <w:rPr>
          <w:rFonts w:ascii="Times New Roman" w:hAnsi="Times New Roman" w:cs="Times New Roman"/>
          <w:sz w:val="28"/>
          <w:szCs w:val="28"/>
          <w:lang w:val="uk-UA"/>
        </w:rPr>
        <w:t>та офіційних трансфертах – 533,1 </w:t>
      </w:r>
      <w:proofErr w:type="spellStart"/>
      <w:r w:rsidR="006C7902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6C7902">
        <w:rPr>
          <w:rFonts w:ascii="Times New Roman" w:hAnsi="Times New Roman" w:cs="Times New Roman"/>
          <w:sz w:val="28"/>
          <w:szCs w:val="28"/>
          <w:lang w:val="uk-UA"/>
        </w:rPr>
        <w:t xml:space="preserve">., що становить </w:t>
      </w:r>
      <w:r w:rsidR="00745707">
        <w:rPr>
          <w:rFonts w:ascii="Times New Roman" w:hAnsi="Times New Roman" w:cs="Times New Roman"/>
          <w:sz w:val="28"/>
          <w:szCs w:val="28"/>
          <w:lang w:val="uk-UA"/>
        </w:rPr>
        <w:t xml:space="preserve">96,0 </w:t>
      </w:r>
      <w:r w:rsidR="006C7902">
        <w:rPr>
          <w:rFonts w:ascii="Times New Roman" w:hAnsi="Times New Roman" w:cs="Times New Roman"/>
          <w:sz w:val="28"/>
          <w:szCs w:val="28"/>
          <w:lang w:val="uk-UA"/>
        </w:rPr>
        <w:t>відсотка плану.</w:t>
      </w:r>
    </w:p>
    <w:p w:rsidR="001C1C1C" w:rsidRDefault="001C1C1C" w:rsidP="001C1C1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C230A7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4870450" cy="2662767"/>
            <wp:effectExtent l="19050" t="0" r="63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5707" w:rsidRDefault="001C1C1C" w:rsidP="001C1C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D4EB4">
        <w:rPr>
          <w:sz w:val="28"/>
          <w:szCs w:val="28"/>
        </w:rPr>
        <w:t>Порівняно з відповідним періодом минулого року доходи (без урахування трансфертів) зросли на 249,1 </w:t>
      </w:r>
      <w:proofErr w:type="spellStart"/>
      <w:r w:rsidRPr="007D4EB4">
        <w:rPr>
          <w:sz w:val="28"/>
          <w:szCs w:val="28"/>
        </w:rPr>
        <w:t>млн.грн</w:t>
      </w:r>
      <w:proofErr w:type="spellEnd"/>
      <w:r w:rsidRPr="007D4EB4">
        <w:rPr>
          <w:sz w:val="28"/>
          <w:szCs w:val="28"/>
        </w:rPr>
        <w:t xml:space="preserve">. або на </w:t>
      </w:r>
      <w:r>
        <w:rPr>
          <w:sz w:val="28"/>
          <w:szCs w:val="28"/>
        </w:rPr>
        <w:t>1</w:t>
      </w:r>
      <w:r w:rsidRPr="007D4EB4">
        <w:rPr>
          <w:sz w:val="28"/>
          <w:szCs w:val="28"/>
        </w:rPr>
        <w:t>49,1</w:t>
      </w:r>
      <w:r>
        <w:rPr>
          <w:sz w:val="28"/>
          <w:szCs w:val="28"/>
        </w:rPr>
        <w:t> відсотка</w:t>
      </w:r>
      <w:r w:rsidRPr="007D4EB4">
        <w:rPr>
          <w:sz w:val="28"/>
          <w:szCs w:val="28"/>
        </w:rPr>
        <w:t xml:space="preserve">. </w:t>
      </w:r>
      <w:r w:rsidRPr="00C139DE">
        <w:rPr>
          <w:sz w:val="28"/>
          <w:szCs w:val="28"/>
        </w:rPr>
        <w:t xml:space="preserve">На </w:t>
      </w:r>
      <w:r>
        <w:rPr>
          <w:sz w:val="28"/>
          <w:szCs w:val="28"/>
        </w:rPr>
        <w:t>збільшення надходжень до</w:t>
      </w:r>
      <w:r w:rsidRPr="00C139DE">
        <w:rPr>
          <w:sz w:val="28"/>
          <w:szCs w:val="28"/>
        </w:rPr>
        <w:t xml:space="preserve"> бюджету міста значною мірою вплинул</w:t>
      </w:r>
      <w:r>
        <w:rPr>
          <w:sz w:val="28"/>
          <w:szCs w:val="28"/>
        </w:rPr>
        <w:t>и</w:t>
      </w:r>
      <w:r w:rsidRPr="00C139DE">
        <w:rPr>
          <w:sz w:val="28"/>
          <w:szCs w:val="28"/>
        </w:rPr>
        <w:t xml:space="preserve"> </w:t>
      </w:r>
      <w:r w:rsidRPr="007D4EB4">
        <w:rPr>
          <w:sz w:val="28"/>
          <w:szCs w:val="28"/>
        </w:rPr>
        <w:t>зміни в податковому та бюджетному законодавстві, прийнят</w:t>
      </w:r>
      <w:r>
        <w:rPr>
          <w:sz w:val="28"/>
          <w:szCs w:val="28"/>
        </w:rPr>
        <w:t>і</w:t>
      </w:r>
      <w:r w:rsidRPr="007D4EB4">
        <w:rPr>
          <w:sz w:val="28"/>
          <w:szCs w:val="28"/>
        </w:rPr>
        <w:t xml:space="preserve"> Верховною Радою України наприкінці минулого року</w:t>
      </w:r>
      <w:r>
        <w:rPr>
          <w:sz w:val="28"/>
          <w:szCs w:val="28"/>
        </w:rPr>
        <w:t>.</w:t>
      </w:r>
      <w:r w:rsidR="00745707">
        <w:rPr>
          <w:sz w:val="28"/>
          <w:szCs w:val="28"/>
        </w:rPr>
        <w:t xml:space="preserve"> </w:t>
      </w:r>
    </w:p>
    <w:p w:rsidR="001C1C1C" w:rsidRDefault="006C7902" w:rsidP="006C790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6C7902">
        <w:rPr>
          <w:noProof/>
          <w:sz w:val="28"/>
          <w:szCs w:val="28"/>
          <w:lang w:val="ru-RU"/>
        </w:rPr>
        <w:drawing>
          <wp:inline distT="0" distB="0" distL="0" distR="0">
            <wp:extent cx="5522383" cy="3623733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1C1C" w:rsidRDefault="001C1C1C" w:rsidP="001C1C1C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745707" w:rsidRPr="00745707" w:rsidRDefault="00745707" w:rsidP="00AC205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F6A4A">
        <w:rPr>
          <w:sz w:val="28"/>
          <w:szCs w:val="28"/>
        </w:rPr>
        <w:t xml:space="preserve">сновним джерелом надходжень загального фонду бюджету міста (без трансфертів) </w:t>
      </w:r>
      <w:r>
        <w:rPr>
          <w:sz w:val="28"/>
          <w:szCs w:val="28"/>
        </w:rPr>
        <w:t xml:space="preserve">залишається </w:t>
      </w:r>
      <w:r w:rsidRPr="004F6A4A">
        <w:rPr>
          <w:sz w:val="28"/>
          <w:szCs w:val="28"/>
        </w:rPr>
        <w:t xml:space="preserve">податок на доходи фізичних осіб, його питома вага </w:t>
      </w:r>
      <w:r>
        <w:rPr>
          <w:sz w:val="28"/>
          <w:szCs w:val="28"/>
        </w:rPr>
        <w:t>в обсязі податкових та неподаткових надходжен</w:t>
      </w:r>
      <w:r w:rsidR="003A1798">
        <w:rPr>
          <w:sz w:val="28"/>
          <w:szCs w:val="28"/>
        </w:rPr>
        <w:t>ь</w:t>
      </w:r>
      <w:r>
        <w:rPr>
          <w:sz w:val="28"/>
          <w:szCs w:val="28"/>
        </w:rPr>
        <w:t xml:space="preserve"> загального фонду бюджету </w:t>
      </w:r>
      <w:r w:rsidRPr="004F6A4A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56,0</w:t>
      </w:r>
      <w:r w:rsidRPr="004F6A4A">
        <w:rPr>
          <w:sz w:val="28"/>
          <w:szCs w:val="28"/>
        </w:rPr>
        <w:t> відсотк</w:t>
      </w:r>
      <w:r>
        <w:rPr>
          <w:sz w:val="28"/>
          <w:szCs w:val="28"/>
        </w:rPr>
        <w:t>ів</w:t>
      </w:r>
      <w:r w:rsidRPr="004F6A4A">
        <w:rPr>
          <w:sz w:val="28"/>
          <w:szCs w:val="28"/>
        </w:rPr>
        <w:t>.</w:t>
      </w:r>
      <w:r w:rsidRPr="007A1D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7BF6">
        <w:rPr>
          <w:sz w:val="28"/>
          <w:szCs w:val="28"/>
        </w:rPr>
        <w:t>бсяг</w:t>
      </w:r>
      <w:r>
        <w:rPr>
          <w:sz w:val="28"/>
          <w:szCs w:val="28"/>
        </w:rPr>
        <w:t xml:space="preserve"> надходжень</w:t>
      </w:r>
      <w:r w:rsidRPr="00407BF6">
        <w:rPr>
          <w:sz w:val="28"/>
          <w:szCs w:val="28"/>
        </w:rPr>
        <w:t xml:space="preserve"> за звітний період склав 397,2 </w:t>
      </w:r>
      <w:proofErr w:type="spellStart"/>
      <w:r w:rsidRPr="00407BF6">
        <w:rPr>
          <w:sz w:val="28"/>
          <w:szCs w:val="28"/>
        </w:rPr>
        <w:t>млн.грн</w:t>
      </w:r>
      <w:proofErr w:type="spellEnd"/>
      <w:r w:rsidRPr="00407BF6">
        <w:rPr>
          <w:sz w:val="28"/>
          <w:szCs w:val="28"/>
        </w:rPr>
        <w:t xml:space="preserve">. </w:t>
      </w:r>
      <w:r w:rsidRPr="00270F9D">
        <w:rPr>
          <w:sz w:val="28"/>
          <w:szCs w:val="28"/>
        </w:rPr>
        <w:t>Темп зростання порівняно з минулорічним показником становить 149,8 відсотка та пов’язан</w:t>
      </w:r>
      <w:r>
        <w:rPr>
          <w:sz w:val="28"/>
          <w:szCs w:val="28"/>
        </w:rPr>
        <w:t>ий із</w:t>
      </w:r>
      <w:r w:rsidRPr="00F55182">
        <w:rPr>
          <w:sz w:val="28"/>
          <w:szCs w:val="28"/>
        </w:rPr>
        <w:t xml:space="preserve"> збільшення</w:t>
      </w:r>
      <w:r>
        <w:rPr>
          <w:sz w:val="28"/>
          <w:szCs w:val="28"/>
        </w:rPr>
        <w:t>м</w:t>
      </w:r>
      <w:r w:rsidRPr="00F55182">
        <w:rPr>
          <w:sz w:val="28"/>
          <w:szCs w:val="28"/>
        </w:rPr>
        <w:t xml:space="preserve"> окремих ставок оподаткування доходів фізичних осіб з 15% до 18%</w:t>
      </w:r>
      <w:r>
        <w:rPr>
          <w:sz w:val="28"/>
          <w:szCs w:val="28"/>
        </w:rPr>
        <w:t>. Крім того, скасований єдиний соціальний внесок, що утримується із заробітної плати працівників (у розмірі 3,6%, 6,1% та інших), в результаті чого збільшилась база оподаткування даним податком.</w:t>
      </w:r>
      <w:r w:rsidR="00AC2057">
        <w:rPr>
          <w:sz w:val="28"/>
          <w:szCs w:val="28"/>
        </w:rPr>
        <w:t xml:space="preserve"> </w:t>
      </w:r>
      <w:r w:rsidRPr="00745707">
        <w:rPr>
          <w:sz w:val="28"/>
          <w:szCs w:val="28"/>
        </w:rPr>
        <w:t>Також на 7,5 </w:t>
      </w:r>
      <w:proofErr w:type="spellStart"/>
      <w:r w:rsidRPr="00745707">
        <w:rPr>
          <w:sz w:val="28"/>
          <w:szCs w:val="28"/>
        </w:rPr>
        <w:t>млн.грн</w:t>
      </w:r>
      <w:proofErr w:type="spellEnd"/>
      <w:r w:rsidRPr="00745707">
        <w:rPr>
          <w:sz w:val="28"/>
          <w:szCs w:val="28"/>
        </w:rPr>
        <w:t xml:space="preserve">. або на 61,3 відсотка збільшились надходження податку на доходи фізичних осіб з грошового забезпечення, грошових винагород та інших виплат, одержаних військовослужбовцями. </w:t>
      </w:r>
    </w:p>
    <w:p w:rsidR="001C1C1C" w:rsidRDefault="001C1C1C" w:rsidP="001C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AC2057">
        <w:rPr>
          <w:rFonts w:ascii="Times New Roman" w:hAnsi="Times New Roman" w:cs="Times New Roman"/>
          <w:sz w:val="28"/>
          <w:szCs w:val="28"/>
          <w:lang w:val="uk-UA"/>
        </w:rPr>
        <w:t>На місцеві податки і збори припадає 34,0 відсотки доходів загального фонду. Плата за землю є найбільшим джерелом місцевих податків та зборів, її питома вага в цій групі надходжень становить 69,3 відсотка (168,2 </w:t>
      </w:r>
      <w:proofErr w:type="spellStart"/>
      <w:r w:rsidRPr="00AC2057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AC2057">
        <w:rPr>
          <w:rFonts w:ascii="Times New Roman" w:hAnsi="Times New Roman" w:cs="Times New Roman"/>
          <w:sz w:val="28"/>
          <w:szCs w:val="28"/>
          <w:lang w:val="uk-UA"/>
        </w:rPr>
        <w:t>.). В порівнянні з показниками І кварталу минулого року надходження зросли на 64,3 </w:t>
      </w:r>
      <w:proofErr w:type="spellStart"/>
      <w:r w:rsidRPr="00AC2057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AC2057">
        <w:rPr>
          <w:rFonts w:ascii="Times New Roman" w:hAnsi="Times New Roman" w:cs="Times New Roman"/>
          <w:sz w:val="28"/>
          <w:szCs w:val="28"/>
          <w:lang w:val="uk-UA"/>
        </w:rPr>
        <w:t>., що пояснюється, насамперед, індексацією грошової оцінки землі (коефіцієнт індексації в поточному році – 1,433) та запровадженням нової нормативної грошової оцінки землі.</w:t>
      </w:r>
      <w:r w:rsidRPr="00AC205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AC2057" w:rsidRPr="00003400" w:rsidRDefault="00AC2057" w:rsidP="001C1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3400">
        <w:rPr>
          <w:rFonts w:ascii="Times New Roman" w:hAnsi="Times New Roman" w:cs="Times New Roman"/>
          <w:sz w:val="28"/>
          <w:szCs w:val="28"/>
          <w:lang w:val="uk-UA"/>
        </w:rPr>
        <w:t>Значно зросли надходженн</w:t>
      </w:r>
      <w:r w:rsidR="00DF2228" w:rsidRPr="00003400">
        <w:rPr>
          <w:rFonts w:ascii="Times New Roman" w:hAnsi="Times New Roman" w:cs="Times New Roman"/>
          <w:sz w:val="28"/>
          <w:szCs w:val="28"/>
          <w:lang w:val="uk-UA"/>
        </w:rPr>
        <w:t xml:space="preserve">я по єдиному податку. До бюджету надійшло 69,3 </w:t>
      </w:r>
      <w:proofErr w:type="spellStart"/>
      <w:r w:rsidR="00DF2228" w:rsidRPr="0000340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DF2228" w:rsidRPr="00003400">
        <w:rPr>
          <w:rFonts w:ascii="Times New Roman" w:hAnsi="Times New Roman" w:cs="Times New Roman"/>
          <w:sz w:val="28"/>
          <w:szCs w:val="28"/>
          <w:lang w:val="uk-UA"/>
        </w:rPr>
        <w:t xml:space="preserve">. цього податку, що на 23,5 </w:t>
      </w:r>
      <w:proofErr w:type="spellStart"/>
      <w:r w:rsidR="00DF2228" w:rsidRPr="00003400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DF2228" w:rsidRPr="00003400">
        <w:rPr>
          <w:rFonts w:ascii="Times New Roman" w:hAnsi="Times New Roman" w:cs="Times New Roman"/>
          <w:sz w:val="28"/>
          <w:szCs w:val="28"/>
          <w:lang w:val="uk-UA"/>
        </w:rPr>
        <w:t>. більше минулорічних показників.</w:t>
      </w:r>
      <w:r w:rsidR="00DA1C66" w:rsidRPr="00003400">
        <w:rPr>
          <w:rFonts w:ascii="Times New Roman" w:hAnsi="Times New Roman" w:cs="Times New Roman"/>
          <w:sz w:val="28"/>
          <w:szCs w:val="28"/>
          <w:lang w:val="uk-UA"/>
        </w:rPr>
        <w:t xml:space="preserve"> Зазначене стало наслідком збільшення в поточному році ставок подат</w:t>
      </w:r>
      <w:r w:rsidR="00003400" w:rsidRPr="000034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A1C66" w:rsidRPr="00003400">
        <w:rPr>
          <w:rFonts w:ascii="Times New Roman" w:hAnsi="Times New Roman" w:cs="Times New Roman"/>
          <w:sz w:val="28"/>
          <w:szCs w:val="28"/>
          <w:lang w:val="uk-UA"/>
        </w:rPr>
        <w:t>у: з 2% до 3% (у разі сплати ПДВ) та з 4% до 5% (у разі включення ПДВ до складу єдиного податку)</w:t>
      </w:r>
      <w:r w:rsidR="00003400" w:rsidRPr="00003400">
        <w:rPr>
          <w:rFonts w:ascii="Times New Roman" w:hAnsi="Times New Roman" w:cs="Times New Roman"/>
          <w:sz w:val="28"/>
          <w:szCs w:val="28"/>
          <w:lang w:val="uk-UA"/>
        </w:rPr>
        <w:t xml:space="preserve"> та зростання надходжень по І, ІІ групах платників у зв’язку із підвищенням розміру мінімальної заробітної плати.</w:t>
      </w:r>
    </w:p>
    <w:p w:rsidR="00003400" w:rsidRDefault="00003400" w:rsidP="0000340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в поточному році джерела наповнення загального фонду бюджету міста поповнили</w:t>
      </w:r>
      <w:r w:rsidRPr="003013CF">
        <w:rPr>
          <w:sz w:val="28"/>
          <w:szCs w:val="28"/>
        </w:rPr>
        <w:t xml:space="preserve"> адміністративний збір за проведення державної реєстрації юридичних осіб, фізичних осіб – підприємців та громадських формувань, за державну реєстрацію речових прав на нерухоме майно та їх обтяжень та плат</w:t>
      </w:r>
      <w:r>
        <w:rPr>
          <w:sz w:val="28"/>
          <w:szCs w:val="28"/>
        </w:rPr>
        <w:t>а</w:t>
      </w:r>
      <w:r w:rsidRPr="003013CF">
        <w:rPr>
          <w:sz w:val="28"/>
          <w:szCs w:val="28"/>
        </w:rPr>
        <w:t xml:space="preserve"> за скорочення термінів надання цих послуг</w:t>
      </w:r>
      <w:r>
        <w:rPr>
          <w:sz w:val="28"/>
          <w:szCs w:val="28"/>
        </w:rPr>
        <w:t xml:space="preserve">. За цими видами доходів бюджет міста </w:t>
      </w:r>
      <w:r w:rsidRPr="00003400">
        <w:rPr>
          <w:sz w:val="28"/>
          <w:szCs w:val="28"/>
        </w:rPr>
        <w:t xml:space="preserve">отримав 0,1 </w:t>
      </w:r>
      <w:proofErr w:type="spellStart"/>
      <w:r w:rsidRPr="00003400">
        <w:rPr>
          <w:sz w:val="28"/>
          <w:szCs w:val="28"/>
        </w:rPr>
        <w:t>млн.грн</w:t>
      </w:r>
      <w:proofErr w:type="spellEnd"/>
      <w:r w:rsidRPr="00003400">
        <w:rPr>
          <w:sz w:val="28"/>
          <w:szCs w:val="28"/>
        </w:rPr>
        <w:t>.</w:t>
      </w:r>
    </w:p>
    <w:p w:rsidR="001C1C1C" w:rsidRPr="00AC2057" w:rsidRDefault="00AC2057" w:rsidP="001C1C1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C2057">
        <w:rPr>
          <w:sz w:val="28"/>
          <w:szCs w:val="28"/>
        </w:rPr>
        <w:t xml:space="preserve">Надходження </w:t>
      </w:r>
      <w:r w:rsidR="001C1C1C" w:rsidRPr="00AC2057">
        <w:rPr>
          <w:sz w:val="28"/>
          <w:szCs w:val="28"/>
        </w:rPr>
        <w:t xml:space="preserve">спеціального фонду бюджету міста </w:t>
      </w:r>
      <w:r w:rsidRPr="00AC2057">
        <w:rPr>
          <w:sz w:val="28"/>
          <w:szCs w:val="28"/>
        </w:rPr>
        <w:t xml:space="preserve">сформовані за рахунок </w:t>
      </w:r>
      <w:r w:rsidR="00DF2228" w:rsidRPr="00AC2057">
        <w:rPr>
          <w:sz w:val="28"/>
          <w:szCs w:val="28"/>
        </w:rPr>
        <w:t>власних надходжен</w:t>
      </w:r>
      <w:r w:rsidR="003A1798">
        <w:rPr>
          <w:sz w:val="28"/>
          <w:szCs w:val="28"/>
        </w:rPr>
        <w:t>ь</w:t>
      </w:r>
      <w:r w:rsidR="00DF2228" w:rsidRPr="00AC2057">
        <w:rPr>
          <w:sz w:val="28"/>
          <w:szCs w:val="28"/>
        </w:rPr>
        <w:t xml:space="preserve"> бюджетних установ</w:t>
      </w:r>
      <w:r w:rsidR="00DF2228">
        <w:rPr>
          <w:sz w:val="28"/>
          <w:szCs w:val="28"/>
        </w:rPr>
        <w:t xml:space="preserve"> (40,0 </w:t>
      </w:r>
      <w:proofErr w:type="spellStart"/>
      <w:r w:rsidR="00DF2228">
        <w:rPr>
          <w:sz w:val="28"/>
          <w:szCs w:val="28"/>
        </w:rPr>
        <w:t>млн.грн</w:t>
      </w:r>
      <w:proofErr w:type="spellEnd"/>
      <w:r w:rsidR="00DF2228">
        <w:rPr>
          <w:sz w:val="28"/>
          <w:szCs w:val="28"/>
        </w:rPr>
        <w:t>.)</w:t>
      </w:r>
      <w:r w:rsidR="00DF2228" w:rsidRPr="00AC2057">
        <w:rPr>
          <w:sz w:val="28"/>
          <w:szCs w:val="28"/>
        </w:rPr>
        <w:t>,</w:t>
      </w:r>
      <w:r w:rsidR="00DF2228">
        <w:rPr>
          <w:sz w:val="28"/>
          <w:szCs w:val="28"/>
        </w:rPr>
        <w:t xml:space="preserve"> </w:t>
      </w:r>
      <w:r w:rsidR="001C1C1C" w:rsidRPr="00AC2057">
        <w:rPr>
          <w:sz w:val="28"/>
          <w:szCs w:val="28"/>
        </w:rPr>
        <w:t>надходжен</w:t>
      </w:r>
      <w:r w:rsidRPr="00AC2057">
        <w:rPr>
          <w:sz w:val="28"/>
          <w:szCs w:val="28"/>
        </w:rPr>
        <w:t>ь</w:t>
      </w:r>
      <w:r w:rsidR="001C1C1C" w:rsidRPr="00AC2057">
        <w:rPr>
          <w:sz w:val="28"/>
          <w:szCs w:val="28"/>
        </w:rPr>
        <w:t xml:space="preserve"> </w:t>
      </w:r>
      <w:r w:rsidR="00DF2228">
        <w:rPr>
          <w:sz w:val="28"/>
          <w:szCs w:val="28"/>
        </w:rPr>
        <w:t xml:space="preserve">екологічного податку та </w:t>
      </w:r>
      <w:r w:rsidR="001C1C1C" w:rsidRPr="00AC2057">
        <w:rPr>
          <w:sz w:val="28"/>
          <w:szCs w:val="28"/>
        </w:rPr>
        <w:t>грошових стягнень за шкоду, заподіяну порушенням законодавства про охорону навколишнього природного середовища внаслідок господарської та іншої діяльності</w:t>
      </w:r>
      <w:r w:rsidR="00DF2228">
        <w:rPr>
          <w:sz w:val="28"/>
          <w:szCs w:val="28"/>
        </w:rPr>
        <w:t xml:space="preserve"> (4,6 </w:t>
      </w:r>
      <w:proofErr w:type="spellStart"/>
      <w:r w:rsidR="00DF2228">
        <w:rPr>
          <w:sz w:val="28"/>
          <w:szCs w:val="28"/>
        </w:rPr>
        <w:t>млн.грн</w:t>
      </w:r>
      <w:proofErr w:type="spellEnd"/>
      <w:r w:rsidR="00DF2228">
        <w:rPr>
          <w:sz w:val="28"/>
          <w:szCs w:val="28"/>
        </w:rPr>
        <w:t>.)</w:t>
      </w:r>
      <w:r w:rsidR="001C1C1C" w:rsidRPr="00AC2057">
        <w:rPr>
          <w:sz w:val="28"/>
          <w:szCs w:val="28"/>
        </w:rPr>
        <w:t>, коштів пайової участі у розвитку інфраструктури населеного пункту</w:t>
      </w:r>
      <w:r w:rsidR="00DF2228">
        <w:rPr>
          <w:sz w:val="28"/>
          <w:szCs w:val="28"/>
        </w:rPr>
        <w:t xml:space="preserve"> (1,7 </w:t>
      </w:r>
      <w:proofErr w:type="spellStart"/>
      <w:r w:rsidR="00DF2228">
        <w:rPr>
          <w:sz w:val="28"/>
          <w:szCs w:val="28"/>
        </w:rPr>
        <w:t>млн.грн</w:t>
      </w:r>
      <w:proofErr w:type="spellEnd"/>
      <w:r w:rsidR="00DF2228">
        <w:rPr>
          <w:sz w:val="28"/>
          <w:szCs w:val="28"/>
        </w:rPr>
        <w:t>.)</w:t>
      </w:r>
      <w:r w:rsidRPr="00AC2057">
        <w:rPr>
          <w:sz w:val="28"/>
          <w:szCs w:val="28"/>
        </w:rPr>
        <w:t>,</w:t>
      </w:r>
      <w:r w:rsidR="001C1C1C" w:rsidRPr="00AC2057">
        <w:rPr>
          <w:sz w:val="28"/>
          <w:szCs w:val="28"/>
        </w:rPr>
        <w:t xml:space="preserve"> </w:t>
      </w:r>
      <w:r w:rsidRPr="00AC2057">
        <w:rPr>
          <w:sz w:val="28"/>
          <w:szCs w:val="28"/>
        </w:rPr>
        <w:t>коштів від продажу землі</w:t>
      </w:r>
      <w:r w:rsidR="00DF2228">
        <w:rPr>
          <w:sz w:val="28"/>
          <w:szCs w:val="28"/>
        </w:rPr>
        <w:t xml:space="preserve"> та відчуження майна комунальної власності (1,3 </w:t>
      </w:r>
      <w:proofErr w:type="spellStart"/>
      <w:r w:rsidR="00DF2228">
        <w:rPr>
          <w:sz w:val="28"/>
          <w:szCs w:val="28"/>
        </w:rPr>
        <w:t>млн.грн</w:t>
      </w:r>
      <w:proofErr w:type="spellEnd"/>
      <w:r w:rsidR="00DF2228">
        <w:rPr>
          <w:sz w:val="28"/>
          <w:szCs w:val="28"/>
        </w:rPr>
        <w:t>.) тощо</w:t>
      </w:r>
      <w:r w:rsidR="001C1C1C" w:rsidRPr="00AC2057">
        <w:rPr>
          <w:sz w:val="28"/>
          <w:szCs w:val="28"/>
        </w:rPr>
        <w:t>. Обсяг доходів бюджету розвитку склав 3,0 </w:t>
      </w:r>
      <w:proofErr w:type="spellStart"/>
      <w:r w:rsidR="001C1C1C" w:rsidRPr="00AC2057">
        <w:rPr>
          <w:sz w:val="28"/>
          <w:szCs w:val="28"/>
        </w:rPr>
        <w:t>млн.грн</w:t>
      </w:r>
      <w:proofErr w:type="spellEnd"/>
      <w:r w:rsidR="001C1C1C" w:rsidRPr="00AC2057">
        <w:rPr>
          <w:sz w:val="28"/>
          <w:szCs w:val="28"/>
        </w:rPr>
        <w:t>.</w:t>
      </w:r>
    </w:p>
    <w:p w:rsidR="001C1C1C" w:rsidRPr="001C1C1C" w:rsidRDefault="001C1C1C" w:rsidP="001C1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B7FA2" w:rsidRDefault="009B7FA2" w:rsidP="001C1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C1C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Видатки бюджету міста проведено в обсязі 1</w:t>
      </w:r>
      <w:r w:rsidR="00096C05" w:rsidRPr="001C1C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 057,0 </w:t>
      </w:r>
      <w:proofErr w:type="spellStart"/>
      <w:r w:rsidR="00096C05" w:rsidRPr="001C1C1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="00096C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., в тому числі по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0B43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</w:t>
      </w:r>
      <w:r w:rsidR="00096C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0B43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фонд</w:t>
      </w:r>
      <w:r w:rsidR="00096C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0B43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– 1 002,2 </w:t>
      </w:r>
      <w:proofErr w:type="spellStart"/>
      <w:r w:rsidRPr="000B43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Pr="000B43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., або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87,3</w:t>
      </w:r>
      <w:r w:rsidRPr="000B43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% планових показників на відповідний пе</w:t>
      </w:r>
      <w:r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ріод,</w:t>
      </w:r>
      <w:r w:rsidR="00096C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</w:t>
      </w:r>
      <w:r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спеціальн</w:t>
      </w:r>
      <w:r w:rsidR="00096C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ому</w:t>
      </w:r>
      <w:r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фонд</w:t>
      </w:r>
      <w:r w:rsidR="00096C0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</w:t>
      </w:r>
      <w:r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54,8 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B44FA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яких видатки бюджету розвитку – 17,</w:t>
      </w:r>
      <w:r w:rsidR="001A5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 </w:t>
      </w:r>
      <w:proofErr w:type="spellStart"/>
      <w:r w:rsidR="001A5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="001A52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351F6F"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</w:t>
      </w:r>
      <w:r w:rsidR="00351F6F" w:rsidRPr="00EF66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 державного бюджету перераховано реверсної дотації в сумі </w:t>
      </w:r>
      <w:r w:rsidR="00351F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46,3</w:t>
      </w:r>
      <w:r w:rsidR="00351F6F"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351F6F" w:rsidRPr="00EF66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="00351F6F" w:rsidRPr="00EF66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351F6F" w:rsidRPr="004370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що дорівнює плановим показникам</w:t>
      </w:r>
      <w:r w:rsidR="00351F6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B10181" w:rsidRDefault="003E0839" w:rsidP="00B101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0839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drawing>
          <wp:inline distT="0" distB="0" distL="0" distR="0">
            <wp:extent cx="6031230" cy="3297766"/>
            <wp:effectExtent l="19050" t="0" r="762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84714" w:rsidRDefault="00FA1E42" w:rsidP="00B1018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Майже 85 відсотків загального обсягу витрат склали захищені статті видатків, </w:t>
      </w:r>
      <w:r w:rsidR="00A63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які спрямовано </w:t>
      </w:r>
      <w:r w:rsidR="00584714" w:rsidRPr="00F01D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887,2 </w:t>
      </w:r>
      <w:proofErr w:type="spellStart"/>
      <w:r w:rsidR="00584714" w:rsidRPr="00F01D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 w:rsidR="00A6391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4024C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131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</w:t>
      </w:r>
      <w:r w:rsidR="00A63915" w:rsidRPr="00F01D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иплата заробітної плати здійснювалась своєчасно та в повному обсязі</w:t>
      </w:r>
      <w:r w:rsidR="007131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заборгованість перед працівниками бюджетних установ відсутня</w:t>
      </w:r>
      <w:r w:rsidR="00A63915" w:rsidRPr="00F01D7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13158" w:rsidRDefault="00E67DC6" w:rsidP="00402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="007131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меншення тарифів на оплату теплової енергії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послуг з централізованого гарячого водопостачання </w:t>
      </w:r>
      <w:r w:rsidR="007131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3,8 відсотка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3,5 відсотка відповідно, а також проведення розрахунків у квітні за березень зумовило </w:t>
      </w:r>
      <w:r w:rsidR="0071315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виконання планових показників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рівні 65,3 відсотки.</w:t>
      </w:r>
    </w:p>
    <w:p w:rsidR="00E67DC6" w:rsidRDefault="00E67DC6" w:rsidP="00402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Невиконання плану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діто-днів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харчування дітей в закладах освіти, що </w:t>
      </w:r>
      <w:r w:rsidR="00707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спричинено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насамперед, введенням карантину </w:t>
      </w:r>
      <w:r w:rsidR="00B101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запобігання збільшення рівня захворюваності на грип та ГРВІ, пояснює </w:t>
      </w:r>
      <w:r w:rsidR="00707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стан виконання</w:t>
      </w:r>
      <w:r w:rsidR="00B101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планових показників </w:t>
      </w:r>
      <w:r w:rsidR="00707D9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 видатках </w:t>
      </w:r>
      <w:r w:rsidR="00B101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(77,6 відсотка).</w:t>
      </w:r>
    </w:p>
    <w:p w:rsidR="00713158" w:rsidRDefault="00713158" w:rsidP="004024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 звітному періоді проведено процедури закупівель </w:t>
      </w:r>
      <w:r w:rsidR="00B1018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укладені договори на закупівлю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ліків на загальну суму 20,3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млн.грн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A63915" w:rsidRDefault="00A63915" w:rsidP="001C1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функціональною ознакою напрямки використання коштів наведено в діаграмі.</w:t>
      </w:r>
    </w:p>
    <w:p w:rsidR="00B20E18" w:rsidRPr="00B10181" w:rsidRDefault="00615A6C" w:rsidP="001C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10181">
        <w:rPr>
          <w:rFonts w:ascii="Times New Roman" w:hAnsi="Times New Roman" w:cs="Times New Roman"/>
          <w:b/>
          <w:i/>
          <w:sz w:val="24"/>
          <w:szCs w:val="24"/>
          <w:lang w:val="uk-UA"/>
        </w:rPr>
        <w:t>Структура видатків бюджету міста за функціональною структурою</w:t>
      </w:r>
      <w:r w:rsidR="00584714" w:rsidRPr="00B1018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664918" w:rsidRPr="00B10181" w:rsidRDefault="00584714" w:rsidP="001C1C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10181">
        <w:rPr>
          <w:rFonts w:ascii="Times New Roman" w:hAnsi="Times New Roman" w:cs="Times New Roman"/>
          <w:b/>
          <w:i/>
          <w:sz w:val="24"/>
          <w:szCs w:val="24"/>
          <w:lang w:val="uk-UA"/>
        </w:rPr>
        <w:t>за 1 квартал 2016 року</w:t>
      </w:r>
    </w:p>
    <w:p w:rsidR="00673D16" w:rsidRDefault="00F2416F" w:rsidP="001C1C1C">
      <w:pPr>
        <w:pStyle w:val="justifyfull"/>
        <w:spacing w:before="0" w:beforeAutospacing="0" w:after="0" w:afterAutospacing="0"/>
        <w:ind w:firstLine="142"/>
        <w:jc w:val="both"/>
        <w:rPr>
          <w:rFonts w:eastAsia="Calibri"/>
          <w:sz w:val="28"/>
          <w:szCs w:val="28"/>
          <w:lang w:val="uk-UA"/>
        </w:rPr>
      </w:pPr>
      <w:r w:rsidRPr="00F2416F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704417" cy="2588684"/>
            <wp:effectExtent l="19050" t="1905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B49D3" w:rsidRPr="004B49D3" w:rsidRDefault="00584714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EA000B">
        <w:rPr>
          <w:rFonts w:eastAsia="Calibri"/>
          <w:sz w:val="28"/>
          <w:szCs w:val="28"/>
          <w:lang w:val="uk-UA"/>
        </w:rPr>
        <w:t xml:space="preserve">На </w:t>
      </w:r>
      <w:r w:rsidR="009C480B">
        <w:rPr>
          <w:rFonts w:eastAsia="Calibri"/>
          <w:sz w:val="28"/>
          <w:szCs w:val="28"/>
          <w:lang w:val="uk-UA"/>
        </w:rPr>
        <w:t xml:space="preserve">забезпечення функціонування та розвиток установ соціально-культурної сфери </w:t>
      </w:r>
      <w:r w:rsidRPr="00EA000B">
        <w:rPr>
          <w:rFonts w:eastAsia="Calibri"/>
          <w:sz w:val="28"/>
          <w:szCs w:val="28"/>
          <w:lang w:val="uk-UA"/>
        </w:rPr>
        <w:t xml:space="preserve">витрачено </w:t>
      </w:r>
      <w:r w:rsidR="009C480B">
        <w:rPr>
          <w:rFonts w:eastAsia="Calibri"/>
          <w:sz w:val="28"/>
          <w:szCs w:val="28"/>
          <w:lang w:val="uk-UA"/>
        </w:rPr>
        <w:t>548,6</w:t>
      </w:r>
      <w:r w:rsidRPr="00EA000B">
        <w:rPr>
          <w:rFonts w:eastAsia="Calibri"/>
          <w:sz w:val="28"/>
          <w:szCs w:val="28"/>
          <w:lang w:val="uk-UA"/>
        </w:rPr>
        <w:t>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r w:rsidR="009C480B">
        <w:rPr>
          <w:rFonts w:eastAsia="Calibri"/>
          <w:sz w:val="28"/>
          <w:szCs w:val="28"/>
          <w:lang w:val="uk-UA"/>
        </w:rPr>
        <w:t>,</w:t>
      </w:r>
      <w:r>
        <w:rPr>
          <w:rFonts w:eastAsia="Calibri"/>
          <w:sz w:val="28"/>
          <w:szCs w:val="28"/>
          <w:lang w:val="uk-UA"/>
        </w:rPr>
        <w:t xml:space="preserve"> </w:t>
      </w:r>
      <w:r w:rsidR="009C480B">
        <w:rPr>
          <w:rFonts w:eastAsia="Calibri"/>
          <w:sz w:val="28"/>
          <w:szCs w:val="28"/>
          <w:lang w:val="uk-UA"/>
        </w:rPr>
        <w:t xml:space="preserve">що становить 51,9 відсотка </w:t>
      </w:r>
      <w:r w:rsidRPr="00EA000B">
        <w:rPr>
          <w:rFonts w:eastAsia="Calibri"/>
          <w:sz w:val="28"/>
          <w:szCs w:val="28"/>
          <w:lang w:val="uk-UA"/>
        </w:rPr>
        <w:t>загал</w:t>
      </w:r>
      <w:r>
        <w:rPr>
          <w:rFonts w:eastAsia="Calibri"/>
          <w:sz w:val="28"/>
          <w:szCs w:val="28"/>
          <w:lang w:val="uk-UA"/>
        </w:rPr>
        <w:t>ьного обсягу витрат</w:t>
      </w:r>
      <w:r w:rsidR="009C480B">
        <w:rPr>
          <w:rFonts w:eastAsia="Calibri"/>
          <w:sz w:val="28"/>
          <w:szCs w:val="28"/>
          <w:lang w:val="uk-UA"/>
        </w:rPr>
        <w:t xml:space="preserve">, в тому числі на освіту - </w:t>
      </w:r>
      <w:r w:rsidR="00317BDE" w:rsidRPr="00BB2A16">
        <w:rPr>
          <w:rFonts w:eastAsia="Calibri"/>
          <w:sz w:val="28"/>
          <w:szCs w:val="28"/>
          <w:lang w:val="uk-UA"/>
        </w:rPr>
        <w:t xml:space="preserve">322,8 </w:t>
      </w:r>
      <w:proofErr w:type="spellStart"/>
      <w:r w:rsidR="00317BDE" w:rsidRPr="00BB2A16">
        <w:rPr>
          <w:rFonts w:eastAsia="Calibri"/>
          <w:sz w:val="28"/>
          <w:szCs w:val="28"/>
          <w:lang w:val="uk-UA"/>
        </w:rPr>
        <w:t>млн.грн</w:t>
      </w:r>
      <w:proofErr w:type="spellEnd"/>
      <w:r w:rsidR="00317BDE" w:rsidRPr="00BB2A16">
        <w:rPr>
          <w:rFonts w:eastAsia="Calibri"/>
          <w:sz w:val="28"/>
          <w:szCs w:val="28"/>
          <w:lang w:val="uk-UA"/>
        </w:rPr>
        <w:t>.</w:t>
      </w:r>
      <w:r w:rsidR="00F320FF" w:rsidRPr="00BB2A16">
        <w:rPr>
          <w:rFonts w:eastAsia="Calibri"/>
          <w:sz w:val="28"/>
          <w:szCs w:val="28"/>
          <w:lang w:val="uk-UA"/>
        </w:rPr>
        <w:t xml:space="preserve">, </w:t>
      </w:r>
      <w:r w:rsidR="00335DF1" w:rsidRPr="00FA51B2">
        <w:rPr>
          <w:rFonts w:eastAsia="Calibri"/>
          <w:sz w:val="28"/>
          <w:szCs w:val="28"/>
          <w:lang w:val="uk-UA"/>
        </w:rPr>
        <w:t xml:space="preserve">охорону здоров'я </w:t>
      </w:r>
      <w:r w:rsidR="00FA51B2">
        <w:rPr>
          <w:rFonts w:eastAsia="Calibri"/>
          <w:sz w:val="28"/>
          <w:szCs w:val="28"/>
          <w:lang w:val="uk-UA"/>
        </w:rPr>
        <w:t xml:space="preserve">- </w:t>
      </w:r>
      <w:r w:rsidR="006B5D9E" w:rsidRPr="00FA51B2">
        <w:rPr>
          <w:rFonts w:eastAsia="Calibri"/>
          <w:sz w:val="28"/>
          <w:szCs w:val="28"/>
          <w:lang w:val="uk-UA"/>
        </w:rPr>
        <w:t>184,9</w:t>
      </w:r>
      <w:r w:rsidR="00335DF1">
        <w:rPr>
          <w:rFonts w:eastAsia="Calibri"/>
          <w:sz w:val="28"/>
          <w:szCs w:val="28"/>
        </w:rPr>
        <w:t> </w:t>
      </w:r>
      <w:proofErr w:type="spellStart"/>
      <w:r w:rsidR="00335DF1" w:rsidRPr="00FA51B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335DF1" w:rsidRPr="00FA51B2">
        <w:rPr>
          <w:rFonts w:eastAsia="Calibri"/>
          <w:sz w:val="28"/>
          <w:szCs w:val="28"/>
          <w:lang w:val="uk-UA"/>
        </w:rPr>
        <w:t>.</w:t>
      </w:r>
      <w:r w:rsidR="004B49D3" w:rsidRPr="00FA51B2">
        <w:rPr>
          <w:rFonts w:eastAsia="Calibri"/>
          <w:sz w:val="28"/>
          <w:szCs w:val="28"/>
          <w:lang w:val="uk-UA"/>
        </w:rPr>
        <w:t>,</w:t>
      </w:r>
      <w:r w:rsidR="0063130B" w:rsidRPr="00FA51B2">
        <w:rPr>
          <w:rFonts w:eastAsia="Calibri"/>
          <w:sz w:val="28"/>
          <w:szCs w:val="28"/>
          <w:lang w:val="uk-UA"/>
        </w:rPr>
        <w:t xml:space="preserve"> </w:t>
      </w:r>
      <w:r w:rsidR="00BE7599" w:rsidRPr="00FA51B2">
        <w:rPr>
          <w:rFonts w:eastAsia="Calibri"/>
          <w:sz w:val="28"/>
          <w:szCs w:val="28"/>
          <w:lang w:val="uk-UA"/>
        </w:rPr>
        <w:t>культур</w:t>
      </w:r>
      <w:r w:rsidR="00FA51B2" w:rsidRPr="00FA51B2">
        <w:rPr>
          <w:rFonts w:eastAsia="Calibri"/>
          <w:sz w:val="28"/>
          <w:szCs w:val="28"/>
          <w:lang w:val="uk-UA"/>
        </w:rPr>
        <w:t>у</w:t>
      </w:r>
      <w:r w:rsidR="00BE7599" w:rsidRPr="00FA51B2">
        <w:rPr>
          <w:rFonts w:eastAsia="Calibri"/>
          <w:sz w:val="28"/>
          <w:szCs w:val="28"/>
          <w:lang w:val="uk-UA"/>
        </w:rPr>
        <w:t xml:space="preserve"> </w:t>
      </w:r>
      <w:r w:rsidR="00FA51B2" w:rsidRPr="00FA51B2">
        <w:rPr>
          <w:rFonts w:eastAsia="Calibri"/>
          <w:sz w:val="28"/>
          <w:szCs w:val="28"/>
          <w:lang w:val="uk-UA"/>
        </w:rPr>
        <w:t xml:space="preserve">- </w:t>
      </w:r>
      <w:r w:rsidR="00BE7599" w:rsidRPr="00FA51B2">
        <w:rPr>
          <w:rFonts w:eastAsia="Calibri"/>
          <w:sz w:val="28"/>
          <w:szCs w:val="28"/>
          <w:lang w:val="uk-UA"/>
        </w:rPr>
        <w:t>25,6 </w:t>
      </w:r>
      <w:proofErr w:type="spellStart"/>
      <w:r w:rsidR="00BE7599" w:rsidRPr="00FA51B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BE7599">
        <w:rPr>
          <w:rFonts w:eastAsia="Calibri"/>
          <w:sz w:val="28"/>
          <w:szCs w:val="28"/>
          <w:lang w:val="uk-UA"/>
        </w:rPr>
        <w:t>.</w:t>
      </w:r>
      <w:r w:rsidR="00FA51B2">
        <w:rPr>
          <w:rFonts w:eastAsia="Calibri"/>
          <w:sz w:val="28"/>
          <w:szCs w:val="28"/>
          <w:lang w:val="uk-UA"/>
        </w:rPr>
        <w:t>,</w:t>
      </w:r>
      <w:r w:rsidR="00BE7599" w:rsidRPr="003B4933">
        <w:rPr>
          <w:rFonts w:eastAsia="Calibri"/>
          <w:sz w:val="28"/>
          <w:szCs w:val="28"/>
          <w:lang w:val="uk-UA"/>
        </w:rPr>
        <w:t xml:space="preserve"> </w:t>
      </w:r>
      <w:r w:rsidR="00BE7599" w:rsidRPr="00FA51B2">
        <w:rPr>
          <w:rFonts w:eastAsia="Calibri"/>
          <w:sz w:val="28"/>
          <w:szCs w:val="28"/>
          <w:lang w:val="uk-UA"/>
        </w:rPr>
        <w:t>фізичну культуру і спорт</w:t>
      </w:r>
      <w:r w:rsidR="00BE7599" w:rsidRPr="003B4933">
        <w:rPr>
          <w:rFonts w:eastAsia="Calibri"/>
          <w:sz w:val="28"/>
          <w:szCs w:val="28"/>
          <w:lang w:val="uk-UA"/>
        </w:rPr>
        <w:t xml:space="preserve"> </w:t>
      </w:r>
      <w:r w:rsidR="00FA51B2">
        <w:rPr>
          <w:rFonts w:eastAsia="Calibri"/>
          <w:sz w:val="28"/>
          <w:szCs w:val="28"/>
          <w:lang w:val="uk-UA"/>
        </w:rPr>
        <w:t>-</w:t>
      </w:r>
      <w:r w:rsidR="00BE7599">
        <w:rPr>
          <w:rFonts w:eastAsia="Calibri"/>
          <w:sz w:val="28"/>
          <w:szCs w:val="28"/>
          <w:lang w:val="uk-UA"/>
        </w:rPr>
        <w:t xml:space="preserve"> </w:t>
      </w:r>
      <w:r w:rsidR="00BE7599">
        <w:rPr>
          <w:rFonts w:eastAsia="Calibri"/>
          <w:sz w:val="28"/>
          <w:szCs w:val="28"/>
          <w:lang w:val="uk-UA"/>
        </w:rPr>
        <w:lastRenderedPageBreak/>
        <w:t>9,2 </w:t>
      </w:r>
      <w:proofErr w:type="spellStart"/>
      <w:r w:rsidR="00BE7599">
        <w:rPr>
          <w:rFonts w:eastAsia="Calibri"/>
          <w:sz w:val="28"/>
          <w:szCs w:val="28"/>
          <w:lang w:val="uk-UA"/>
        </w:rPr>
        <w:t>млн.грн</w:t>
      </w:r>
      <w:proofErr w:type="spellEnd"/>
      <w:r w:rsidR="00BE7599">
        <w:rPr>
          <w:rFonts w:eastAsia="Calibri"/>
          <w:sz w:val="28"/>
          <w:szCs w:val="28"/>
          <w:lang w:val="uk-UA"/>
        </w:rPr>
        <w:t xml:space="preserve">., </w:t>
      </w:r>
      <w:r w:rsidR="00FA51B2">
        <w:rPr>
          <w:rFonts w:eastAsia="Calibri"/>
          <w:sz w:val="28"/>
          <w:szCs w:val="28"/>
          <w:lang w:val="uk-UA"/>
        </w:rPr>
        <w:t>утримання та здійснення заходів центрів соціальних служб для сім’ї, дітей та молоді – 0,7 </w:t>
      </w:r>
      <w:proofErr w:type="spellStart"/>
      <w:r w:rsidR="00FA51B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FA51B2">
        <w:rPr>
          <w:rFonts w:eastAsia="Calibri"/>
          <w:sz w:val="28"/>
          <w:szCs w:val="28"/>
          <w:lang w:val="uk-UA"/>
        </w:rPr>
        <w:t>., Запорізького міського територіального центру соціального обслуговування (надання соціальних послуг) - 5,4 </w:t>
      </w:r>
      <w:proofErr w:type="spellStart"/>
      <w:r w:rsidR="00FA51B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FA51B2">
        <w:rPr>
          <w:rFonts w:eastAsia="Calibri"/>
          <w:sz w:val="28"/>
          <w:szCs w:val="28"/>
          <w:lang w:val="uk-UA"/>
        </w:rPr>
        <w:t>.</w:t>
      </w:r>
    </w:p>
    <w:p w:rsidR="00104352" w:rsidRPr="00FA51B2" w:rsidRDefault="00FA51B2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</w:t>
      </w:r>
      <w:r w:rsidR="00D73030" w:rsidRPr="00FA51B2">
        <w:rPr>
          <w:rFonts w:eastAsia="Calibri"/>
          <w:sz w:val="28"/>
          <w:szCs w:val="28"/>
          <w:lang w:val="uk-UA"/>
        </w:rPr>
        <w:t>соціальн</w:t>
      </w:r>
      <w:r w:rsidRPr="00FA51B2">
        <w:rPr>
          <w:rFonts w:eastAsia="Calibri"/>
          <w:sz w:val="28"/>
          <w:szCs w:val="28"/>
          <w:lang w:val="uk-UA"/>
        </w:rPr>
        <w:t>ого</w:t>
      </w:r>
      <w:r w:rsidR="00D73030" w:rsidRPr="00FA51B2">
        <w:rPr>
          <w:rFonts w:eastAsia="Calibri"/>
          <w:sz w:val="28"/>
          <w:szCs w:val="28"/>
          <w:lang w:val="uk-UA"/>
        </w:rPr>
        <w:t xml:space="preserve"> захист</w:t>
      </w:r>
      <w:r w:rsidRPr="00FA51B2">
        <w:rPr>
          <w:rFonts w:eastAsia="Calibri"/>
          <w:sz w:val="28"/>
          <w:szCs w:val="28"/>
          <w:lang w:val="uk-UA"/>
        </w:rPr>
        <w:t>у</w:t>
      </w:r>
      <w:r w:rsidR="00D73030" w:rsidRPr="00FA51B2">
        <w:rPr>
          <w:rFonts w:eastAsia="Calibri"/>
          <w:sz w:val="28"/>
          <w:szCs w:val="28"/>
          <w:lang w:val="uk-UA"/>
        </w:rPr>
        <w:t xml:space="preserve"> </w:t>
      </w:r>
      <w:r w:rsidRPr="00FA51B2">
        <w:rPr>
          <w:rFonts w:eastAsia="Calibri"/>
          <w:sz w:val="28"/>
          <w:szCs w:val="28"/>
          <w:lang w:val="uk-UA"/>
        </w:rPr>
        <w:t>витрачено</w:t>
      </w:r>
      <w:r w:rsidR="00D73030" w:rsidRPr="00FA51B2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319,5</w:t>
      </w:r>
      <w:r w:rsidR="00D73030" w:rsidRPr="00FA51B2">
        <w:rPr>
          <w:rFonts w:eastAsia="Calibri"/>
          <w:sz w:val="28"/>
          <w:szCs w:val="28"/>
          <w:lang w:val="uk-UA"/>
        </w:rPr>
        <w:t> </w:t>
      </w:r>
      <w:proofErr w:type="spellStart"/>
      <w:r w:rsidR="00D73030" w:rsidRPr="00FA51B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D73030" w:rsidRPr="00FA51B2">
        <w:rPr>
          <w:rFonts w:eastAsia="Calibri"/>
          <w:sz w:val="28"/>
          <w:szCs w:val="28"/>
          <w:lang w:val="uk-UA"/>
        </w:rPr>
        <w:t xml:space="preserve">., з яких за рахунок відповідних субвенцій з державного бюджету – </w:t>
      </w:r>
      <w:r w:rsidR="00104352" w:rsidRPr="00FA51B2">
        <w:rPr>
          <w:rFonts w:eastAsia="Calibri"/>
          <w:sz w:val="28"/>
          <w:szCs w:val="28"/>
          <w:lang w:val="uk-UA"/>
        </w:rPr>
        <w:t>302,4</w:t>
      </w:r>
      <w:r w:rsidR="00D73030" w:rsidRPr="00FA51B2">
        <w:rPr>
          <w:rFonts w:eastAsia="Calibri"/>
          <w:sz w:val="28"/>
          <w:szCs w:val="28"/>
          <w:lang w:val="uk-UA"/>
        </w:rPr>
        <w:t> </w:t>
      </w:r>
      <w:proofErr w:type="spellStart"/>
      <w:r w:rsidR="00D73030" w:rsidRPr="00FA51B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D73030" w:rsidRPr="00FA51B2">
        <w:rPr>
          <w:rFonts w:eastAsia="Calibri"/>
          <w:sz w:val="28"/>
          <w:szCs w:val="28"/>
          <w:lang w:val="uk-UA"/>
        </w:rPr>
        <w:t>.</w:t>
      </w:r>
    </w:p>
    <w:p w:rsidR="00701052" w:rsidRDefault="00701052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 w:rsidRPr="00104352">
        <w:rPr>
          <w:rFonts w:eastAsia="Calibri"/>
          <w:sz w:val="28"/>
          <w:szCs w:val="28"/>
          <w:lang w:val="uk-UA"/>
        </w:rPr>
        <w:t>Кошти субвенцій спрямовані на надання допомоги сім’ям з дітьми, малозабезпеченим сім’ям, інвалідам з дитинства, дітям-інвалідам, тимчасової державної допомоги дітям у сум</w:t>
      </w:r>
      <w:r w:rsidR="00366B5F">
        <w:rPr>
          <w:rFonts w:eastAsia="Calibri"/>
          <w:sz w:val="28"/>
          <w:szCs w:val="28"/>
          <w:lang w:val="uk-UA"/>
        </w:rPr>
        <w:t xml:space="preserve">і 146,6 </w:t>
      </w:r>
      <w:proofErr w:type="spellStart"/>
      <w:r w:rsidR="00366B5F">
        <w:rPr>
          <w:rFonts w:eastAsia="Calibri"/>
          <w:sz w:val="28"/>
          <w:szCs w:val="28"/>
          <w:lang w:val="uk-UA"/>
        </w:rPr>
        <w:t>млн.грн</w:t>
      </w:r>
      <w:proofErr w:type="spellEnd"/>
      <w:r w:rsidR="00366B5F">
        <w:rPr>
          <w:rFonts w:eastAsia="Calibri"/>
          <w:sz w:val="28"/>
          <w:szCs w:val="28"/>
          <w:lang w:val="uk-UA"/>
        </w:rPr>
        <w:t>.,</w:t>
      </w:r>
      <w:r w:rsidRPr="00104352">
        <w:rPr>
          <w:rFonts w:eastAsia="Calibri"/>
          <w:sz w:val="28"/>
          <w:szCs w:val="28"/>
          <w:lang w:val="uk-UA"/>
        </w:rPr>
        <w:t xml:space="preserve"> надання пільг</w:t>
      </w:r>
      <w:r w:rsidR="00366B5F">
        <w:rPr>
          <w:rFonts w:eastAsia="Calibri"/>
          <w:sz w:val="28"/>
          <w:szCs w:val="28"/>
          <w:lang w:val="uk-UA"/>
        </w:rPr>
        <w:t xml:space="preserve"> і субсидій</w:t>
      </w:r>
      <w:r w:rsidR="005A50C5">
        <w:rPr>
          <w:rFonts w:eastAsia="Calibri"/>
          <w:sz w:val="28"/>
          <w:szCs w:val="28"/>
          <w:lang w:val="uk-UA"/>
        </w:rPr>
        <w:t xml:space="preserve"> населенню </w:t>
      </w:r>
      <w:r w:rsidRPr="00104352">
        <w:rPr>
          <w:rFonts w:eastAsia="Calibri"/>
          <w:sz w:val="28"/>
          <w:szCs w:val="28"/>
          <w:lang w:val="uk-UA"/>
        </w:rPr>
        <w:t xml:space="preserve">при оплаті електроенергії, природного газу, послуг </w:t>
      </w:r>
      <w:proofErr w:type="spellStart"/>
      <w:r w:rsidRPr="00104352">
        <w:rPr>
          <w:rFonts w:eastAsia="Calibri"/>
          <w:sz w:val="28"/>
          <w:szCs w:val="28"/>
          <w:lang w:val="uk-UA"/>
        </w:rPr>
        <w:t>тепло-</w:t>
      </w:r>
      <w:proofErr w:type="spellEnd"/>
      <w:r w:rsidRPr="00104352">
        <w:rPr>
          <w:rFonts w:eastAsia="Calibri"/>
          <w:sz w:val="28"/>
          <w:szCs w:val="28"/>
          <w:lang w:val="uk-UA"/>
        </w:rPr>
        <w:t xml:space="preserve">, водопостачання і водовідведення, квартирної плати, вивезення побутового сміття та рідких нечистот, твердого та рідкого пічного побутового палива і скрапленого газу – </w:t>
      </w:r>
      <w:r w:rsidR="00366B5F">
        <w:rPr>
          <w:rFonts w:eastAsia="Calibri"/>
          <w:sz w:val="28"/>
          <w:szCs w:val="28"/>
          <w:lang w:val="uk-UA"/>
        </w:rPr>
        <w:t>155,8</w:t>
      </w:r>
      <w:r w:rsidRPr="00104352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04352">
        <w:rPr>
          <w:rFonts w:eastAsia="Calibri"/>
          <w:sz w:val="28"/>
          <w:szCs w:val="28"/>
          <w:lang w:val="uk-UA"/>
        </w:rPr>
        <w:t>млн.грн</w:t>
      </w:r>
      <w:proofErr w:type="spellEnd"/>
      <w:r w:rsidRPr="00104352">
        <w:rPr>
          <w:rFonts w:eastAsia="Calibri"/>
          <w:sz w:val="28"/>
          <w:szCs w:val="28"/>
          <w:lang w:val="uk-UA"/>
        </w:rPr>
        <w:t>.</w:t>
      </w:r>
    </w:p>
    <w:p w:rsidR="00FA51B2" w:rsidRPr="00104352" w:rsidRDefault="00FA51B2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За звітний період скористалися пільгами на житлово-комунальні послуги 64,4 </w:t>
      </w:r>
      <w:proofErr w:type="spellStart"/>
      <w:r>
        <w:rPr>
          <w:rFonts w:eastAsia="Calibri"/>
          <w:sz w:val="28"/>
          <w:szCs w:val="28"/>
          <w:lang w:val="uk-UA"/>
        </w:rPr>
        <w:t>тис.чол</w:t>
      </w:r>
      <w:proofErr w:type="spellEnd"/>
      <w:r w:rsidR="00EC569E">
        <w:rPr>
          <w:rFonts w:eastAsia="Calibri"/>
          <w:sz w:val="28"/>
          <w:szCs w:val="28"/>
          <w:lang w:val="uk-UA"/>
        </w:rPr>
        <w:t xml:space="preserve">. проти 102,8 </w:t>
      </w:r>
      <w:proofErr w:type="spellStart"/>
      <w:r w:rsidR="00EC569E">
        <w:rPr>
          <w:rFonts w:eastAsia="Calibri"/>
          <w:sz w:val="28"/>
          <w:szCs w:val="28"/>
          <w:lang w:val="uk-UA"/>
        </w:rPr>
        <w:t>тис.чол</w:t>
      </w:r>
      <w:proofErr w:type="spellEnd"/>
      <w:r w:rsidR="00707D97">
        <w:rPr>
          <w:rFonts w:eastAsia="Calibri"/>
          <w:sz w:val="28"/>
          <w:szCs w:val="28"/>
          <w:lang w:val="uk-UA"/>
        </w:rPr>
        <w:t>.</w:t>
      </w:r>
      <w:r w:rsidR="00EC569E">
        <w:rPr>
          <w:rFonts w:eastAsia="Calibri"/>
          <w:sz w:val="28"/>
          <w:szCs w:val="28"/>
          <w:lang w:val="uk-UA"/>
        </w:rPr>
        <w:t xml:space="preserve"> у відповідному періоді минулого року. Більш ніж в 4 рази зросла кількість домогосподарств, які отримали житлові субсидії, таким правом скористалося понад 85,7 тис. сімей.</w:t>
      </w:r>
    </w:p>
    <w:p w:rsidR="001B7588" w:rsidRDefault="00C41945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 умовах відсутності відповідної субвенції з державного бюджету з</w:t>
      </w:r>
      <w:r w:rsidR="00701052" w:rsidRPr="00104352">
        <w:rPr>
          <w:rFonts w:eastAsia="Calibri"/>
          <w:sz w:val="28"/>
          <w:szCs w:val="28"/>
          <w:lang w:val="uk-UA"/>
        </w:rPr>
        <w:t xml:space="preserve">а рахунок </w:t>
      </w:r>
      <w:r w:rsidR="002C6F3D">
        <w:rPr>
          <w:rFonts w:eastAsia="Calibri"/>
          <w:sz w:val="28"/>
          <w:szCs w:val="28"/>
          <w:lang w:val="uk-UA"/>
        </w:rPr>
        <w:t xml:space="preserve">коштів бюджету </w:t>
      </w:r>
      <w:r w:rsidR="00BA4847">
        <w:rPr>
          <w:rFonts w:eastAsia="Calibri"/>
          <w:sz w:val="28"/>
          <w:szCs w:val="28"/>
          <w:lang w:val="uk-UA"/>
        </w:rPr>
        <w:t>міста</w:t>
      </w:r>
      <w:r w:rsidR="002C6F3D">
        <w:rPr>
          <w:rFonts w:eastAsia="Calibri"/>
          <w:sz w:val="28"/>
          <w:szCs w:val="28"/>
          <w:lang w:val="uk-UA"/>
        </w:rPr>
        <w:t xml:space="preserve"> </w:t>
      </w:r>
      <w:r w:rsidR="00701052" w:rsidRPr="00104352">
        <w:rPr>
          <w:rFonts w:eastAsia="Calibri"/>
          <w:sz w:val="28"/>
          <w:szCs w:val="28"/>
          <w:lang w:val="uk-UA"/>
        </w:rPr>
        <w:t>на надання пільг на послуги зв’язку та інш</w:t>
      </w:r>
      <w:r w:rsidR="00BA4847">
        <w:rPr>
          <w:rFonts w:eastAsia="Calibri"/>
          <w:sz w:val="28"/>
          <w:szCs w:val="28"/>
          <w:lang w:val="uk-UA"/>
        </w:rPr>
        <w:t>их</w:t>
      </w:r>
      <w:r w:rsidR="00701052" w:rsidRPr="00104352">
        <w:rPr>
          <w:rFonts w:eastAsia="Calibri"/>
          <w:sz w:val="28"/>
          <w:szCs w:val="28"/>
          <w:lang w:val="uk-UA"/>
        </w:rPr>
        <w:t xml:space="preserve"> передбачен</w:t>
      </w:r>
      <w:r w:rsidR="00BA4847">
        <w:rPr>
          <w:rFonts w:eastAsia="Calibri"/>
          <w:sz w:val="28"/>
          <w:szCs w:val="28"/>
          <w:lang w:val="uk-UA"/>
        </w:rPr>
        <w:t>их</w:t>
      </w:r>
      <w:r w:rsidR="00701052" w:rsidRPr="00104352">
        <w:rPr>
          <w:rFonts w:eastAsia="Calibri"/>
          <w:sz w:val="28"/>
          <w:szCs w:val="28"/>
          <w:lang w:val="uk-UA"/>
        </w:rPr>
        <w:t xml:space="preserve"> законодавством пільг</w:t>
      </w:r>
      <w:r w:rsidR="00BA4847" w:rsidRPr="00BA4847">
        <w:rPr>
          <w:rFonts w:eastAsia="Calibri"/>
          <w:sz w:val="28"/>
          <w:szCs w:val="28"/>
          <w:lang w:val="uk-UA"/>
        </w:rPr>
        <w:t xml:space="preserve"> </w:t>
      </w:r>
      <w:r w:rsidR="00BA4847" w:rsidRPr="00104352">
        <w:rPr>
          <w:rFonts w:eastAsia="Calibri"/>
          <w:sz w:val="28"/>
          <w:szCs w:val="28"/>
          <w:lang w:val="uk-UA"/>
        </w:rPr>
        <w:t xml:space="preserve">профінансовано 0,4 </w:t>
      </w:r>
      <w:proofErr w:type="spellStart"/>
      <w:r w:rsidR="00BA4847" w:rsidRPr="0010435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701052" w:rsidRPr="00104352">
        <w:rPr>
          <w:rFonts w:eastAsia="Calibri"/>
          <w:sz w:val="28"/>
          <w:szCs w:val="28"/>
          <w:lang w:val="uk-UA"/>
        </w:rPr>
        <w:t>.</w:t>
      </w:r>
      <w:r w:rsidR="00BA4847">
        <w:rPr>
          <w:rFonts w:eastAsia="Calibri"/>
          <w:sz w:val="28"/>
          <w:szCs w:val="28"/>
          <w:lang w:val="uk-UA"/>
        </w:rPr>
        <w:t xml:space="preserve"> Цими пільгами скористалось </w:t>
      </w:r>
      <w:r w:rsidR="00EC569E">
        <w:rPr>
          <w:rFonts w:eastAsia="Calibri"/>
          <w:sz w:val="28"/>
          <w:szCs w:val="28"/>
          <w:lang w:val="uk-UA"/>
        </w:rPr>
        <w:t>11,0 </w:t>
      </w:r>
      <w:proofErr w:type="spellStart"/>
      <w:r w:rsidR="00EC569E">
        <w:rPr>
          <w:rFonts w:eastAsia="Calibri"/>
          <w:sz w:val="28"/>
          <w:szCs w:val="28"/>
          <w:lang w:val="uk-UA"/>
        </w:rPr>
        <w:t>тис.чол</w:t>
      </w:r>
      <w:proofErr w:type="spellEnd"/>
      <w:r w:rsidR="00EC569E">
        <w:rPr>
          <w:rFonts w:eastAsia="Calibri"/>
          <w:sz w:val="28"/>
          <w:szCs w:val="28"/>
          <w:lang w:val="uk-UA"/>
        </w:rPr>
        <w:t>.</w:t>
      </w:r>
      <w:r w:rsidR="00BA4847">
        <w:rPr>
          <w:rFonts w:eastAsia="Calibri"/>
          <w:sz w:val="28"/>
          <w:szCs w:val="28"/>
          <w:lang w:val="uk-UA"/>
        </w:rPr>
        <w:t xml:space="preserve"> </w:t>
      </w:r>
      <w:r w:rsidR="001B7588">
        <w:rPr>
          <w:rFonts w:eastAsia="Calibri"/>
          <w:sz w:val="28"/>
          <w:szCs w:val="28"/>
          <w:lang w:val="uk-UA"/>
        </w:rPr>
        <w:t xml:space="preserve">На </w:t>
      </w:r>
      <w:r w:rsidR="001B7588" w:rsidRPr="00104352">
        <w:rPr>
          <w:rFonts w:eastAsia="Calibri"/>
          <w:sz w:val="28"/>
          <w:szCs w:val="28"/>
          <w:lang w:val="uk-UA"/>
        </w:rPr>
        <w:t>компенсаці</w:t>
      </w:r>
      <w:r w:rsidR="001B7588">
        <w:rPr>
          <w:rFonts w:eastAsia="Calibri"/>
          <w:sz w:val="28"/>
          <w:szCs w:val="28"/>
          <w:lang w:val="uk-UA"/>
        </w:rPr>
        <w:t>ю пільгового</w:t>
      </w:r>
      <w:r w:rsidR="001B7588" w:rsidRPr="00104352">
        <w:rPr>
          <w:rFonts w:eastAsia="Calibri"/>
          <w:sz w:val="28"/>
          <w:szCs w:val="28"/>
          <w:lang w:val="uk-UA"/>
        </w:rPr>
        <w:t xml:space="preserve"> перевезення окремих категорій громадян автомобільним, залізничним та міським електротранспортом </w:t>
      </w:r>
      <w:r w:rsidR="001B7588">
        <w:rPr>
          <w:rFonts w:eastAsia="Calibri"/>
          <w:sz w:val="28"/>
          <w:szCs w:val="28"/>
          <w:lang w:val="uk-UA"/>
        </w:rPr>
        <w:t>використано</w:t>
      </w:r>
      <w:r w:rsidR="001B7588" w:rsidRPr="00104352">
        <w:rPr>
          <w:rFonts w:eastAsia="Calibri"/>
          <w:sz w:val="28"/>
          <w:szCs w:val="28"/>
          <w:lang w:val="uk-UA"/>
        </w:rPr>
        <w:t xml:space="preserve"> </w:t>
      </w:r>
      <w:r w:rsidR="001B7588">
        <w:rPr>
          <w:rFonts w:eastAsia="Calibri"/>
          <w:sz w:val="28"/>
          <w:szCs w:val="28"/>
          <w:lang w:val="uk-UA"/>
        </w:rPr>
        <w:t>9,2 </w:t>
      </w:r>
      <w:proofErr w:type="spellStart"/>
      <w:r w:rsidR="001B7588" w:rsidRPr="0010435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1B7588" w:rsidRPr="00104352">
        <w:rPr>
          <w:rFonts w:eastAsia="Calibri"/>
          <w:sz w:val="28"/>
          <w:szCs w:val="28"/>
          <w:lang w:val="uk-UA"/>
        </w:rPr>
        <w:t>.</w:t>
      </w:r>
      <w:r w:rsidR="001206EA">
        <w:rPr>
          <w:rFonts w:eastAsia="Calibri"/>
          <w:sz w:val="28"/>
          <w:szCs w:val="28"/>
          <w:lang w:val="uk-UA"/>
        </w:rPr>
        <w:t xml:space="preserve"> Крім того</w:t>
      </w:r>
      <w:r w:rsidR="00BA4847">
        <w:rPr>
          <w:rFonts w:eastAsia="Calibri"/>
          <w:sz w:val="28"/>
          <w:szCs w:val="28"/>
          <w:lang w:val="uk-UA"/>
        </w:rPr>
        <w:t>,</w:t>
      </w:r>
      <w:r w:rsidR="001206EA">
        <w:rPr>
          <w:rFonts w:eastAsia="Calibri"/>
          <w:sz w:val="28"/>
          <w:szCs w:val="28"/>
          <w:lang w:val="uk-UA"/>
        </w:rPr>
        <w:t xml:space="preserve"> з</w:t>
      </w:r>
      <w:r w:rsidR="001206EA" w:rsidRPr="00EC082A">
        <w:rPr>
          <w:rFonts w:eastAsia="Calibri"/>
          <w:sz w:val="28"/>
          <w:szCs w:val="28"/>
          <w:lang w:val="uk-UA"/>
        </w:rPr>
        <w:t xml:space="preserve"> метою забезпечення належної та безперебійної роботи ЗКП МЕТ "</w:t>
      </w:r>
      <w:proofErr w:type="spellStart"/>
      <w:r w:rsidR="001206EA" w:rsidRPr="00EC082A">
        <w:rPr>
          <w:rFonts w:eastAsia="Calibri"/>
          <w:sz w:val="28"/>
          <w:szCs w:val="28"/>
          <w:lang w:val="uk-UA"/>
        </w:rPr>
        <w:t>Запоріжелектротранс</w:t>
      </w:r>
      <w:proofErr w:type="spellEnd"/>
      <w:r w:rsidR="001206EA" w:rsidRPr="00EC082A">
        <w:rPr>
          <w:rFonts w:eastAsia="Calibri"/>
          <w:sz w:val="28"/>
          <w:szCs w:val="28"/>
          <w:lang w:val="uk-UA"/>
        </w:rPr>
        <w:t>"</w:t>
      </w:r>
      <w:r w:rsidR="001206EA">
        <w:rPr>
          <w:rFonts w:eastAsia="Calibri"/>
          <w:sz w:val="28"/>
          <w:szCs w:val="28"/>
          <w:lang w:val="uk-UA"/>
        </w:rPr>
        <w:t xml:space="preserve"> надано </w:t>
      </w:r>
      <w:r w:rsidR="00BA4847">
        <w:rPr>
          <w:rFonts w:eastAsia="Calibri"/>
          <w:sz w:val="28"/>
          <w:szCs w:val="28"/>
          <w:lang w:val="uk-UA"/>
        </w:rPr>
        <w:t xml:space="preserve">фінансової підтримки на </w:t>
      </w:r>
      <w:r w:rsidR="001206EA">
        <w:rPr>
          <w:rFonts w:eastAsia="Calibri"/>
          <w:sz w:val="28"/>
          <w:szCs w:val="28"/>
          <w:lang w:val="uk-UA"/>
        </w:rPr>
        <w:t>сум</w:t>
      </w:r>
      <w:r w:rsidR="00BA4847">
        <w:rPr>
          <w:rFonts w:eastAsia="Calibri"/>
          <w:sz w:val="28"/>
          <w:szCs w:val="28"/>
          <w:lang w:val="uk-UA"/>
        </w:rPr>
        <w:t>у</w:t>
      </w:r>
      <w:r w:rsidR="001206EA">
        <w:rPr>
          <w:rFonts w:eastAsia="Calibri"/>
          <w:sz w:val="28"/>
          <w:szCs w:val="28"/>
          <w:lang w:val="uk-UA"/>
        </w:rPr>
        <w:t xml:space="preserve"> 16,4 </w:t>
      </w:r>
      <w:proofErr w:type="spellStart"/>
      <w:r w:rsidR="001206EA" w:rsidRPr="00EC082A">
        <w:rPr>
          <w:rFonts w:eastAsia="Calibri"/>
          <w:sz w:val="28"/>
          <w:szCs w:val="28"/>
          <w:lang w:val="uk-UA"/>
        </w:rPr>
        <w:t>млн.грн</w:t>
      </w:r>
      <w:proofErr w:type="spellEnd"/>
      <w:r w:rsidR="001206EA" w:rsidRPr="00EC082A">
        <w:rPr>
          <w:rFonts w:eastAsia="Calibri"/>
          <w:sz w:val="28"/>
          <w:szCs w:val="28"/>
          <w:lang w:val="uk-UA"/>
        </w:rPr>
        <w:t>.</w:t>
      </w:r>
    </w:p>
    <w:p w:rsidR="00701052" w:rsidRDefault="001B7588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 рамках реалізації заходів міських цільових програм на </w:t>
      </w:r>
      <w:r w:rsidR="00701052" w:rsidRPr="00104352">
        <w:rPr>
          <w:rFonts w:eastAsia="Calibri"/>
          <w:sz w:val="28"/>
          <w:szCs w:val="28"/>
          <w:lang w:val="uk-UA"/>
        </w:rPr>
        <w:t>соціальн</w:t>
      </w:r>
      <w:r>
        <w:rPr>
          <w:rFonts w:eastAsia="Calibri"/>
          <w:sz w:val="28"/>
          <w:szCs w:val="28"/>
          <w:lang w:val="uk-UA"/>
        </w:rPr>
        <w:t>ий</w:t>
      </w:r>
      <w:r w:rsidR="00701052" w:rsidRPr="00104352">
        <w:rPr>
          <w:rFonts w:eastAsia="Calibri"/>
          <w:sz w:val="28"/>
          <w:szCs w:val="28"/>
          <w:lang w:val="uk-UA"/>
        </w:rPr>
        <w:t xml:space="preserve"> захист населення та підтримку ветеранських </w:t>
      </w:r>
      <w:r w:rsidR="00104352">
        <w:rPr>
          <w:rFonts w:eastAsia="Calibri"/>
          <w:sz w:val="28"/>
          <w:szCs w:val="28"/>
          <w:lang w:val="uk-UA"/>
        </w:rPr>
        <w:t xml:space="preserve">організацій міста витрачено </w:t>
      </w:r>
      <w:r w:rsidR="00400A81">
        <w:rPr>
          <w:rFonts w:eastAsia="Calibri"/>
          <w:sz w:val="28"/>
          <w:szCs w:val="28"/>
          <w:lang w:val="uk-UA"/>
        </w:rPr>
        <w:t>1,0</w:t>
      </w:r>
      <w:r w:rsidR="00104352">
        <w:rPr>
          <w:rFonts w:eastAsia="Calibri"/>
          <w:sz w:val="28"/>
          <w:szCs w:val="28"/>
          <w:lang w:val="uk-UA"/>
        </w:rPr>
        <w:t> </w:t>
      </w:r>
      <w:proofErr w:type="spellStart"/>
      <w:r w:rsidR="00701052" w:rsidRPr="0010435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701052" w:rsidRPr="00104352">
        <w:rPr>
          <w:rFonts w:eastAsia="Calibri"/>
          <w:sz w:val="28"/>
          <w:szCs w:val="28"/>
          <w:lang w:val="uk-UA"/>
        </w:rPr>
        <w:t>.</w:t>
      </w:r>
      <w:r w:rsidR="00400A81">
        <w:rPr>
          <w:rFonts w:eastAsia="Calibri"/>
          <w:sz w:val="28"/>
          <w:szCs w:val="28"/>
          <w:lang w:val="uk-UA"/>
        </w:rPr>
        <w:t xml:space="preserve"> </w:t>
      </w:r>
      <w:r w:rsidR="00701052" w:rsidRPr="00104352">
        <w:rPr>
          <w:rFonts w:eastAsia="Calibri"/>
          <w:sz w:val="28"/>
          <w:szCs w:val="28"/>
          <w:lang w:val="uk-UA"/>
        </w:rPr>
        <w:t>Виплати грошової компенсації фізичним особам, які надають соціальні послуги громадянам похилого віку, інвалідам, дітям-інвалідам, хворим, які не здатні до самообслуговування та потребують сторонньої допомоги</w:t>
      </w:r>
      <w:r>
        <w:rPr>
          <w:rFonts w:eastAsia="Calibri"/>
          <w:sz w:val="28"/>
          <w:szCs w:val="28"/>
          <w:lang w:val="uk-UA"/>
        </w:rPr>
        <w:t>,</w:t>
      </w:r>
      <w:r w:rsidR="00701052" w:rsidRPr="00104352">
        <w:rPr>
          <w:rFonts w:eastAsia="Calibri"/>
          <w:sz w:val="28"/>
          <w:szCs w:val="28"/>
          <w:lang w:val="uk-UA"/>
        </w:rPr>
        <w:t xml:space="preserve"> проведені на суму 0,7 </w:t>
      </w:r>
      <w:proofErr w:type="spellStart"/>
      <w:r w:rsidR="00701052" w:rsidRPr="00104352">
        <w:rPr>
          <w:rFonts w:eastAsia="Calibri"/>
          <w:sz w:val="28"/>
          <w:szCs w:val="28"/>
          <w:lang w:val="uk-UA"/>
        </w:rPr>
        <w:t>млн.грн</w:t>
      </w:r>
      <w:proofErr w:type="spellEnd"/>
      <w:r w:rsidR="00701052" w:rsidRPr="00104352">
        <w:rPr>
          <w:rFonts w:eastAsia="Calibri"/>
          <w:sz w:val="28"/>
          <w:szCs w:val="28"/>
          <w:lang w:val="uk-UA"/>
        </w:rPr>
        <w:t xml:space="preserve">. </w:t>
      </w:r>
    </w:p>
    <w:p w:rsidR="00B92AC6" w:rsidRDefault="005C3135" w:rsidP="001C1C1C">
      <w:pPr>
        <w:pStyle w:val="justifyfull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Видатки на </w:t>
      </w:r>
      <w:r w:rsidRPr="00BA4847">
        <w:rPr>
          <w:rFonts w:eastAsia="Calibri"/>
          <w:sz w:val="28"/>
          <w:szCs w:val="28"/>
          <w:lang w:val="uk-UA"/>
        </w:rPr>
        <w:t>житлово-комунальне господарство</w:t>
      </w:r>
      <w:r>
        <w:rPr>
          <w:rFonts w:eastAsia="Calibri"/>
          <w:sz w:val="28"/>
          <w:szCs w:val="28"/>
          <w:lang w:val="uk-UA"/>
        </w:rPr>
        <w:t xml:space="preserve"> </w:t>
      </w:r>
      <w:r w:rsidR="00AC7E3F">
        <w:rPr>
          <w:rFonts w:eastAsia="Calibri"/>
          <w:sz w:val="28"/>
          <w:szCs w:val="28"/>
          <w:lang w:val="uk-UA"/>
        </w:rPr>
        <w:t>склали</w:t>
      </w:r>
      <w:r>
        <w:rPr>
          <w:rFonts w:eastAsia="Calibri"/>
          <w:sz w:val="28"/>
          <w:szCs w:val="28"/>
          <w:lang w:val="uk-UA"/>
        </w:rPr>
        <w:t xml:space="preserve"> </w:t>
      </w:r>
      <w:r w:rsidR="00F13563">
        <w:rPr>
          <w:rFonts w:eastAsia="Calibri"/>
          <w:sz w:val="28"/>
          <w:szCs w:val="28"/>
          <w:lang w:val="uk-UA"/>
        </w:rPr>
        <w:t>83,4</w:t>
      </w:r>
      <w:r w:rsidR="00EC082A">
        <w:rPr>
          <w:rFonts w:eastAsia="Calibri"/>
          <w:sz w:val="28"/>
          <w:szCs w:val="28"/>
          <w:lang w:val="uk-UA"/>
        </w:rPr>
        <w:t> </w:t>
      </w:r>
      <w:proofErr w:type="spellStart"/>
      <w:r w:rsidR="00EC082A">
        <w:rPr>
          <w:rFonts w:eastAsia="Calibri"/>
          <w:sz w:val="28"/>
          <w:szCs w:val="28"/>
          <w:lang w:val="uk-UA"/>
        </w:rPr>
        <w:t>млн.грн</w:t>
      </w:r>
      <w:proofErr w:type="spellEnd"/>
      <w:r w:rsidR="00EC082A"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t xml:space="preserve"> На </w:t>
      </w:r>
      <w:r w:rsidR="001206EA">
        <w:rPr>
          <w:rFonts w:eastAsia="Calibri"/>
          <w:sz w:val="28"/>
          <w:szCs w:val="28"/>
          <w:lang w:val="uk-UA"/>
        </w:rPr>
        <w:t xml:space="preserve">заходи з </w:t>
      </w:r>
      <w:r>
        <w:rPr>
          <w:rFonts w:eastAsia="Calibri"/>
          <w:sz w:val="28"/>
          <w:szCs w:val="28"/>
          <w:lang w:val="uk-UA"/>
        </w:rPr>
        <w:t>благоустр</w:t>
      </w:r>
      <w:r w:rsidR="001206EA">
        <w:rPr>
          <w:rFonts w:eastAsia="Calibri"/>
          <w:sz w:val="28"/>
          <w:szCs w:val="28"/>
          <w:lang w:val="uk-UA"/>
        </w:rPr>
        <w:t>ою</w:t>
      </w:r>
      <w:r>
        <w:rPr>
          <w:rFonts w:eastAsia="Calibri"/>
          <w:sz w:val="28"/>
          <w:szCs w:val="28"/>
          <w:lang w:val="uk-UA"/>
        </w:rPr>
        <w:t>й міста використано 11,9 </w:t>
      </w:r>
      <w:proofErr w:type="spellStart"/>
      <w:r>
        <w:rPr>
          <w:rFonts w:eastAsia="Calibri"/>
          <w:sz w:val="28"/>
          <w:szCs w:val="28"/>
          <w:lang w:val="uk-UA"/>
        </w:rPr>
        <w:t>млн.грн</w:t>
      </w:r>
      <w:proofErr w:type="spellEnd"/>
      <w:r>
        <w:rPr>
          <w:rFonts w:eastAsia="Calibri"/>
          <w:sz w:val="28"/>
          <w:szCs w:val="28"/>
          <w:lang w:val="uk-UA"/>
        </w:rPr>
        <w:t>.</w:t>
      </w:r>
      <w:r w:rsidR="001206EA">
        <w:rPr>
          <w:rFonts w:eastAsia="Calibri"/>
          <w:sz w:val="28"/>
          <w:szCs w:val="28"/>
          <w:lang w:val="uk-UA"/>
        </w:rPr>
        <w:t xml:space="preserve"> та </w:t>
      </w:r>
      <w:r>
        <w:rPr>
          <w:rFonts w:eastAsia="Calibri"/>
          <w:sz w:val="28"/>
          <w:szCs w:val="28"/>
          <w:lang w:val="uk-UA"/>
        </w:rPr>
        <w:t>спрямован</w:t>
      </w:r>
      <w:r w:rsidR="001206EA">
        <w:rPr>
          <w:rFonts w:eastAsia="Calibri"/>
          <w:sz w:val="28"/>
          <w:szCs w:val="28"/>
          <w:lang w:val="uk-UA"/>
        </w:rPr>
        <w:t>о</w:t>
      </w:r>
      <w:r>
        <w:rPr>
          <w:rFonts w:eastAsia="Calibri"/>
          <w:sz w:val="28"/>
          <w:szCs w:val="28"/>
          <w:lang w:val="uk-UA"/>
        </w:rPr>
        <w:t xml:space="preserve"> на </w:t>
      </w:r>
      <w:r w:rsidR="009C45AC">
        <w:rPr>
          <w:rFonts w:eastAsia="Calibri"/>
          <w:sz w:val="28"/>
          <w:szCs w:val="28"/>
          <w:lang w:val="uk-UA"/>
        </w:rPr>
        <w:t xml:space="preserve">забезпечення </w:t>
      </w:r>
      <w:r>
        <w:rPr>
          <w:rFonts w:eastAsia="Calibri"/>
          <w:sz w:val="28"/>
          <w:szCs w:val="28"/>
          <w:lang w:val="uk-UA"/>
        </w:rPr>
        <w:t>зовнішнього освітлення</w:t>
      </w:r>
      <w:r w:rsidR="009C45AC">
        <w:rPr>
          <w:rFonts w:eastAsia="Calibri"/>
          <w:sz w:val="28"/>
          <w:szCs w:val="28"/>
          <w:lang w:val="uk-UA"/>
        </w:rPr>
        <w:t xml:space="preserve"> міста</w:t>
      </w:r>
      <w:r>
        <w:rPr>
          <w:rFonts w:eastAsia="Calibri"/>
          <w:sz w:val="28"/>
          <w:szCs w:val="28"/>
          <w:lang w:val="uk-UA"/>
        </w:rPr>
        <w:t>, догляд за зеленими насадженням, поточний ремонт та обслуговування фонтанів, енергопостачання</w:t>
      </w:r>
      <w:r w:rsidR="009C45AC">
        <w:rPr>
          <w:rFonts w:eastAsia="Calibri"/>
          <w:sz w:val="28"/>
          <w:szCs w:val="28"/>
          <w:lang w:val="uk-UA"/>
        </w:rPr>
        <w:t xml:space="preserve"> парків</w:t>
      </w:r>
      <w:r>
        <w:rPr>
          <w:rFonts w:eastAsia="Calibri"/>
          <w:sz w:val="28"/>
          <w:szCs w:val="28"/>
          <w:lang w:val="uk-UA"/>
        </w:rPr>
        <w:t>, засобів регулювання дорожнього руху</w:t>
      </w:r>
      <w:r w:rsidR="009C45AC">
        <w:rPr>
          <w:rFonts w:eastAsia="Calibri"/>
          <w:sz w:val="28"/>
          <w:szCs w:val="28"/>
          <w:lang w:val="uk-UA"/>
        </w:rPr>
        <w:t xml:space="preserve"> тощо</w:t>
      </w:r>
      <w:r>
        <w:rPr>
          <w:rFonts w:eastAsia="Calibri"/>
          <w:sz w:val="28"/>
          <w:szCs w:val="28"/>
          <w:lang w:val="uk-UA"/>
        </w:rPr>
        <w:t>.</w:t>
      </w:r>
      <w:r w:rsidR="00B92AC6">
        <w:rPr>
          <w:rFonts w:eastAsia="Calibri"/>
          <w:sz w:val="28"/>
          <w:szCs w:val="28"/>
          <w:lang w:val="uk-UA"/>
        </w:rPr>
        <w:t xml:space="preserve"> </w:t>
      </w:r>
      <w:r w:rsidR="001206EA">
        <w:rPr>
          <w:rFonts w:eastAsia="Calibri"/>
          <w:sz w:val="28"/>
          <w:szCs w:val="28"/>
          <w:lang w:val="uk-UA"/>
        </w:rPr>
        <w:t xml:space="preserve">На оплату </w:t>
      </w:r>
      <w:r w:rsidR="009C45AC">
        <w:rPr>
          <w:rFonts w:eastAsia="Calibri"/>
          <w:sz w:val="28"/>
          <w:szCs w:val="28"/>
          <w:lang w:val="uk-UA"/>
        </w:rPr>
        <w:t>робіт, пов’язаних із будівництвом, реконструкцією, ремонтом та утриманням автомобільних доріг з бюджету міста витрачено 11,2 </w:t>
      </w:r>
      <w:proofErr w:type="spellStart"/>
      <w:r w:rsidR="009C45AC">
        <w:rPr>
          <w:rFonts w:eastAsia="Calibri"/>
          <w:sz w:val="28"/>
          <w:szCs w:val="28"/>
          <w:lang w:val="uk-UA"/>
        </w:rPr>
        <w:t>млн.грн</w:t>
      </w:r>
      <w:proofErr w:type="spellEnd"/>
      <w:r w:rsidR="009C45AC">
        <w:rPr>
          <w:rFonts w:eastAsia="Calibri"/>
          <w:sz w:val="28"/>
          <w:szCs w:val="28"/>
          <w:lang w:val="uk-UA"/>
        </w:rPr>
        <w:t>.</w:t>
      </w:r>
    </w:p>
    <w:p w:rsidR="00AC113A" w:rsidRDefault="00B92AC6" w:rsidP="001C1C1C">
      <w:pPr>
        <w:pStyle w:val="justifyfull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Видатки на </w:t>
      </w:r>
      <w:r w:rsidR="00B80AB7" w:rsidRPr="00B80AB7">
        <w:rPr>
          <w:rFonts w:eastAsia="Calibri"/>
          <w:sz w:val="28"/>
          <w:szCs w:val="28"/>
          <w:lang w:val="uk-UA"/>
        </w:rPr>
        <w:t>капітальн</w:t>
      </w:r>
      <w:r w:rsidR="001206EA">
        <w:rPr>
          <w:rFonts w:eastAsia="Calibri"/>
          <w:sz w:val="28"/>
          <w:szCs w:val="28"/>
          <w:lang w:val="uk-UA"/>
        </w:rPr>
        <w:t>ий</w:t>
      </w:r>
      <w:r w:rsidR="00B80AB7" w:rsidRPr="00B80AB7">
        <w:rPr>
          <w:rFonts w:eastAsia="Calibri"/>
          <w:sz w:val="28"/>
          <w:szCs w:val="28"/>
          <w:lang w:val="uk-UA"/>
        </w:rPr>
        <w:t xml:space="preserve"> ремонт житлового фонду </w:t>
      </w:r>
      <w:r>
        <w:rPr>
          <w:rFonts w:eastAsia="Calibri"/>
          <w:sz w:val="28"/>
          <w:szCs w:val="28"/>
          <w:lang w:val="uk-UA"/>
        </w:rPr>
        <w:t>склали</w:t>
      </w:r>
      <w:r w:rsidR="001206EA">
        <w:rPr>
          <w:rFonts w:eastAsia="Calibri"/>
          <w:sz w:val="28"/>
          <w:szCs w:val="28"/>
          <w:lang w:val="uk-UA"/>
        </w:rPr>
        <w:t xml:space="preserve"> </w:t>
      </w:r>
      <w:r w:rsidR="00B80AB7" w:rsidRPr="00B80AB7">
        <w:rPr>
          <w:rFonts w:eastAsia="Calibri"/>
          <w:sz w:val="28"/>
          <w:szCs w:val="28"/>
          <w:lang w:val="uk-UA"/>
        </w:rPr>
        <w:t>4,7 </w:t>
      </w:r>
      <w:proofErr w:type="spellStart"/>
      <w:r w:rsidR="00B80AB7" w:rsidRPr="00B80AB7">
        <w:rPr>
          <w:rFonts w:eastAsia="Calibri"/>
          <w:sz w:val="28"/>
          <w:szCs w:val="28"/>
          <w:lang w:val="uk-UA"/>
        </w:rPr>
        <w:t>млн.грн</w:t>
      </w:r>
      <w:proofErr w:type="spellEnd"/>
      <w:r w:rsidR="00B80AB7" w:rsidRPr="00B80AB7">
        <w:rPr>
          <w:rFonts w:eastAsia="Calibri"/>
          <w:sz w:val="28"/>
          <w:szCs w:val="28"/>
          <w:lang w:val="uk-UA"/>
        </w:rPr>
        <w:t>.</w:t>
      </w:r>
      <w:r w:rsidR="001206EA">
        <w:rPr>
          <w:rFonts w:eastAsia="Calibri"/>
          <w:sz w:val="28"/>
          <w:szCs w:val="28"/>
          <w:lang w:val="uk-UA"/>
        </w:rPr>
        <w:t xml:space="preserve">, </w:t>
      </w:r>
      <w:r w:rsidRPr="00B92AC6">
        <w:rPr>
          <w:sz w:val="28"/>
          <w:szCs w:val="28"/>
          <w:lang w:val="uk-UA"/>
        </w:rPr>
        <w:t xml:space="preserve">будівництво, реконструкцію та ліквідацію аварійного стану об’єктів житлово-комунального господарства </w:t>
      </w:r>
      <w:r>
        <w:rPr>
          <w:sz w:val="28"/>
          <w:szCs w:val="28"/>
          <w:lang w:val="uk-UA"/>
        </w:rPr>
        <w:t xml:space="preserve">- </w:t>
      </w:r>
      <w:r w:rsidRPr="00B92AC6">
        <w:rPr>
          <w:sz w:val="28"/>
          <w:szCs w:val="28"/>
          <w:lang w:val="uk-UA"/>
        </w:rPr>
        <w:t>5,6</w:t>
      </w:r>
      <w:r>
        <w:rPr>
          <w:sz w:val="28"/>
          <w:szCs w:val="28"/>
        </w:rPr>
        <w:t> </w:t>
      </w:r>
      <w:proofErr w:type="spellStart"/>
      <w:r w:rsidRPr="00B92AC6">
        <w:rPr>
          <w:sz w:val="28"/>
          <w:szCs w:val="28"/>
          <w:lang w:val="uk-UA"/>
        </w:rPr>
        <w:t>млн.грн</w:t>
      </w:r>
      <w:proofErr w:type="spellEnd"/>
      <w:r w:rsidRPr="00B92AC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  <w:lang w:val="uk-UA"/>
        </w:rPr>
        <w:t xml:space="preserve">також надано </w:t>
      </w:r>
      <w:r w:rsidR="002D02BE" w:rsidRPr="002D02BE">
        <w:rPr>
          <w:sz w:val="28"/>
          <w:szCs w:val="28"/>
          <w:lang w:val="uk-UA"/>
        </w:rPr>
        <w:t>фінансову підтримку комунальни</w:t>
      </w:r>
      <w:r>
        <w:rPr>
          <w:sz w:val="28"/>
          <w:szCs w:val="28"/>
          <w:lang w:val="uk-UA"/>
        </w:rPr>
        <w:t>м</w:t>
      </w:r>
      <w:r w:rsidR="002D02BE" w:rsidRPr="002D02BE">
        <w:rPr>
          <w:sz w:val="28"/>
          <w:szCs w:val="28"/>
          <w:lang w:val="uk-UA"/>
        </w:rPr>
        <w:t xml:space="preserve"> під</w:t>
      </w:r>
      <w:r w:rsidR="00EB1698">
        <w:rPr>
          <w:sz w:val="28"/>
          <w:szCs w:val="28"/>
          <w:lang w:val="uk-UA"/>
        </w:rPr>
        <w:t>приємств</w:t>
      </w:r>
      <w:r>
        <w:rPr>
          <w:sz w:val="28"/>
          <w:szCs w:val="28"/>
          <w:lang w:val="uk-UA"/>
        </w:rPr>
        <w:t>ам</w:t>
      </w:r>
      <w:r w:rsidR="00EB1698">
        <w:rPr>
          <w:sz w:val="28"/>
          <w:szCs w:val="28"/>
          <w:lang w:val="uk-UA"/>
        </w:rPr>
        <w:t xml:space="preserve"> галузі </w:t>
      </w:r>
      <w:r>
        <w:rPr>
          <w:sz w:val="28"/>
          <w:szCs w:val="28"/>
          <w:lang w:val="uk-UA"/>
        </w:rPr>
        <w:t>на суму</w:t>
      </w:r>
      <w:r w:rsidR="001206EA">
        <w:rPr>
          <w:sz w:val="28"/>
          <w:szCs w:val="28"/>
          <w:lang w:val="uk-UA"/>
        </w:rPr>
        <w:t xml:space="preserve"> </w:t>
      </w:r>
      <w:r w:rsidR="00EB1698">
        <w:rPr>
          <w:sz w:val="28"/>
          <w:szCs w:val="28"/>
          <w:lang w:val="uk-UA"/>
        </w:rPr>
        <w:t>50,0</w:t>
      </w:r>
      <w:r w:rsidR="002D02BE" w:rsidRPr="002D02BE">
        <w:rPr>
          <w:sz w:val="28"/>
          <w:szCs w:val="28"/>
          <w:lang w:val="uk-UA"/>
        </w:rPr>
        <w:t> </w:t>
      </w:r>
      <w:proofErr w:type="spellStart"/>
      <w:r w:rsidR="002D02BE" w:rsidRPr="002D02BE">
        <w:rPr>
          <w:sz w:val="28"/>
          <w:szCs w:val="28"/>
          <w:lang w:val="uk-UA"/>
        </w:rPr>
        <w:t>млн.грн</w:t>
      </w:r>
      <w:proofErr w:type="spellEnd"/>
      <w:r w:rsidR="002D02BE" w:rsidRPr="002D02BE">
        <w:rPr>
          <w:sz w:val="28"/>
          <w:szCs w:val="28"/>
          <w:lang w:val="uk-UA"/>
        </w:rPr>
        <w:t>.</w:t>
      </w:r>
    </w:p>
    <w:p w:rsidR="00B92AC6" w:rsidRDefault="00B92AC6" w:rsidP="001C1C1C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звітному періоді розпочаті процедури закупівель на </w:t>
      </w:r>
      <w:r w:rsidR="00707D97">
        <w:rPr>
          <w:sz w:val="28"/>
          <w:szCs w:val="28"/>
        </w:rPr>
        <w:t xml:space="preserve">капітальний ремонт доріг, житлових будинків та будівництво і реконструкцію об’єктів бюджету розвитку на загальну суму понад 120,0 </w:t>
      </w:r>
      <w:proofErr w:type="spellStart"/>
      <w:r w:rsidR="00707D97">
        <w:rPr>
          <w:sz w:val="28"/>
          <w:szCs w:val="28"/>
        </w:rPr>
        <w:t>млн.грн</w:t>
      </w:r>
      <w:proofErr w:type="spellEnd"/>
      <w:r w:rsidR="00707D97">
        <w:rPr>
          <w:sz w:val="28"/>
          <w:szCs w:val="28"/>
        </w:rPr>
        <w:t>.</w:t>
      </w:r>
    </w:p>
    <w:p w:rsidR="00D2270D" w:rsidRDefault="00A72D00" w:rsidP="001C1C1C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даними</w:t>
      </w:r>
      <w:r w:rsidR="00483049" w:rsidRPr="00FD0895">
        <w:rPr>
          <w:sz w:val="28"/>
          <w:szCs w:val="28"/>
        </w:rPr>
        <w:t xml:space="preserve"> звітності про виконання бюджету міста</w:t>
      </w:r>
      <w:r w:rsidR="00112AB4">
        <w:rPr>
          <w:sz w:val="28"/>
          <w:szCs w:val="28"/>
        </w:rPr>
        <w:t xml:space="preserve"> за 1 квартал поточного року</w:t>
      </w:r>
      <w:r w:rsidR="00483049" w:rsidRPr="00FD0895">
        <w:rPr>
          <w:sz w:val="28"/>
          <w:szCs w:val="28"/>
        </w:rPr>
        <w:t xml:space="preserve"> кредиторська заборгованість на кін</w:t>
      </w:r>
      <w:r>
        <w:rPr>
          <w:sz w:val="28"/>
          <w:szCs w:val="28"/>
        </w:rPr>
        <w:t>ець звітного періоду склала 210,3</w:t>
      </w:r>
      <w:r w:rsidR="00483049" w:rsidRPr="00FD0895">
        <w:rPr>
          <w:sz w:val="28"/>
          <w:szCs w:val="28"/>
        </w:rPr>
        <w:t> </w:t>
      </w:r>
      <w:proofErr w:type="spellStart"/>
      <w:r w:rsidR="00483049" w:rsidRPr="00FD0895">
        <w:rPr>
          <w:sz w:val="28"/>
          <w:szCs w:val="28"/>
        </w:rPr>
        <w:t>млн.грн</w:t>
      </w:r>
      <w:proofErr w:type="spellEnd"/>
      <w:r w:rsidR="00483049" w:rsidRPr="00FD0895">
        <w:rPr>
          <w:sz w:val="28"/>
          <w:szCs w:val="28"/>
        </w:rPr>
        <w:t>., в тому числі по загальному фонду бюджету</w:t>
      </w:r>
      <w:r>
        <w:rPr>
          <w:sz w:val="28"/>
          <w:szCs w:val="28"/>
        </w:rPr>
        <w:t xml:space="preserve"> </w:t>
      </w:r>
      <w:r w:rsidR="00112A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AB4">
        <w:rPr>
          <w:sz w:val="28"/>
          <w:szCs w:val="28"/>
        </w:rPr>
        <w:t>208,7 </w:t>
      </w:r>
      <w:proofErr w:type="spellStart"/>
      <w:r w:rsidR="00112AB4">
        <w:rPr>
          <w:sz w:val="28"/>
          <w:szCs w:val="28"/>
        </w:rPr>
        <w:t>млн.грн</w:t>
      </w:r>
      <w:proofErr w:type="spellEnd"/>
      <w:r w:rsidR="00112AB4">
        <w:rPr>
          <w:sz w:val="28"/>
          <w:szCs w:val="28"/>
        </w:rPr>
        <w:t xml:space="preserve">.,з яких </w:t>
      </w:r>
      <w:r w:rsidR="00483049">
        <w:rPr>
          <w:sz w:val="28"/>
          <w:szCs w:val="28"/>
        </w:rPr>
        <w:t xml:space="preserve">заходи з виконання державних програм соціального захисту населення </w:t>
      </w:r>
      <w:r w:rsidR="00483049" w:rsidRPr="00FD0895">
        <w:rPr>
          <w:sz w:val="28"/>
          <w:szCs w:val="28"/>
        </w:rPr>
        <w:t>за рахунок субвенцій з державного бюджету</w:t>
      </w:r>
      <w:r w:rsidR="00112AB4">
        <w:rPr>
          <w:sz w:val="28"/>
          <w:szCs w:val="28"/>
        </w:rPr>
        <w:t xml:space="preserve"> – 207,1 </w:t>
      </w:r>
      <w:proofErr w:type="spellStart"/>
      <w:r w:rsidR="00112AB4">
        <w:rPr>
          <w:sz w:val="28"/>
          <w:szCs w:val="28"/>
        </w:rPr>
        <w:t>млн.грн</w:t>
      </w:r>
      <w:proofErr w:type="spellEnd"/>
      <w:r w:rsidR="00112AB4">
        <w:rPr>
          <w:sz w:val="28"/>
          <w:szCs w:val="28"/>
        </w:rPr>
        <w:t>.</w:t>
      </w:r>
      <w:r w:rsidR="00483049" w:rsidRPr="00FD0895">
        <w:rPr>
          <w:sz w:val="28"/>
          <w:szCs w:val="28"/>
        </w:rPr>
        <w:t>, спеціальному фонд</w:t>
      </w:r>
      <w:r w:rsidR="00483049">
        <w:rPr>
          <w:sz w:val="28"/>
          <w:szCs w:val="28"/>
        </w:rPr>
        <w:t>у – 1,5 </w:t>
      </w:r>
      <w:proofErr w:type="spellStart"/>
      <w:r w:rsidR="00483049">
        <w:rPr>
          <w:sz w:val="28"/>
          <w:szCs w:val="28"/>
        </w:rPr>
        <w:t>млн.грн</w:t>
      </w:r>
      <w:proofErr w:type="spellEnd"/>
      <w:r w:rsidR="00483049">
        <w:rPr>
          <w:sz w:val="28"/>
          <w:szCs w:val="28"/>
        </w:rPr>
        <w:t>.</w:t>
      </w:r>
    </w:p>
    <w:p w:rsidR="00707D97" w:rsidRDefault="00707D97" w:rsidP="001C1C1C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07D97" w:rsidRDefault="00707D97" w:rsidP="001C1C1C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07D97" w:rsidRDefault="00707D97" w:rsidP="00707D97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фінансової </w:t>
      </w:r>
    </w:p>
    <w:p w:rsidR="00707D97" w:rsidRPr="00EC31C0" w:rsidRDefault="00707D97" w:rsidP="00707D97">
      <w:pPr>
        <w:pStyle w:val="21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 бюджетної політики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</w:t>
      </w:r>
      <w:proofErr w:type="spellStart"/>
      <w:r>
        <w:rPr>
          <w:sz w:val="28"/>
          <w:szCs w:val="28"/>
        </w:rPr>
        <w:t>Вагіс</w:t>
      </w:r>
      <w:proofErr w:type="spellEnd"/>
    </w:p>
    <w:sectPr w:rsidR="00707D97" w:rsidRPr="00EC31C0" w:rsidSect="00B10181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B7FA2"/>
    <w:rsid w:val="000017C8"/>
    <w:rsid w:val="00002375"/>
    <w:rsid w:val="00003400"/>
    <w:rsid w:val="0009324B"/>
    <w:rsid w:val="00096C05"/>
    <w:rsid w:val="000B46F3"/>
    <w:rsid w:val="000D1277"/>
    <w:rsid w:val="000F0439"/>
    <w:rsid w:val="00104352"/>
    <w:rsid w:val="00112AB4"/>
    <w:rsid w:val="001206EA"/>
    <w:rsid w:val="0018380D"/>
    <w:rsid w:val="001A525D"/>
    <w:rsid w:val="001B0580"/>
    <w:rsid w:val="001B7588"/>
    <w:rsid w:val="001C1C1C"/>
    <w:rsid w:val="002113D4"/>
    <w:rsid w:val="0026590A"/>
    <w:rsid w:val="00295E6D"/>
    <w:rsid w:val="002A48F2"/>
    <w:rsid w:val="002C6F3D"/>
    <w:rsid w:val="002D02BE"/>
    <w:rsid w:val="00313B79"/>
    <w:rsid w:val="00317BDE"/>
    <w:rsid w:val="00331F2C"/>
    <w:rsid w:val="00333555"/>
    <w:rsid w:val="00335DF1"/>
    <w:rsid w:val="00351F6F"/>
    <w:rsid w:val="00366B5F"/>
    <w:rsid w:val="003A1798"/>
    <w:rsid w:val="003A496C"/>
    <w:rsid w:val="003B4933"/>
    <w:rsid w:val="003B4ADE"/>
    <w:rsid w:val="003D2ADE"/>
    <w:rsid w:val="003E0839"/>
    <w:rsid w:val="00400A81"/>
    <w:rsid w:val="004024CB"/>
    <w:rsid w:val="004764E2"/>
    <w:rsid w:val="00483049"/>
    <w:rsid w:val="004975E8"/>
    <w:rsid w:val="004A5E6C"/>
    <w:rsid w:val="004B0DA5"/>
    <w:rsid w:val="004B49D3"/>
    <w:rsid w:val="004B71DC"/>
    <w:rsid w:val="004C1BC9"/>
    <w:rsid w:val="004F0E35"/>
    <w:rsid w:val="004F46E2"/>
    <w:rsid w:val="0050335C"/>
    <w:rsid w:val="00535016"/>
    <w:rsid w:val="0056204F"/>
    <w:rsid w:val="005714AF"/>
    <w:rsid w:val="00584714"/>
    <w:rsid w:val="005A0390"/>
    <w:rsid w:val="005A50C5"/>
    <w:rsid w:val="005C3135"/>
    <w:rsid w:val="00615A6C"/>
    <w:rsid w:val="0063130B"/>
    <w:rsid w:val="00664918"/>
    <w:rsid w:val="00673D16"/>
    <w:rsid w:val="006B5D9E"/>
    <w:rsid w:val="006C7902"/>
    <w:rsid w:val="00701052"/>
    <w:rsid w:val="007079ED"/>
    <w:rsid w:val="00707D97"/>
    <w:rsid w:val="00713158"/>
    <w:rsid w:val="00716F78"/>
    <w:rsid w:val="00745707"/>
    <w:rsid w:val="00756F7D"/>
    <w:rsid w:val="00794AC0"/>
    <w:rsid w:val="00796605"/>
    <w:rsid w:val="007A5C0A"/>
    <w:rsid w:val="00812D42"/>
    <w:rsid w:val="008329AD"/>
    <w:rsid w:val="008579EB"/>
    <w:rsid w:val="008A52A2"/>
    <w:rsid w:val="008F2855"/>
    <w:rsid w:val="009322E0"/>
    <w:rsid w:val="00946CD6"/>
    <w:rsid w:val="00974D4B"/>
    <w:rsid w:val="009A3A71"/>
    <w:rsid w:val="009B7FA2"/>
    <w:rsid w:val="009C45AC"/>
    <w:rsid w:val="009C480B"/>
    <w:rsid w:val="009E092A"/>
    <w:rsid w:val="009F7832"/>
    <w:rsid w:val="00A46E0E"/>
    <w:rsid w:val="00A63915"/>
    <w:rsid w:val="00A72D00"/>
    <w:rsid w:val="00AC113A"/>
    <w:rsid w:val="00AC2057"/>
    <w:rsid w:val="00AC7E3F"/>
    <w:rsid w:val="00AE1B64"/>
    <w:rsid w:val="00AE331F"/>
    <w:rsid w:val="00AF5B9B"/>
    <w:rsid w:val="00B10181"/>
    <w:rsid w:val="00B20E18"/>
    <w:rsid w:val="00B44FA7"/>
    <w:rsid w:val="00B61E79"/>
    <w:rsid w:val="00B737C7"/>
    <w:rsid w:val="00B80AB7"/>
    <w:rsid w:val="00B92AC6"/>
    <w:rsid w:val="00BA4847"/>
    <w:rsid w:val="00BB2A16"/>
    <w:rsid w:val="00BC7B37"/>
    <w:rsid w:val="00BD1F86"/>
    <w:rsid w:val="00BE7599"/>
    <w:rsid w:val="00C35428"/>
    <w:rsid w:val="00C41945"/>
    <w:rsid w:val="00CC16D9"/>
    <w:rsid w:val="00CF461B"/>
    <w:rsid w:val="00D206B2"/>
    <w:rsid w:val="00D2270D"/>
    <w:rsid w:val="00D65F9B"/>
    <w:rsid w:val="00D73030"/>
    <w:rsid w:val="00D828EB"/>
    <w:rsid w:val="00D863DD"/>
    <w:rsid w:val="00DA1C66"/>
    <w:rsid w:val="00DC748B"/>
    <w:rsid w:val="00DF2228"/>
    <w:rsid w:val="00DF7052"/>
    <w:rsid w:val="00E10FEB"/>
    <w:rsid w:val="00E1355F"/>
    <w:rsid w:val="00E531F3"/>
    <w:rsid w:val="00E53A2C"/>
    <w:rsid w:val="00E56A8D"/>
    <w:rsid w:val="00E67DC6"/>
    <w:rsid w:val="00EA000B"/>
    <w:rsid w:val="00EB1698"/>
    <w:rsid w:val="00EC082A"/>
    <w:rsid w:val="00EC31C0"/>
    <w:rsid w:val="00EC569E"/>
    <w:rsid w:val="00EF3F5C"/>
    <w:rsid w:val="00F006F4"/>
    <w:rsid w:val="00F01D79"/>
    <w:rsid w:val="00F13563"/>
    <w:rsid w:val="00F2416F"/>
    <w:rsid w:val="00F30A55"/>
    <w:rsid w:val="00F320FF"/>
    <w:rsid w:val="00F52056"/>
    <w:rsid w:val="00F572AC"/>
    <w:rsid w:val="00F7310D"/>
    <w:rsid w:val="00F77A9E"/>
    <w:rsid w:val="00FA1E42"/>
    <w:rsid w:val="00FA237A"/>
    <w:rsid w:val="00FA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EA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9ED"/>
    <w:rPr>
      <w:rFonts w:ascii="Tahoma" w:hAnsi="Tahoma" w:cs="Tahoma"/>
      <w:sz w:val="16"/>
      <w:szCs w:val="16"/>
      <w:lang w:val="en-US"/>
    </w:rPr>
  </w:style>
  <w:style w:type="paragraph" w:customStyle="1" w:styleId="a5">
    <w:name w:val="Заголовок"/>
    <w:basedOn w:val="a"/>
    <w:next w:val="a6"/>
    <w:uiPriority w:val="99"/>
    <w:rsid w:val="000023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6">
    <w:name w:val="Body Text"/>
    <w:basedOn w:val="a"/>
    <w:link w:val="a7"/>
    <w:uiPriority w:val="99"/>
    <w:semiHidden/>
    <w:unhideWhenUsed/>
    <w:rsid w:val="000023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2375"/>
    <w:rPr>
      <w:lang w:val="en-US"/>
    </w:rPr>
  </w:style>
  <w:style w:type="paragraph" w:styleId="2">
    <w:name w:val="Body Text Indent 2"/>
    <w:basedOn w:val="a"/>
    <w:link w:val="20"/>
    <w:uiPriority w:val="99"/>
    <w:semiHidden/>
    <w:rsid w:val="00335DF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5DF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79660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3\&#1075;&#1072;&#1083;&#1080;&#1085;&#1072;\&#1044;&#1110;&#1072;&#1075;&#1088;&#1072;&#1084;&#1080;\2016\&#1044;&#1110;&#1072;&#1075;&#1088;&#1072;&#1084;&#1080;%201%20&#1082;&#1074;&#1072;&#1088;&#1090;&#1072;&#1083;%202016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s\FIN\&#1044;&#1054;&#1061;&#1054;&#1044;&#1048;\&#1044;&#1110;&#1072;&#1075;&#1088;&#1072;&#1084;&#1080;%201%20&#1082;&#1074;&#1072;&#1088;&#1090;&#1072;&#1083;%202016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s\MANAGER\BUDZHET\2016\&#1044;&#1086;&#1074;&#1110;&#1076;&#1082;&#1080;%20&#1087;&#1088;&#1086;%20&#1074;&#1080;&#1082;&#1086;&#1085;&#1072;&#1085;&#1085;&#1103;\1%20&#1082;&#1074;&#1072;&#1088;&#1090;&#1072;&#1083;%202016%20&#1088;&#1086;&#1082;&#1091;\&#1044;&#1110;&#1072;&#1075;&#1088;&#1072;&#1084;&#1080;%20&#1079;&#1072;%201%20&#1082;&#1074;&#1072;&#1088;&#1090;&#1072;&#108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erro\Desktop\2016\&#1040;&#1085;&#1072;&#1083;&#1080;&#1079;\&#1089;&#1090;&#1072;&#1085;&#1086;&#1084;%20&#1085;&#1072;%2001.04.2016\&#1044;&#1110;&#1072;&#1075;&#1088;&#1072;&#1084;&#1080;%20&#1076;&#1086;%20&#1079;&#1074;&#1110;&#1090;&#1091;%20&#1079;&#1072;%201%20&#1082;&#1074;&#1072;&#1088;&#1090;&#1072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i="1"/>
              <a:t>Структура доходів бюджету м.Запоріжжя за </a:t>
            </a:r>
          </a:p>
          <a:p>
            <a:pPr>
              <a:defRPr sz="1200" b="1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i="1"/>
              <a:t>І квартал  2016 року</a:t>
            </a:r>
          </a:p>
        </c:rich>
      </c:tx>
      <c:layout>
        <c:manualLayout>
          <c:xMode val="edge"/>
          <c:yMode val="edge"/>
          <c:x val="0.19320232618298175"/>
          <c:y val="1.5121148493415138E-2"/>
        </c:manualLayout>
      </c:layout>
      <c:spPr>
        <a:noFill/>
        <a:ln w="25400">
          <a:noFill/>
        </a:ln>
      </c:spPr>
    </c:title>
    <c:view3D>
      <c:rotX val="30"/>
      <c:rotY val="260"/>
      <c:perspective val="0"/>
    </c:view3D>
    <c:plotArea>
      <c:layout>
        <c:manualLayout>
          <c:layoutTarget val="inner"/>
          <c:xMode val="edge"/>
          <c:yMode val="edge"/>
          <c:x val="0.15162015832001366"/>
          <c:y val="0.31751966387805891"/>
          <c:w val="0.74576540556078552"/>
          <c:h val="0.55252079279635313"/>
        </c:manualLayout>
      </c:layout>
      <c:pie3DChart>
        <c:varyColors val="1"/>
        <c:ser>
          <c:idx val="0"/>
          <c:order val="0"/>
          <c:tx>
            <c:strRef>
              <c:f>'структура бюджета за 1 кв 16'!$C$3</c:f>
              <c:strCache>
                <c:ptCount val="1"/>
                <c:pt idx="0">
                  <c:v>Факт за 1 квартал 2016 року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explosion val="38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7230920844281796E-2"/>
                  <c:y val="-3.0729400319207581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Загальний фонд          55%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0.11242368961652666"/>
                  <c:y val="-1.0651652088330361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Трансферти                   41%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8.7948380943323023E-2"/>
                  <c:y val="1.3781544442498229E-2"/>
                </c:manualLayout>
              </c:layout>
              <c:tx>
                <c:rich>
                  <a:bodyPr/>
                  <a:lstStyle/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Спеціальний фонд </a:t>
                    </a:r>
                  </a:p>
                  <a:p>
                    <a:r>
                      <a:rPr lang="ru-RU" sz="1000">
                        <a:latin typeface="Times New Roman" pitchFamily="18" charset="0"/>
                        <a:cs typeface="Times New Roman" pitchFamily="18" charset="0"/>
                      </a:rPr>
                      <a:t>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'структура бюджета за 1 кв 16'!$B$4:$B$6</c:f>
              <c:strCache>
                <c:ptCount val="3"/>
                <c:pt idx="0">
                  <c:v>Загальний фонд</c:v>
                </c:pt>
                <c:pt idx="1">
                  <c:v>Трансферти</c:v>
                </c:pt>
                <c:pt idx="2">
                  <c:v>Спеціальний фонд</c:v>
                </c:pt>
              </c:strCache>
            </c:strRef>
          </c:cat>
          <c:val>
            <c:numRef>
              <c:f>'структура бюджета за 1 кв 16'!$C$4:$C$6</c:f>
              <c:numCache>
                <c:formatCode>#,##0.0</c:formatCode>
                <c:ptCount val="3"/>
                <c:pt idx="0">
                  <c:v>709.1</c:v>
                </c:pt>
                <c:pt idx="1">
                  <c:v>533.1</c:v>
                </c:pt>
                <c:pt idx="2">
                  <c:v>47.7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rotY val="30"/>
      <c:depthPercent val="100"/>
      <c:rAngAx val="1"/>
    </c:view3D>
    <c:sideWall>
      <c:spPr>
        <a:noFill/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278583539026537E-2"/>
          <c:y val="0.21569221573443742"/>
          <c:w val="0.8924473935591577"/>
          <c:h val="0.58428338953228598"/>
        </c:manualLayout>
      </c:layout>
      <c:bar3DChart>
        <c:barDir val="col"/>
        <c:grouping val="clustered"/>
        <c:ser>
          <c:idx val="0"/>
          <c:order val="0"/>
          <c:tx>
            <c:strRef>
              <c:f>'Виконання ЗФ за І квартал 2016 '!$C$3</c:f>
              <c:strCache>
                <c:ptCount val="1"/>
                <c:pt idx="0">
                  <c:v>Факт на 01.04.2015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-9.1848450057405284E-3"/>
                  <c:y val="-4.1856441889380956E-17"/>
                </c:manualLayout>
              </c:layout>
              <c:showVal val="1"/>
            </c:dLbl>
            <c:dLbl>
              <c:idx val="2"/>
              <c:layout>
                <c:manualLayout>
                  <c:x val="-6.1232300038270788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5924225028702676E-3"/>
                  <c:y val="-2.2831050228310544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'Виконання ЗФ за І квартал 2016 '!$B$4:$B$8</c:f>
              <c:strCache>
                <c:ptCount val="5"/>
                <c:pt idx="0">
                  <c:v>Податок на доходи фізичних осіб</c:v>
                </c:pt>
                <c:pt idx="1">
                  <c:v>Податок на майно (в частині плати за землю)</c:v>
                </c:pt>
                <c:pt idx="2">
                  <c:v>Єдиний податок</c:v>
                </c:pt>
                <c:pt idx="3">
                  <c:v>Акцизний податок</c:v>
                </c:pt>
                <c:pt idx="4">
                  <c:v>Інші</c:v>
                </c:pt>
              </c:strCache>
            </c:strRef>
          </c:cat>
          <c:val>
            <c:numRef>
              <c:f>'Виконання ЗФ за І квартал 2016 '!$C$4:$C$8</c:f>
              <c:numCache>
                <c:formatCode>#,##0.0</c:formatCode>
                <c:ptCount val="5"/>
                <c:pt idx="0">
                  <c:v>265.2</c:v>
                </c:pt>
                <c:pt idx="1">
                  <c:v>103.9</c:v>
                </c:pt>
                <c:pt idx="2">
                  <c:v>45.8</c:v>
                </c:pt>
                <c:pt idx="3">
                  <c:v>27.6</c:v>
                </c:pt>
                <c:pt idx="4">
                  <c:v>21.4</c:v>
                </c:pt>
              </c:numCache>
            </c:numRef>
          </c:val>
        </c:ser>
        <c:ser>
          <c:idx val="1"/>
          <c:order val="1"/>
          <c:tx>
            <c:strRef>
              <c:f>'Виконання ЗФ за І квартал 2016 '!$D$3</c:f>
              <c:strCache>
                <c:ptCount val="1"/>
                <c:pt idx="0">
                  <c:v>План на 01.04.2016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1"/>
              <c:layout>
                <c:manualLayout>
                  <c:x val="0"/>
                  <c:y val="-6.8493150684931538E-3"/>
                </c:manualLayout>
              </c:layout>
              <c:showVal val="1"/>
            </c:dLbl>
            <c:dLbl>
              <c:idx val="4"/>
              <c:layout>
                <c:manualLayout>
                  <c:x val="6.1232623669890346E-3"/>
                  <c:y val="-1.6301973682939667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'Виконання ЗФ за І квартал 2016 '!$B$4:$B$8</c:f>
              <c:strCache>
                <c:ptCount val="5"/>
                <c:pt idx="0">
                  <c:v>Податок на доходи фізичних осіб</c:v>
                </c:pt>
                <c:pt idx="1">
                  <c:v>Податок на майно (в частині плати за землю)</c:v>
                </c:pt>
                <c:pt idx="2">
                  <c:v>Єдиний податок</c:v>
                </c:pt>
                <c:pt idx="3">
                  <c:v>Акцизний податок</c:v>
                </c:pt>
                <c:pt idx="4">
                  <c:v>Інші</c:v>
                </c:pt>
              </c:strCache>
            </c:strRef>
          </c:cat>
          <c:val>
            <c:numRef>
              <c:f>'Виконання ЗФ за І квартал 2016 '!$D$4:$D$8</c:f>
              <c:numCache>
                <c:formatCode>General</c:formatCode>
                <c:ptCount val="5"/>
                <c:pt idx="0">
                  <c:v>384.3</c:v>
                </c:pt>
                <c:pt idx="1">
                  <c:v>165.8</c:v>
                </c:pt>
                <c:pt idx="2">
                  <c:v>68.400000000000006</c:v>
                </c:pt>
                <c:pt idx="3">
                  <c:v>50.4</c:v>
                </c:pt>
                <c:pt idx="4">
                  <c:v>23.1</c:v>
                </c:pt>
              </c:numCache>
            </c:numRef>
          </c:val>
        </c:ser>
        <c:ser>
          <c:idx val="2"/>
          <c:order val="2"/>
          <c:tx>
            <c:strRef>
              <c:f>'Виконання ЗФ за І квартал 2016 '!$E$3</c:f>
              <c:strCache>
                <c:ptCount val="1"/>
                <c:pt idx="0">
                  <c:v>Факт на 01.04.2016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39700" h="139700" prst="divot"/>
            </a:sp3d>
          </c:spPr>
          <c:dLbls>
            <c:dLbl>
              <c:idx val="0"/>
              <c:layout>
                <c:manualLayout>
                  <c:x val="1.8369690011481084E-2"/>
                  <c:y val="-6.8493150684931538E-3"/>
                </c:manualLayout>
              </c:layout>
              <c:showVal val="1"/>
            </c:dLbl>
            <c:dLbl>
              <c:idx val="1"/>
              <c:layout>
                <c:manualLayout>
                  <c:x val="2.5282925867329387E-2"/>
                  <c:y val="-1.4920249367158125E-2"/>
                </c:manualLayout>
              </c:layout>
              <c:showVal val="1"/>
            </c:dLbl>
            <c:dLbl>
              <c:idx val="2"/>
              <c:layout>
                <c:manualLayout>
                  <c:x val="1.224646000765404E-2"/>
                  <c:y val="-4.5662100456620594E-3"/>
                </c:manualLayout>
              </c:layout>
              <c:showVal val="1"/>
            </c:dLbl>
            <c:dLbl>
              <c:idx val="3"/>
              <c:layout>
                <c:manualLayout>
                  <c:x val="6.1232623669890346E-3"/>
                  <c:y val="-1.2797024504840725E-2"/>
                </c:manualLayout>
              </c:layout>
              <c:showVal val="1"/>
            </c:dLbl>
            <c:dLbl>
              <c:idx val="4"/>
              <c:layout>
                <c:manualLayout>
                  <c:x val="1.2246524733978071E-2"/>
                  <c:y val="-2.4532712537043925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'Виконання ЗФ за І квартал 2016 '!$B$4:$B$8</c:f>
              <c:strCache>
                <c:ptCount val="5"/>
                <c:pt idx="0">
                  <c:v>Податок на доходи фізичних осіб</c:v>
                </c:pt>
                <c:pt idx="1">
                  <c:v>Податок на майно (в частині плати за землю)</c:v>
                </c:pt>
                <c:pt idx="2">
                  <c:v>Єдиний податок</c:v>
                </c:pt>
                <c:pt idx="3">
                  <c:v>Акцизний податок</c:v>
                </c:pt>
                <c:pt idx="4">
                  <c:v>Інші</c:v>
                </c:pt>
              </c:strCache>
            </c:strRef>
          </c:cat>
          <c:val>
            <c:numRef>
              <c:f>'Виконання ЗФ за І квартал 2016 '!$E$4:$E$8</c:f>
              <c:numCache>
                <c:formatCode>General</c:formatCode>
                <c:ptCount val="5"/>
                <c:pt idx="0">
                  <c:v>397.2</c:v>
                </c:pt>
                <c:pt idx="1">
                  <c:v>168.2</c:v>
                </c:pt>
                <c:pt idx="2">
                  <c:v>69.3</c:v>
                </c:pt>
                <c:pt idx="3">
                  <c:v>50.7</c:v>
                </c:pt>
                <c:pt idx="4">
                  <c:v>23.7</c:v>
                </c:pt>
              </c:numCache>
            </c:numRef>
          </c:val>
        </c:ser>
        <c:dLbls>
          <c:showVal val="1"/>
        </c:dLbls>
        <c:shape val="box"/>
        <c:axId val="51240320"/>
        <c:axId val="51975296"/>
        <c:axId val="0"/>
      </c:bar3DChart>
      <c:catAx>
        <c:axId val="512403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1975296"/>
        <c:crosses val="autoZero"/>
        <c:auto val="1"/>
        <c:lblAlgn val="ctr"/>
        <c:lblOffset val="100"/>
      </c:catAx>
      <c:valAx>
        <c:axId val="51975296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124032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768301474200541"/>
          <c:y val="0.93034420582311117"/>
          <c:w val="0.68463397051598929"/>
          <c:h val="5.9141774518155728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1">
                <a:latin typeface="Times New Roman" pitchFamily="18" charset="0"/>
                <a:cs typeface="Times New Roman" pitchFamily="18" charset="0"/>
              </a:rPr>
              <a:t>Виконання бюджету міста по видатках загального фонду бюджету за економічною сутністю</a:t>
            </a:r>
          </a:p>
        </c:rich>
      </c:tx>
      <c:layout/>
    </c:title>
    <c:view3D>
      <c:rotX val="30"/>
      <c:rotY val="40"/>
      <c:rAngAx val="1"/>
    </c:view3D>
    <c:sideWall>
      <c:spPr>
        <a:noFill/>
        <a:ln>
          <a:noFill/>
        </a:ln>
        <a:effectLst>
          <a:outerShdw sx="1000" sy="1000" algn="ctr" rotWithShape="0">
            <a:srgbClr val="000000">
              <a:alpha val="43137"/>
            </a:srgbClr>
          </a:outerShdw>
        </a:effectLst>
        <a:scene3d>
          <a:camera prst="orthographicFront"/>
          <a:lightRig rig="threePt" dir="t"/>
        </a:scene3d>
        <a:sp3d prstMaterial="softEdge"/>
      </c:spPr>
    </c:sideWall>
    <c:backWall>
      <c:spPr>
        <a:noFill/>
        <a:ln>
          <a:noFill/>
        </a:ln>
        <a:effectLst>
          <a:outerShdw sx="1000" sy="1000" algn="ctr" rotWithShape="0">
            <a:srgbClr val="000000">
              <a:alpha val="43137"/>
            </a:srgbClr>
          </a:outerShdw>
        </a:effectLst>
        <a:scene3d>
          <a:camera prst="orthographicFront"/>
          <a:lightRig rig="threePt" dir="t"/>
        </a:scene3d>
        <a:sp3d prstMaterial="softEdge"/>
      </c:spPr>
    </c:backWall>
    <c:plotArea>
      <c:layout>
        <c:manualLayout>
          <c:layoutTarget val="inner"/>
          <c:xMode val="edge"/>
          <c:yMode val="edge"/>
          <c:x val="0.24885587185366834"/>
          <c:y val="0.13055887072559577"/>
          <c:w val="0.70880367686193368"/>
          <c:h val="0.72663751316958713"/>
        </c:manualLayout>
      </c:layout>
      <c:bar3DChart>
        <c:barDir val="bar"/>
        <c:grouping val="stacked"/>
        <c:ser>
          <c:idx val="0"/>
          <c:order val="0"/>
          <c:tx>
            <c:strRef>
              <c:f>Лист2!$C$1</c:f>
              <c:strCache>
                <c:ptCount val="1"/>
                <c:pt idx="0">
                  <c:v>Виконано</c:v>
                </c:pt>
              </c:strCache>
            </c:strRef>
          </c:tx>
          <c:spPr>
            <a:gradFill flip="none" rotWithShape="1"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8100000" scaled="1"/>
              <a:tileRect/>
            </a:gradFill>
          </c:spPr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800" b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strRef>
              <c:f>Лист2!$A$2:$A$7</c:f>
              <c:strCache>
                <c:ptCount val="6"/>
                <c:pt idx="0">
                  <c:v>інші видатки</c:v>
                </c:pt>
                <c:pt idx="1">
                  <c:v>медикаменти</c:v>
                </c:pt>
                <c:pt idx="2">
                  <c:v>продукти харчування</c:v>
                </c:pt>
                <c:pt idx="3">
                  <c:v>комунальні послуги та енергоносії</c:v>
                </c:pt>
                <c:pt idx="4">
                  <c:v>соціальне забезпечення</c:v>
                </c:pt>
                <c:pt idx="5">
                  <c:v>оплата праці з нарахуваннями</c:v>
                </c:pt>
              </c:strCache>
            </c:strRef>
          </c:cat>
          <c:val>
            <c:numRef>
              <c:f>Лист2!$C$2:$C$7</c:f>
              <c:numCache>
                <c:formatCode>0.0</c:formatCode>
                <c:ptCount val="6"/>
                <c:pt idx="0">
                  <c:v>161.35423768000001</c:v>
                </c:pt>
                <c:pt idx="1">
                  <c:v>9.4356186099999988</c:v>
                </c:pt>
                <c:pt idx="2">
                  <c:v>21.728692339999998</c:v>
                </c:pt>
                <c:pt idx="3">
                  <c:v>102.04548785</c:v>
                </c:pt>
                <c:pt idx="4">
                  <c:v>320.68905202999997</c:v>
                </c:pt>
                <c:pt idx="5">
                  <c:v>386.97194213</c:v>
                </c:pt>
              </c:numCache>
            </c:numRef>
          </c:val>
        </c:ser>
        <c:ser>
          <c:idx val="1"/>
          <c:order val="1"/>
          <c:tx>
            <c:strRef>
              <c:f>Лист2!$D$1</c:f>
              <c:strCache>
                <c:ptCount val="1"/>
                <c:pt idx="0">
                  <c:v>Планові показники</c:v>
                </c:pt>
              </c:strCache>
            </c:strRef>
          </c:tx>
          <c:spPr>
            <a:gradFill flip="none" rotWithShape="1"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2700000" scaled="1"/>
              <a:tileRect/>
            </a:gradFill>
          </c:spPr>
          <c:cat>
            <c:strRef>
              <c:f>Лист2!$A$2:$A$7</c:f>
              <c:strCache>
                <c:ptCount val="6"/>
                <c:pt idx="0">
                  <c:v>інші видатки</c:v>
                </c:pt>
                <c:pt idx="1">
                  <c:v>медикаменти</c:v>
                </c:pt>
                <c:pt idx="2">
                  <c:v>продукти харчування</c:v>
                </c:pt>
                <c:pt idx="3">
                  <c:v>комунальні послуги та енергоносії</c:v>
                </c:pt>
                <c:pt idx="4">
                  <c:v>соціальне забезпечення</c:v>
                </c:pt>
                <c:pt idx="5">
                  <c:v>оплата праці з нарахуваннями</c:v>
                </c:pt>
              </c:strCache>
            </c:strRef>
          </c:cat>
          <c:val>
            <c:numRef>
              <c:f>Лист2!$D$2:$D$7</c:f>
              <c:numCache>
                <c:formatCode>0.0</c:formatCode>
                <c:ptCount val="6"/>
                <c:pt idx="0">
                  <c:v>38.421306999999985</c:v>
                </c:pt>
                <c:pt idx="1">
                  <c:v>3.9552443900000007</c:v>
                </c:pt>
                <c:pt idx="2">
                  <c:v>6.260248660000002</c:v>
                </c:pt>
                <c:pt idx="3">
                  <c:v>54.218774150000002</c:v>
                </c:pt>
                <c:pt idx="4">
                  <c:v>30.148835050000002</c:v>
                </c:pt>
                <c:pt idx="5">
                  <c:v>12.150161869999977</c:v>
                </c:pt>
              </c:numCache>
            </c:numRef>
          </c:val>
        </c:ser>
        <c:gapWidth val="75"/>
        <c:shape val="box"/>
        <c:axId val="81114624"/>
        <c:axId val="81161600"/>
        <c:axId val="0"/>
      </c:bar3DChart>
      <c:catAx>
        <c:axId val="8111462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700" b="1">
                <a:latin typeface="Arial Narrow" pitchFamily="34" charset="0"/>
              </a:defRPr>
            </a:pPr>
            <a:endParaRPr lang="ru-RU"/>
          </a:p>
        </c:txPr>
        <c:crossAx val="81161600"/>
        <c:crosses val="autoZero"/>
        <c:auto val="1"/>
        <c:lblAlgn val="ctr"/>
        <c:lblOffset val="100"/>
      </c:catAx>
      <c:valAx>
        <c:axId val="81161600"/>
        <c:scaling>
          <c:orientation val="minMax"/>
        </c:scaling>
        <c:axPos val="b"/>
        <c:majorGridlines>
          <c:spPr>
            <a:ln w="0"/>
            <a:effectLst>
              <a:outerShdw blurRad="50800" dist="50800" dir="5400000" algn="ctr" rotWithShape="0">
                <a:schemeClr val="bg1"/>
              </a:outerShdw>
            </a:effectLst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81114624"/>
        <c:crosses val="autoZero"/>
        <c:crossBetween val="between"/>
        <c:majorUnit val="5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0.33572571432361226"/>
          <c:y val="0.93273930653084869"/>
          <c:w val="0.32854857135277549"/>
          <c:h val="5.8730114797131264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116087060255236"/>
          <c:y val="0.1781588819922586"/>
          <c:w val="0.65288862998620179"/>
          <c:h val="0.6306471590939019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prstMaterial="softEdge">
              <a:bevelT w="209550" h="260350"/>
              <a:bevelB w="146050" h="190500"/>
              <a:contourClr>
                <a:srgbClr val="000000"/>
              </a:contourClr>
            </a:sp3d>
          </c:spPr>
          <c:explosion val="25"/>
          <c:dLbls>
            <c:dLbl>
              <c:idx val="0"/>
              <c:layout>
                <c:manualLayout>
                  <c:x val="9.0797172890951267E-2"/>
                  <c:y val="-6.8078633028014424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Освіта
322,8 млн.грн.
31%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6.4049356100938135E-2"/>
                  <c:y val="-4.5269851472647546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Охорона здоров'я
184,9 млн.грн.
17%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0.14421235742861024"/>
                  <c:y val="6.5001262597277371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Культура
25,7 млн.грн.
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0.12071124665343388"/>
                  <c:y val="1.755729513402661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Фізична культура і спорт
9,2 млн.грн.
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7.7429311319390584E-2"/>
                  <c:y val="0.15403197049348424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Соціальний захист та соціальне  забезпечення, 
компенсація пільгового проїзду
325,6 млн.грн.
31%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0.18819309522870575"/>
                  <c:y val="0.22105981650252904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Житлово-комунальне та дорожнє господарство
83,4 млн.грн.
8%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-0.14364553345689904"/>
                  <c:y val="2.597430423237916E-3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Кошти, що передаються до  державного бюджету
46,3 млн.грн.
4%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6.9947936835764529E-2"/>
                  <c:y val="-5.9704813321099164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Транспорт
16,4 млн.грн.
2%</a:t>
                    </a: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21333505442967179"/>
                  <c:y val="-5.194375093357232E-2"/>
                </c:manualLayout>
              </c:layout>
              <c:tx>
                <c:rich>
                  <a:bodyPr/>
                  <a:lstStyle/>
                  <a:p>
                    <a:r>
                      <a:rPr lang="ru-RU" sz="700"/>
                      <a:t>Інші видатки
42,7млн.грн.
4%</a:t>
                    </a:r>
                  </a:p>
                </c:rich>
              </c:tx>
              <c:showVal val="1"/>
              <c:showCatName val="1"/>
              <c:showPercent val="1"/>
            </c:dLbl>
            <c:spPr>
              <a:solidFill>
                <a:srgbClr val="F79646">
                  <a:lumMod val="20000"/>
                  <a:lumOff val="80000"/>
                </a:srgbClr>
              </a:solidFill>
              <a:scene3d>
                <a:camera prst="orthographicFront"/>
                <a:lightRig rig="threePt" dir="t"/>
              </a:scene3d>
              <a:sp3d prstMaterial="softEdge">
                <a:bevelT w="165100" prst="coolSlant"/>
                <a:bevelB/>
              </a:sp3d>
            </c:spPr>
            <c:txPr>
              <a:bodyPr/>
              <a:lstStyle/>
              <a:p>
                <a:pPr>
                  <a:defRPr sz="700" b="1"/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Лист1!$A$1:$A$9</c:f>
              <c:strCache>
                <c:ptCount val="9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Соціальний захист та соціальне  забезпечення, 
компенсація пільгового проїзду</c:v>
                </c:pt>
                <c:pt idx="5">
                  <c:v>Житлово-комунальне та дорожнє господарство</c:v>
                </c:pt>
                <c:pt idx="6">
                  <c:v>Кошти, що передаються до  держаного бюджету</c:v>
                </c:pt>
                <c:pt idx="7">
                  <c:v>Транспорт</c:v>
                </c:pt>
                <c:pt idx="8">
                  <c:v>Інші видатки</c:v>
                </c:pt>
              </c:strCache>
            </c:strRef>
          </c:cat>
          <c:val>
            <c:numRef>
              <c:f>Лист1!$B$1:$B$9</c:f>
              <c:numCache>
                <c:formatCode>#,##0.0</c:formatCode>
                <c:ptCount val="9"/>
                <c:pt idx="0">
                  <c:v>322.8</c:v>
                </c:pt>
                <c:pt idx="1">
                  <c:v>184.9</c:v>
                </c:pt>
                <c:pt idx="2">
                  <c:v>25.700000000000003</c:v>
                </c:pt>
                <c:pt idx="3">
                  <c:v>9.2000000000000011</c:v>
                </c:pt>
                <c:pt idx="4">
                  <c:v>325.60000000000002</c:v>
                </c:pt>
                <c:pt idx="5">
                  <c:v>83.4</c:v>
                </c:pt>
                <c:pt idx="6">
                  <c:v>46.3</c:v>
                </c:pt>
                <c:pt idx="7">
                  <c:v>16.399999999999999</c:v>
                </c:pt>
                <c:pt idx="8">
                  <c:v>42.7</c:v>
                </c:pt>
              </c:numCache>
            </c:numRef>
          </c:val>
        </c:ser>
        <c:dLbls>
          <c:showCatName val="1"/>
          <c:showPercent val="1"/>
        </c:dLbls>
      </c:pie3DChart>
      <c:spPr>
        <a:scene3d>
          <a:camera prst="orthographicFront"/>
          <a:lightRig rig="threePt" dir="t"/>
        </a:scene3d>
        <a:sp3d prstMaterial="softEdge"/>
      </c:spPr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0.07807</cdr:x>
      <cdr:y>0.01051</cdr:y>
    </cdr:from>
    <cdr:to>
      <cdr:x>0.91848</cdr:x>
      <cdr:y>0.18575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31132" y="38100"/>
          <a:ext cx="4641066" cy="635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200" b="1" i="1">
              <a:latin typeface="Times New Roman" pitchFamily="18" charset="0"/>
              <a:cs typeface="Times New Roman" pitchFamily="18" charset="0"/>
            </a:rPr>
            <a:t>Виконання  доходної частини загального фонду бюджету міста в розрізі найбільших джерел (без урахування міжбюджетних </a:t>
          </a:r>
          <a:r>
            <a:rPr lang="ru-RU" sz="1200" b="1" i="1" baseline="0">
              <a:latin typeface="Times New Roman" pitchFamily="18" charset="0"/>
              <a:cs typeface="Times New Roman" pitchFamily="18" charset="0"/>
            </a:rPr>
            <a:t>трансфертів)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 за І квартал 2016 року, млн.грн.</a:t>
          </a:r>
        </a:p>
      </cdr:txBody>
    </cdr:sp>
  </cdr:relSizeAnchor>
  <cdr:relSizeAnchor xmlns:cdr="http://schemas.openxmlformats.org/drawingml/2006/chartDrawing">
    <cdr:from>
      <cdr:x>0.14641</cdr:x>
      <cdr:y>0.11976</cdr:y>
    </cdr:from>
    <cdr:to>
      <cdr:x>0.2719</cdr:x>
      <cdr:y>0.26347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66800" y="762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0.5062</cdr:x>
      <cdr:y>0.66395</cdr:y>
    </cdr:from>
    <cdr:to>
      <cdr:x>0.60191</cdr:x>
      <cdr:y>0.72442</cdr:y>
    </cdr:to>
    <cdr:sp macro="" textlink="">
      <cdr:nvSpPr>
        <cdr:cNvPr id="2" name="Выгнутая вверх стрелка 1"/>
        <cdr:cNvSpPr/>
      </cdr:nvSpPr>
      <cdr:spPr>
        <a:xfrm xmlns:a="http://schemas.openxmlformats.org/drawingml/2006/main">
          <a:off x="3053008" y="2189552"/>
          <a:ext cx="577249" cy="199416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0.72869</cdr:x>
      <cdr:y>0.25699</cdr:y>
    </cdr:from>
    <cdr:to>
      <cdr:x>0.82976</cdr:x>
      <cdr:y>0.31306</cdr:y>
    </cdr:to>
    <cdr:sp macro="" textlink="">
      <cdr:nvSpPr>
        <cdr:cNvPr id="3" name="Выгнутая вверх стрелка 2"/>
        <cdr:cNvSpPr/>
      </cdr:nvSpPr>
      <cdr:spPr>
        <a:xfrm xmlns:a="http://schemas.openxmlformats.org/drawingml/2006/main">
          <a:off x="4394923" y="847480"/>
          <a:ext cx="609577" cy="184926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0.41658</cdr:x>
      <cdr:y>0.35843</cdr:y>
    </cdr:from>
    <cdr:to>
      <cdr:x>0.52397</cdr:x>
      <cdr:y>0.4163</cdr:y>
    </cdr:to>
    <cdr:sp macro="" textlink="">
      <cdr:nvSpPr>
        <cdr:cNvPr id="4" name="Выгнутая вверх стрелка 3"/>
        <cdr:cNvSpPr/>
      </cdr:nvSpPr>
      <cdr:spPr>
        <a:xfrm xmlns:a="http://schemas.openxmlformats.org/drawingml/2006/main">
          <a:off x="2512483" y="1182026"/>
          <a:ext cx="647700" cy="190845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0.81245</cdr:x>
      <cdr:y>0.14232</cdr:y>
    </cdr:from>
    <cdr:to>
      <cdr:x>0.91493</cdr:x>
      <cdr:y>0.2031</cdr:y>
    </cdr:to>
    <cdr:sp macro="" textlink="">
      <cdr:nvSpPr>
        <cdr:cNvPr id="5" name="Выгнутая вверх стрелка 4"/>
        <cdr:cNvSpPr/>
      </cdr:nvSpPr>
      <cdr:spPr>
        <a:xfrm xmlns:a="http://schemas.openxmlformats.org/drawingml/2006/main">
          <a:off x="4900083" y="469346"/>
          <a:ext cx="618081" cy="200418"/>
        </a:xfrm>
        <a:prstGeom xmlns:a="http://schemas.openxmlformats.org/drawingml/2006/main" prst="curvedDown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0.73771</cdr:x>
      <cdr:y>0.2541</cdr:y>
    </cdr:from>
    <cdr:to>
      <cdr:x>0.82368</cdr:x>
      <cdr:y>0.32565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4449280" y="837977"/>
          <a:ext cx="518538" cy="2359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91,4</a:t>
          </a:r>
          <a:r>
            <a:rPr lang="ru-RU" sz="800"/>
            <a:t> </a:t>
          </a:r>
          <a:r>
            <a:rPr lang="ru-RU" sz="800" b="1"/>
            <a:t>%</a:t>
          </a:r>
          <a:r>
            <a:rPr lang="ru-RU" sz="800"/>
            <a:t> </a:t>
          </a:r>
        </a:p>
      </cdr:txBody>
    </cdr:sp>
  </cdr:relSizeAnchor>
  <cdr:relSizeAnchor xmlns:cdr="http://schemas.openxmlformats.org/drawingml/2006/chartDrawing">
    <cdr:from>
      <cdr:x>0.28848</cdr:x>
      <cdr:y>0.47816</cdr:y>
    </cdr:from>
    <cdr:to>
      <cdr:x>0.34349</cdr:x>
      <cdr:y>0.51512</cdr:y>
    </cdr:to>
    <cdr:sp macro="" textlink="">
      <cdr:nvSpPr>
        <cdr:cNvPr id="12" name="Выгнутая вверх стрелка 11"/>
        <cdr:cNvSpPr/>
      </cdr:nvSpPr>
      <cdr:spPr>
        <a:xfrm xmlns:a="http://schemas.openxmlformats.org/drawingml/2006/main">
          <a:off x="1739900" y="1786467"/>
          <a:ext cx="331777" cy="138084"/>
        </a:xfrm>
        <a:prstGeom xmlns:a="http://schemas.openxmlformats.org/drawingml/2006/main" prst="curvedDownArrow">
          <a:avLst>
            <a:gd name="adj1" fmla="val 25000"/>
            <a:gd name="adj2" fmla="val 40763"/>
            <a:gd name="adj3" fmla="val 28066"/>
          </a:avLst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0.42526</cdr:x>
      <cdr:y>0.3565</cdr:y>
    </cdr:from>
    <cdr:to>
      <cdr:x>0.51906</cdr:x>
      <cdr:y>0.41834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564859" y="1175657"/>
          <a:ext cx="565692" cy="2039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65,3 %</a:t>
          </a:r>
        </a:p>
      </cdr:txBody>
    </cdr:sp>
  </cdr:relSizeAnchor>
  <cdr:relSizeAnchor xmlns:cdr="http://schemas.openxmlformats.org/drawingml/2006/chartDrawing">
    <cdr:from>
      <cdr:x>0.29426</cdr:x>
      <cdr:y>0.59514</cdr:y>
    </cdr:from>
    <cdr:to>
      <cdr:x>0.32032</cdr:x>
      <cdr:y>0.6551</cdr:y>
    </cdr:to>
    <cdr:sp macro="" textlink="">
      <cdr:nvSpPr>
        <cdr:cNvPr id="13" name="Круговая стрелка 12"/>
        <cdr:cNvSpPr/>
      </cdr:nvSpPr>
      <cdr:spPr>
        <a:xfrm xmlns:a="http://schemas.openxmlformats.org/drawingml/2006/main">
          <a:off x="1774744" y="2118835"/>
          <a:ext cx="157174" cy="213472"/>
        </a:xfrm>
        <a:prstGeom xmlns:a="http://schemas.openxmlformats.org/drawingml/2006/main" prst="circularArrow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0.82823</cdr:x>
      <cdr:y>0.15559</cdr:y>
    </cdr:from>
    <cdr:to>
      <cdr:x>0.90861</cdr:x>
      <cdr:y>0.2063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4995222" y="513097"/>
          <a:ext cx="484828" cy="167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800" b="1"/>
            <a:t>97,0 %</a:t>
          </a:r>
          <a:r>
            <a:rPr lang="ru-RU" sz="800"/>
            <a:t> </a:t>
          </a:r>
        </a:p>
      </cdr:txBody>
    </cdr:sp>
  </cdr:relSizeAnchor>
  <cdr:relSizeAnchor xmlns:cdr="http://schemas.openxmlformats.org/drawingml/2006/chartDrawing">
    <cdr:from>
      <cdr:x>0.89668</cdr:x>
      <cdr:y>0.83047</cdr:y>
    </cdr:from>
    <cdr:to>
      <cdr:x>1</cdr:x>
      <cdr:y>0.88103</cdr:y>
    </cdr:to>
    <cdr:sp macro="" textlink="">
      <cdr:nvSpPr>
        <cdr:cNvPr id="15" name="TextBox 14"/>
        <cdr:cNvSpPr txBox="1"/>
      </cdr:nvSpPr>
      <cdr:spPr>
        <a:xfrm xmlns:a="http://schemas.openxmlformats.org/drawingml/2006/main">
          <a:off x="5408083" y="3102739"/>
          <a:ext cx="623147" cy="188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900"/>
            <a:t>млн.грн.</a:t>
          </a:r>
        </a:p>
      </cdr:txBody>
    </cdr:sp>
  </cdr:relSizeAnchor>
  <cdr:relSizeAnchor xmlns:cdr="http://schemas.openxmlformats.org/drawingml/2006/chartDrawing">
    <cdr:from>
      <cdr:x>0.28366</cdr:x>
      <cdr:y>0.4733</cdr:y>
    </cdr:from>
    <cdr:to>
      <cdr:x>0.36183</cdr:x>
      <cdr:y>0.53088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1710793" y="1768325"/>
          <a:ext cx="471490" cy="2151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600" b="1"/>
            <a:t>77,6 %</a:t>
          </a:r>
        </a:p>
      </cdr:txBody>
    </cdr:sp>
  </cdr:relSizeAnchor>
  <cdr:relSizeAnchor xmlns:cdr="http://schemas.openxmlformats.org/drawingml/2006/chartDrawing">
    <cdr:from>
      <cdr:x>0.24519</cdr:x>
      <cdr:y>0.59693</cdr:y>
    </cdr:from>
    <cdr:to>
      <cdr:x>0.312</cdr:x>
      <cdr:y>0.65451</cdr:y>
    </cdr:to>
    <cdr:sp macro="" textlink="">
      <cdr:nvSpPr>
        <cdr:cNvPr id="17" name="TextBox 1"/>
        <cdr:cNvSpPr txBox="1"/>
      </cdr:nvSpPr>
      <cdr:spPr>
        <a:xfrm xmlns:a="http://schemas.openxmlformats.org/drawingml/2006/main">
          <a:off x="1478774" y="2125197"/>
          <a:ext cx="402942" cy="2049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600" b="1"/>
            <a:t>70,5 %</a:t>
          </a:r>
        </a:p>
      </cdr:txBody>
    </cdr:sp>
  </cdr:relSizeAnchor>
  <cdr:relSizeAnchor xmlns:cdr="http://schemas.openxmlformats.org/drawingml/2006/chartDrawing">
    <cdr:from>
      <cdr:x>0.51417</cdr:x>
      <cdr:y>0.66582</cdr:y>
    </cdr:from>
    <cdr:to>
      <cdr:x>0.59556</cdr:x>
      <cdr:y>0.7234</cdr:y>
    </cdr:to>
    <cdr:sp macro="" textlink="">
      <cdr:nvSpPr>
        <cdr:cNvPr id="18" name="TextBox 1"/>
        <cdr:cNvSpPr txBox="1"/>
      </cdr:nvSpPr>
      <cdr:spPr>
        <a:xfrm xmlns:a="http://schemas.openxmlformats.org/drawingml/2006/main">
          <a:off x="3101079" y="2195728"/>
          <a:ext cx="490905" cy="189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800" b="1"/>
            <a:t>80,8 %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DBA2-9004-4CBC-A9A7-FC826A46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</dc:creator>
  <cp:lastModifiedBy>Ferro</cp:lastModifiedBy>
  <cp:revision>7</cp:revision>
  <cp:lastPrinted>2016-05-16T13:12:00Z</cp:lastPrinted>
  <dcterms:created xsi:type="dcterms:W3CDTF">2016-05-16T09:59:00Z</dcterms:created>
  <dcterms:modified xsi:type="dcterms:W3CDTF">2016-05-16T14:46:00Z</dcterms:modified>
</cp:coreProperties>
</file>