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08" w:rsidRDefault="00345E08" w:rsidP="00675437">
      <w:pPr>
        <w:pStyle w:val="a4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Довідка про</w:t>
      </w:r>
      <w:r w:rsidR="00675437" w:rsidRPr="005F3723">
        <w:rPr>
          <w:b/>
          <w:bCs/>
          <w:szCs w:val="28"/>
        </w:rPr>
        <w:t xml:space="preserve"> виконання бюджету</w:t>
      </w:r>
      <w:r>
        <w:rPr>
          <w:b/>
          <w:bCs/>
          <w:szCs w:val="28"/>
        </w:rPr>
        <w:t xml:space="preserve"> міста Запоріжжя</w:t>
      </w:r>
    </w:p>
    <w:p w:rsidR="0008476C" w:rsidRPr="0008476C" w:rsidRDefault="00675437" w:rsidP="0008476C">
      <w:pPr>
        <w:pStyle w:val="a4"/>
        <w:ind w:firstLine="708"/>
        <w:jc w:val="center"/>
        <w:rPr>
          <w:b/>
          <w:bCs/>
          <w:szCs w:val="28"/>
        </w:rPr>
      </w:pPr>
      <w:r w:rsidRPr="0008476C">
        <w:rPr>
          <w:b/>
          <w:bCs/>
          <w:szCs w:val="28"/>
        </w:rPr>
        <w:t xml:space="preserve">за </w:t>
      </w:r>
      <w:r w:rsidR="00293EA3" w:rsidRPr="0008476C">
        <w:rPr>
          <w:b/>
          <w:bCs/>
          <w:szCs w:val="28"/>
        </w:rPr>
        <w:t xml:space="preserve">9 місяців </w:t>
      </w:r>
      <w:r w:rsidR="00050D58" w:rsidRPr="0008476C">
        <w:rPr>
          <w:b/>
          <w:bCs/>
          <w:szCs w:val="28"/>
        </w:rPr>
        <w:t>201</w:t>
      </w:r>
      <w:r w:rsidR="00510FEF" w:rsidRPr="0008476C">
        <w:rPr>
          <w:b/>
          <w:bCs/>
          <w:szCs w:val="28"/>
        </w:rPr>
        <w:t>7</w:t>
      </w:r>
      <w:r w:rsidRPr="0008476C">
        <w:rPr>
          <w:b/>
          <w:bCs/>
          <w:szCs w:val="28"/>
        </w:rPr>
        <w:t xml:space="preserve"> р</w:t>
      </w:r>
      <w:r w:rsidR="00FD2F5C" w:rsidRPr="0008476C">
        <w:rPr>
          <w:b/>
          <w:bCs/>
          <w:szCs w:val="28"/>
        </w:rPr>
        <w:t>о</w:t>
      </w:r>
      <w:r w:rsidR="00D853F7" w:rsidRPr="0008476C">
        <w:rPr>
          <w:b/>
          <w:bCs/>
          <w:szCs w:val="28"/>
        </w:rPr>
        <w:t>к</w:t>
      </w:r>
      <w:r w:rsidR="00FD2F5C" w:rsidRPr="0008476C">
        <w:rPr>
          <w:b/>
          <w:bCs/>
          <w:szCs w:val="28"/>
        </w:rPr>
        <w:t>у</w:t>
      </w:r>
      <w:r w:rsidR="0008476C" w:rsidRPr="0008476C">
        <w:rPr>
          <w:b/>
          <w:bCs/>
          <w:szCs w:val="28"/>
        </w:rPr>
        <w:t xml:space="preserve"> </w:t>
      </w:r>
    </w:p>
    <w:p w:rsidR="0008476C" w:rsidRPr="0008476C" w:rsidRDefault="0008476C" w:rsidP="00125E71">
      <w:pPr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08476C">
        <w:rPr>
          <w:b/>
          <w:sz w:val="28"/>
          <w:szCs w:val="28"/>
          <w:lang w:val="uk-UA"/>
        </w:rPr>
        <w:t>Доходи</w:t>
      </w:r>
    </w:p>
    <w:p w:rsidR="0008476C" w:rsidRDefault="0008476C" w:rsidP="00125E71">
      <w:pPr>
        <w:pStyle w:val="a6"/>
        <w:ind w:left="284" w:firstLine="709"/>
        <w:jc w:val="both"/>
        <w:rPr>
          <w:sz w:val="28"/>
          <w:szCs w:val="28"/>
          <w:lang w:val="uk-UA"/>
        </w:rPr>
      </w:pPr>
      <w:r w:rsidRPr="0008476C">
        <w:rPr>
          <w:sz w:val="28"/>
          <w:szCs w:val="28"/>
          <w:lang w:val="uk-UA"/>
        </w:rPr>
        <w:t>За 9 місяців поточного року до бюджету міста надійшло 5</w:t>
      </w:r>
      <w:r w:rsidRPr="0008476C">
        <w:rPr>
          <w:sz w:val="28"/>
          <w:szCs w:val="28"/>
        </w:rPr>
        <w:t> </w:t>
      </w:r>
      <w:r w:rsidRPr="0008476C">
        <w:rPr>
          <w:sz w:val="28"/>
          <w:szCs w:val="28"/>
          <w:lang w:val="uk-UA"/>
        </w:rPr>
        <w:t>781,8</w:t>
      </w:r>
      <w:r w:rsidRPr="0008476C">
        <w:rPr>
          <w:sz w:val="28"/>
          <w:szCs w:val="28"/>
        </w:rPr>
        <w:t> </w:t>
      </w:r>
      <w:proofErr w:type="spellStart"/>
      <w:r w:rsidRPr="0008476C">
        <w:rPr>
          <w:sz w:val="28"/>
          <w:szCs w:val="28"/>
          <w:lang w:val="uk-UA"/>
        </w:rPr>
        <w:t>млн.грн</w:t>
      </w:r>
      <w:proofErr w:type="spellEnd"/>
      <w:r w:rsidRPr="0008476C">
        <w:rPr>
          <w:sz w:val="28"/>
          <w:szCs w:val="28"/>
          <w:lang w:val="uk-UA"/>
        </w:rPr>
        <w:t>., в тому числі податків, зборів та обов’язкових платежів, що формують загальний фонд – 3</w:t>
      </w:r>
      <w:r w:rsidRPr="0008476C">
        <w:rPr>
          <w:sz w:val="28"/>
          <w:szCs w:val="28"/>
        </w:rPr>
        <w:t> </w:t>
      </w:r>
      <w:r w:rsidRPr="0008476C">
        <w:rPr>
          <w:sz w:val="28"/>
          <w:szCs w:val="28"/>
          <w:lang w:val="uk-UA"/>
        </w:rPr>
        <w:t>119,1</w:t>
      </w:r>
      <w:r w:rsidRPr="0008476C">
        <w:rPr>
          <w:sz w:val="28"/>
          <w:szCs w:val="28"/>
        </w:rPr>
        <w:t> </w:t>
      </w:r>
      <w:proofErr w:type="spellStart"/>
      <w:r w:rsidRPr="0008476C">
        <w:rPr>
          <w:sz w:val="28"/>
          <w:szCs w:val="28"/>
          <w:lang w:val="uk-UA"/>
        </w:rPr>
        <w:t>млн.грн</w:t>
      </w:r>
      <w:proofErr w:type="spellEnd"/>
      <w:r w:rsidRPr="0008476C">
        <w:rPr>
          <w:sz w:val="28"/>
          <w:szCs w:val="28"/>
          <w:lang w:val="uk-UA"/>
        </w:rPr>
        <w:t>., спеціальний фонд – 186,9</w:t>
      </w:r>
      <w:r w:rsidRPr="0008476C">
        <w:rPr>
          <w:sz w:val="28"/>
          <w:szCs w:val="28"/>
        </w:rPr>
        <w:t> </w:t>
      </w:r>
      <w:proofErr w:type="spellStart"/>
      <w:r w:rsidRPr="0008476C">
        <w:rPr>
          <w:sz w:val="28"/>
          <w:szCs w:val="28"/>
          <w:lang w:val="uk-UA"/>
        </w:rPr>
        <w:t>млн.грн</w:t>
      </w:r>
      <w:proofErr w:type="spellEnd"/>
      <w:r w:rsidRPr="0008476C">
        <w:rPr>
          <w:sz w:val="28"/>
          <w:szCs w:val="28"/>
          <w:lang w:val="uk-UA"/>
        </w:rPr>
        <w:t>. та офіційних трансфертів – 2</w:t>
      </w:r>
      <w:r w:rsidRPr="0008476C">
        <w:rPr>
          <w:sz w:val="28"/>
          <w:szCs w:val="28"/>
        </w:rPr>
        <w:t> </w:t>
      </w:r>
      <w:r w:rsidRPr="0008476C">
        <w:rPr>
          <w:sz w:val="28"/>
          <w:szCs w:val="28"/>
          <w:lang w:val="uk-UA"/>
        </w:rPr>
        <w:t>475,8</w:t>
      </w:r>
      <w:r w:rsidRPr="0008476C">
        <w:rPr>
          <w:sz w:val="28"/>
          <w:szCs w:val="28"/>
        </w:rPr>
        <w:t> </w:t>
      </w:r>
      <w:proofErr w:type="spellStart"/>
      <w:r w:rsidRPr="0008476C">
        <w:rPr>
          <w:sz w:val="28"/>
          <w:szCs w:val="28"/>
          <w:lang w:val="uk-UA"/>
        </w:rPr>
        <w:t>млн.грн</w:t>
      </w:r>
      <w:proofErr w:type="spellEnd"/>
      <w:r w:rsidRPr="0008476C">
        <w:rPr>
          <w:sz w:val="28"/>
          <w:szCs w:val="28"/>
          <w:lang w:val="uk-UA"/>
        </w:rPr>
        <w:t>. В порівнянні з відповідним періодом 2016 року доходи (без урахування трансфертів) зросли на 22,5% або на 607,4</w:t>
      </w:r>
      <w:r w:rsidRPr="0008476C">
        <w:rPr>
          <w:sz w:val="28"/>
          <w:szCs w:val="28"/>
        </w:rPr>
        <w:t> </w:t>
      </w:r>
      <w:proofErr w:type="spellStart"/>
      <w:r w:rsidRPr="0008476C">
        <w:rPr>
          <w:sz w:val="28"/>
          <w:szCs w:val="28"/>
          <w:lang w:val="uk-UA"/>
        </w:rPr>
        <w:t>млн.грн</w:t>
      </w:r>
      <w:proofErr w:type="spellEnd"/>
      <w:r w:rsidRPr="0008476C">
        <w:rPr>
          <w:sz w:val="28"/>
          <w:szCs w:val="28"/>
          <w:lang w:val="uk-UA"/>
        </w:rPr>
        <w:t xml:space="preserve">. В структурі доходної частини бюджету міста доходи загального фонду бюджету займають 53,9%, офіційні трансферти та доходи спеціального фонду - 42,9% та 3,2% відповідно. </w:t>
      </w:r>
    </w:p>
    <w:p w:rsidR="000315AB" w:rsidRPr="0008476C" w:rsidRDefault="000315AB" w:rsidP="000315AB">
      <w:pPr>
        <w:pStyle w:val="a6"/>
        <w:ind w:left="284"/>
        <w:jc w:val="both"/>
        <w:rPr>
          <w:sz w:val="28"/>
          <w:szCs w:val="28"/>
          <w:lang w:val="uk-UA"/>
        </w:rPr>
      </w:pPr>
      <w:r w:rsidRPr="000315AB">
        <w:rPr>
          <w:noProof/>
          <w:sz w:val="28"/>
          <w:szCs w:val="28"/>
        </w:rPr>
        <w:drawing>
          <wp:inline distT="0" distB="0" distL="0" distR="0">
            <wp:extent cx="5673948" cy="2749907"/>
            <wp:effectExtent l="57150" t="19050" r="22002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476C" w:rsidRPr="002E3D08" w:rsidRDefault="0008476C" w:rsidP="000315AB">
      <w:pPr>
        <w:pStyle w:val="a6"/>
        <w:ind w:left="0"/>
        <w:jc w:val="both"/>
        <w:rPr>
          <w:sz w:val="28"/>
          <w:szCs w:val="28"/>
          <w:lang w:val="uk-UA"/>
        </w:rPr>
      </w:pPr>
      <w:r w:rsidRPr="002E3D08">
        <w:rPr>
          <w:sz w:val="28"/>
          <w:szCs w:val="28"/>
          <w:lang w:val="uk-UA"/>
        </w:rPr>
        <w:t>План по доходах загального фонду (без урахування офіційних трансфертів) виконаний на 100,2%, понад планового показника отримано 6,6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 Внаслідок запровадження нової моделі фінансового забезпечення в рамках бюджетної децентралізації та проведеної роботи з вишукання додаткових коштів зазначені доходи проти відповідного періоду минулого року зросли на 23,2% або на 586,5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</w:t>
      </w:r>
    </w:p>
    <w:p w:rsidR="0008476C" w:rsidRPr="002E3D08" w:rsidRDefault="0008476C" w:rsidP="00125E71">
      <w:pPr>
        <w:ind w:firstLine="709"/>
        <w:jc w:val="both"/>
        <w:rPr>
          <w:sz w:val="28"/>
          <w:szCs w:val="28"/>
          <w:lang w:val="uk-UA"/>
        </w:rPr>
      </w:pPr>
      <w:r w:rsidRPr="002E3D08">
        <w:rPr>
          <w:sz w:val="28"/>
          <w:szCs w:val="28"/>
          <w:lang w:val="uk-UA"/>
        </w:rPr>
        <w:t>Найбільшим чином поповнив бюджет податок на доходи фізичних осіб (1 792,5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 або 100,4% до плану). В доходах загального фонду його питома вага становить 57,5%. Порівняно з минулорічним показником надходження цього податку збільшились на 25,4% або на 363,1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., в тому числі податку з доходів у вигляді заробітної плати – на 38,9% або на 466,9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., що пояснюється суттєвим зростанням фонду оплати праці штатних працівників. За останніми статисти</w:t>
      </w:r>
      <w:r w:rsidR="00722DB8">
        <w:rPr>
          <w:sz w:val="28"/>
          <w:szCs w:val="28"/>
          <w:lang w:val="uk-UA"/>
        </w:rPr>
        <w:t>чними даними за І півріччя 2017 </w:t>
      </w:r>
      <w:r w:rsidRPr="002E3D08">
        <w:rPr>
          <w:sz w:val="28"/>
          <w:szCs w:val="28"/>
          <w:lang w:val="uk-UA"/>
        </w:rPr>
        <w:t>року він становив 8 846,1</w:t>
      </w:r>
      <w:r w:rsidR="00722DB8">
        <w:rPr>
          <w:sz w:val="28"/>
          <w:szCs w:val="28"/>
          <w:lang w:val="uk-UA"/>
        </w:rPr>
        <w:t>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., що на 30,2% більше аналогічного показника попереднього року. Середньомісячна заробітна плата також зросла на 33,0% та складала 6 704,36 грн. Також збільшились надходження податку на доходи фізичних осіб з грошового забезпечення, грошових винагород та інших виплат, одержаних військовослужбовцями, а саме на 11,5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 xml:space="preserve">. або на 18,9%. </w:t>
      </w:r>
    </w:p>
    <w:p w:rsidR="0008476C" w:rsidRDefault="0008476C" w:rsidP="0008476C">
      <w:pPr>
        <w:contextualSpacing/>
        <w:jc w:val="both"/>
        <w:rPr>
          <w:noProof/>
          <w:sz w:val="28"/>
          <w:szCs w:val="28"/>
        </w:rPr>
      </w:pPr>
    </w:p>
    <w:p w:rsidR="0008476C" w:rsidRPr="000315AB" w:rsidRDefault="0008476C" w:rsidP="000315AB">
      <w:pPr>
        <w:contextualSpacing/>
        <w:jc w:val="both"/>
        <w:rPr>
          <w:sz w:val="28"/>
          <w:szCs w:val="28"/>
          <w:lang w:val="uk-UA"/>
        </w:rPr>
      </w:pPr>
      <w:r w:rsidRPr="00A013A6">
        <w:rPr>
          <w:noProof/>
          <w:sz w:val="28"/>
          <w:szCs w:val="28"/>
        </w:rPr>
        <w:lastRenderedPageBreak/>
        <w:drawing>
          <wp:inline distT="0" distB="0" distL="0" distR="0">
            <wp:extent cx="5816958" cy="334850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476C" w:rsidRPr="002E3D08" w:rsidRDefault="0008476C" w:rsidP="002E3D08">
      <w:pPr>
        <w:pStyle w:val="2"/>
        <w:spacing w:after="0" w:line="240" w:lineRule="auto"/>
        <w:ind w:left="0" w:right="1" w:firstLine="709"/>
        <w:jc w:val="both"/>
        <w:rPr>
          <w:sz w:val="28"/>
          <w:szCs w:val="28"/>
          <w:lang w:val="uk-UA"/>
        </w:rPr>
      </w:pPr>
      <w:r w:rsidRPr="002E3D08">
        <w:rPr>
          <w:sz w:val="28"/>
          <w:szCs w:val="28"/>
          <w:lang w:val="uk-UA"/>
        </w:rPr>
        <w:t>Надходження місцевих податків і зборів склали 1 005,3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 Найбільшим за величиною є податок на майно (його питома вага становить 69,8%) – 701,3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 В його складі надійшло плати за землю в розмірі 672,6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 В порівнянні з січнем-вереснем 2016 року її надходження збільшились на 98,9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 або на 17,2%, що пояснюється минулорічним запровадженням в місті нової нормативної грошової оцінки землі (додаткові надходження склали 3,1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.), її індексацією на коефіцієнт 1,06, укладанням нових договорів оренди земельних ділянок (5,3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.) та погашенням податкової заборгованості (16,8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.)</w:t>
      </w:r>
      <w:r w:rsidR="007868D7">
        <w:rPr>
          <w:sz w:val="28"/>
          <w:szCs w:val="28"/>
          <w:lang w:val="uk-UA"/>
        </w:rPr>
        <w:t xml:space="preserve"> та інше</w:t>
      </w:r>
      <w:r w:rsidRPr="002E3D08">
        <w:rPr>
          <w:sz w:val="28"/>
          <w:szCs w:val="28"/>
          <w:lang w:val="uk-UA"/>
        </w:rPr>
        <w:t xml:space="preserve">. </w:t>
      </w:r>
    </w:p>
    <w:p w:rsidR="0008476C" w:rsidRPr="002E3D08" w:rsidRDefault="0008476C" w:rsidP="002E3D08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E3D08">
        <w:rPr>
          <w:sz w:val="28"/>
          <w:szCs w:val="28"/>
          <w:lang w:val="uk-UA"/>
        </w:rPr>
        <w:t>Обсяг єдиного податку склав 303,7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 або 100,4% до плану. В порівнянні з минулорічним показником він зріс на 85,3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., в тому числі по фізичних особах – на 74,9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</w:t>
      </w:r>
      <w:r w:rsidR="007868D7">
        <w:rPr>
          <w:sz w:val="28"/>
          <w:szCs w:val="28"/>
          <w:lang w:val="uk-UA"/>
        </w:rPr>
        <w:t xml:space="preserve"> (збільшення ставок податку та кількості платників). </w:t>
      </w:r>
    </w:p>
    <w:p w:rsidR="0008476C" w:rsidRPr="002E3D08" w:rsidRDefault="0008476C" w:rsidP="002E3D08">
      <w:pPr>
        <w:ind w:firstLine="709"/>
        <w:contextualSpacing/>
        <w:jc w:val="both"/>
        <w:rPr>
          <w:sz w:val="28"/>
          <w:szCs w:val="28"/>
          <w:lang w:val="uk-UA"/>
        </w:rPr>
      </w:pPr>
      <w:r w:rsidRPr="002E3D08">
        <w:rPr>
          <w:sz w:val="28"/>
          <w:szCs w:val="28"/>
          <w:lang w:val="uk-UA"/>
        </w:rPr>
        <w:t>Також виконані планові показники по акцизному податку (надходження склали 167,7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.), платі за розміщення тимчасово вільних бюджетних коштів (59,8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.), податку на прибуток підприємств комунальної власності (38,5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.), платі за надання інших адміністративних послуг (23,8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.), орендній платі за користування майном комунальної власності (15,7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.), адміністративному збору за проведення державної реєстрації юридичних осіб, фізичних осіб – підприємств та громадських формувань (1,8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.), тощо.</w:t>
      </w:r>
    </w:p>
    <w:p w:rsidR="0008476C" w:rsidRPr="002E3D08" w:rsidRDefault="0008476C" w:rsidP="002E3D08">
      <w:pPr>
        <w:pStyle w:val="a6"/>
        <w:spacing w:after="0"/>
        <w:ind w:firstLine="709"/>
        <w:jc w:val="both"/>
        <w:rPr>
          <w:sz w:val="28"/>
          <w:szCs w:val="28"/>
          <w:lang w:val="uk-UA"/>
        </w:rPr>
      </w:pPr>
      <w:r w:rsidRPr="002E3D08">
        <w:rPr>
          <w:sz w:val="28"/>
          <w:szCs w:val="28"/>
          <w:lang w:val="uk-UA"/>
        </w:rPr>
        <w:t>Доходи спеціального фонду бюджету в порівнянні з січнем-вереснем минулого року збільшились на 20,9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 (на 12,6%) за рахунок власних надходжень бюджетних установ - на 18,9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., коштів від відчуження майна – на 8,6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., коштів від продажу землі – на 3,4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 та екологічного податку – на 1,5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 Обсяг доходів бюджету розвитку проти минулорічного показника зріс майже вдвічі та склав 19,0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</w:t>
      </w:r>
    </w:p>
    <w:p w:rsidR="0008476C" w:rsidRDefault="0008476C" w:rsidP="0008476C">
      <w:pPr>
        <w:contextualSpacing/>
        <w:jc w:val="both"/>
        <w:rPr>
          <w:sz w:val="28"/>
          <w:szCs w:val="28"/>
        </w:rPr>
      </w:pPr>
      <w:r w:rsidRPr="00210C72">
        <w:rPr>
          <w:noProof/>
          <w:sz w:val="28"/>
          <w:szCs w:val="28"/>
        </w:rPr>
        <w:lastRenderedPageBreak/>
        <w:drawing>
          <wp:inline distT="0" distB="0" distL="0" distR="0">
            <wp:extent cx="5512820" cy="3514054"/>
            <wp:effectExtent l="57150" t="19050" r="1168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476C" w:rsidRPr="002E3D08" w:rsidRDefault="0008476C" w:rsidP="0008476C">
      <w:pPr>
        <w:ind w:firstLine="708"/>
        <w:jc w:val="both"/>
        <w:rPr>
          <w:sz w:val="28"/>
          <w:szCs w:val="28"/>
          <w:lang w:val="uk-UA"/>
        </w:rPr>
      </w:pPr>
    </w:p>
    <w:p w:rsidR="0008476C" w:rsidRPr="002E3D08" w:rsidRDefault="0008476C" w:rsidP="00125E71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E3D08">
        <w:rPr>
          <w:sz w:val="28"/>
          <w:szCs w:val="28"/>
          <w:lang w:val="uk-UA"/>
        </w:rPr>
        <w:t>У січні – вересні поточного року бюджет міста отримав офіційних трансфертів з державного бюджету на загальну суму 2 475,8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., в тому числі:</w:t>
      </w:r>
    </w:p>
    <w:p w:rsidR="0008476C" w:rsidRPr="002E3D08" w:rsidRDefault="0008476C" w:rsidP="00125E7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E3D08">
        <w:rPr>
          <w:sz w:val="28"/>
          <w:szCs w:val="28"/>
          <w:lang w:val="uk-UA"/>
        </w:rPr>
        <w:t>соціального характеру (надання державної допомоги сім’ям з дітьми, малозабезпеченим сім’ям, пільг, житлових субсидій) – 1 390,8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.;</w:t>
      </w:r>
    </w:p>
    <w:p w:rsidR="0008476C" w:rsidRPr="002E3D08" w:rsidRDefault="0008476C" w:rsidP="00125E7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E3D08">
        <w:rPr>
          <w:sz w:val="28"/>
          <w:szCs w:val="28"/>
          <w:lang w:val="uk-UA"/>
        </w:rPr>
        <w:t>освітня субвенція – 542,9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.;</w:t>
      </w:r>
    </w:p>
    <w:p w:rsidR="0008476C" w:rsidRPr="002E3D08" w:rsidRDefault="0008476C" w:rsidP="00125E7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E3D08">
        <w:rPr>
          <w:sz w:val="28"/>
          <w:szCs w:val="28"/>
          <w:lang w:val="uk-UA"/>
        </w:rPr>
        <w:t>медична субвенція – 482,1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.;</w:t>
      </w:r>
    </w:p>
    <w:p w:rsidR="0008476C" w:rsidRPr="002E3D08" w:rsidRDefault="0008476C" w:rsidP="00125E7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E3D08">
        <w:rPr>
          <w:sz w:val="28"/>
          <w:szCs w:val="28"/>
          <w:lang w:val="uk-UA"/>
        </w:rPr>
        <w:t>на надання державної підтримки особам з особливими освітніми потребами – 15,1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.;</w:t>
      </w:r>
    </w:p>
    <w:p w:rsidR="0008476C" w:rsidRPr="002E3D08" w:rsidRDefault="0008476C" w:rsidP="00125E7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E3D08">
        <w:rPr>
          <w:sz w:val="28"/>
          <w:szCs w:val="28"/>
          <w:lang w:val="uk-UA"/>
        </w:rPr>
        <w:t>на відшкодування вартості лікарських засобів для лікування окремих захворювань – 8,8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.;</w:t>
      </w:r>
    </w:p>
    <w:p w:rsidR="0008476C" w:rsidRPr="002E3D08" w:rsidRDefault="0008476C" w:rsidP="00125E7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E3D08">
        <w:rPr>
          <w:sz w:val="28"/>
          <w:szCs w:val="28"/>
          <w:lang w:val="uk-UA"/>
        </w:rPr>
        <w:t>на здійснення заходів щодо соціально-еко</w:t>
      </w:r>
      <w:r w:rsidR="007868D7">
        <w:rPr>
          <w:sz w:val="28"/>
          <w:szCs w:val="28"/>
          <w:lang w:val="uk-UA"/>
        </w:rPr>
        <w:t>номічного розвитку території – 3</w:t>
      </w:r>
      <w:r w:rsidRPr="002E3D08">
        <w:rPr>
          <w:sz w:val="28"/>
          <w:szCs w:val="28"/>
          <w:lang w:val="uk-UA"/>
        </w:rPr>
        <w:t>0,0 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.;</w:t>
      </w:r>
    </w:p>
    <w:p w:rsidR="0008476C" w:rsidRPr="002E3D08" w:rsidRDefault="0008476C" w:rsidP="00125E7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E3D08">
        <w:rPr>
          <w:sz w:val="28"/>
          <w:szCs w:val="28"/>
          <w:lang w:val="uk-UA"/>
        </w:rPr>
        <w:t>за рахунок залишку коштів освітньої субвенції, що утворився на початок бюджетного періоду – 3,4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 xml:space="preserve">.; </w:t>
      </w:r>
    </w:p>
    <w:p w:rsidR="0008476C" w:rsidRPr="002E3D08" w:rsidRDefault="0008476C" w:rsidP="00125E7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E3D08">
        <w:rPr>
          <w:sz w:val="28"/>
          <w:szCs w:val="28"/>
          <w:lang w:val="uk-UA"/>
        </w:rPr>
        <w:t>субвенція на модернізацію та оновлення матеріально-технічної бази професійно-технічних навчальних закладів державної форми власності – 0,6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.;</w:t>
      </w:r>
    </w:p>
    <w:p w:rsidR="0008476C" w:rsidRPr="002E3D08" w:rsidRDefault="007868D7" w:rsidP="00125E7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субвенції – 2,0</w:t>
      </w:r>
      <w:r w:rsidR="0008476C" w:rsidRPr="002E3D08">
        <w:rPr>
          <w:sz w:val="28"/>
          <w:szCs w:val="28"/>
          <w:lang w:val="uk-UA"/>
        </w:rPr>
        <w:t> </w:t>
      </w:r>
      <w:proofErr w:type="spellStart"/>
      <w:r w:rsidR="0008476C" w:rsidRPr="002E3D08">
        <w:rPr>
          <w:sz w:val="28"/>
          <w:szCs w:val="28"/>
          <w:lang w:val="uk-UA"/>
        </w:rPr>
        <w:t>млн.грн</w:t>
      </w:r>
      <w:proofErr w:type="spellEnd"/>
      <w:r w:rsidR="0008476C" w:rsidRPr="002E3D08">
        <w:rPr>
          <w:sz w:val="28"/>
          <w:szCs w:val="28"/>
          <w:lang w:val="uk-UA"/>
        </w:rPr>
        <w:t>.;</w:t>
      </w:r>
    </w:p>
    <w:p w:rsidR="0008476C" w:rsidRPr="002E3D08" w:rsidRDefault="0008476C" w:rsidP="00125E71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E3D08">
        <w:rPr>
          <w:sz w:val="28"/>
          <w:szCs w:val="28"/>
          <w:lang w:val="uk-UA"/>
        </w:rPr>
        <w:t>дотація на компенсацію втрат доходів місцевих бюджетів внаслідок наданих державою податкових пільг зі сплати земельного податку суб’єктам космічної діяльності – 0,1 </w:t>
      </w:r>
      <w:proofErr w:type="spellStart"/>
      <w:r w:rsidRPr="002E3D08">
        <w:rPr>
          <w:sz w:val="28"/>
          <w:szCs w:val="28"/>
          <w:lang w:val="uk-UA"/>
        </w:rPr>
        <w:t>млн.грн</w:t>
      </w:r>
      <w:proofErr w:type="spellEnd"/>
      <w:r w:rsidRPr="002E3D08">
        <w:rPr>
          <w:sz w:val="28"/>
          <w:szCs w:val="28"/>
          <w:lang w:val="uk-UA"/>
        </w:rPr>
        <w:t>.</w:t>
      </w:r>
    </w:p>
    <w:p w:rsidR="00971F58" w:rsidRPr="0008476C" w:rsidRDefault="0008476C" w:rsidP="00125E71">
      <w:pPr>
        <w:pStyle w:val="a4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Видатки</w:t>
      </w:r>
    </w:p>
    <w:p w:rsidR="00612A5A" w:rsidRPr="00DD1F66" w:rsidRDefault="00612A5A" w:rsidP="00612A5A">
      <w:pPr>
        <w:ind w:firstLine="708"/>
        <w:jc w:val="both"/>
        <w:rPr>
          <w:rFonts w:eastAsia="Calibri"/>
          <w:sz w:val="12"/>
          <w:szCs w:val="12"/>
          <w:lang w:val="uk-UA"/>
        </w:rPr>
      </w:pPr>
    </w:p>
    <w:p w:rsidR="00612A5A" w:rsidRDefault="00612A5A" w:rsidP="00612A5A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497120">
        <w:rPr>
          <w:rFonts w:eastAsia="Calibri"/>
          <w:sz w:val="28"/>
          <w:szCs w:val="28"/>
          <w:lang w:val="uk-UA"/>
        </w:rPr>
        <w:t xml:space="preserve">Видатки бюджету міста проведено в обсязі </w:t>
      </w:r>
      <w:r w:rsidR="00293EA3">
        <w:rPr>
          <w:rFonts w:eastAsia="Calibri"/>
          <w:sz w:val="28"/>
          <w:szCs w:val="28"/>
          <w:lang w:val="uk-UA"/>
        </w:rPr>
        <w:t>5</w:t>
      </w:r>
      <w:r w:rsidRPr="00497120">
        <w:rPr>
          <w:rFonts w:eastAsia="Calibri"/>
          <w:sz w:val="28"/>
          <w:szCs w:val="28"/>
          <w:lang w:val="uk-UA"/>
        </w:rPr>
        <w:t> </w:t>
      </w:r>
      <w:r w:rsidR="00293EA3">
        <w:rPr>
          <w:rFonts w:eastAsia="Calibri"/>
          <w:sz w:val="28"/>
          <w:szCs w:val="28"/>
          <w:lang w:val="uk-UA"/>
        </w:rPr>
        <w:t>572</w:t>
      </w:r>
      <w:r w:rsidRPr="00497120">
        <w:rPr>
          <w:rFonts w:eastAsia="Calibri"/>
          <w:sz w:val="28"/>
          <w:szCs w:val="28"/>
          <w:lang w:val="uk-UA"/>
        </w:rPr>
        <w:t>,</w:t>
      </w:r>
      <w:r w:rsidR="00293EA3">
        <w:rPr>
          <w:rFonts w:eastAsia="Calibri"/>
          <w:sz w:val="28"/>
          <w:szCs w:val="28"/>
          <w:lang w:val="uk-UA"/>
        </w:rPr>
        <w:t>9</w:t>
      </w:r>
      <w:r w:rsidRPr="0049712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497120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497120">
        <w:rPr>
          <w:rFonts w:eastAsia="Calibri"/>
          <w:sz w:val="28"/>
          <w:szCs w:val="28"/>
          <w:lang w:val="uk-UA"/>
        </w:rPr>
        <w:t xml:space="preserve">., в тому числі по загальному фонду – </w:t>
      </w:r>
      <w:r w:rsidR="00293EA3">
        <w:rPr>
          <w:rFonts w:eastAsia="Calibri"/>
          <w:sz w:val="28"/>
          <w:szCs w:val="28"/>
          <w:lang w:val="uk-UA"/>
        </w:rPr>
        <w:t>4</w:t>
      </w:r>
      <w:r w:rsidRPr="00497120">
        <w:rPr>
          <w:rFonts w:eastAsia="Calibri"/>
          <w:sz w:val="28"/>
          <w:szCs w:val="28"/>
          <w:lang w:val="uk-UA"/>
        </w:rPr>
        <w:t> </w:t>
      </w:r>
      <w:r w:rsidR="00293EA3">
        <w:rPr>
          <w:rFonts w:eastAsia="Calibri"/>
          <w:sz w:val="28"/>
          <w:szCs w:val="28"/>
          <w:lang w:val="uk-UA"/>
        </w:rPr>
        <w:t>840</w:t>
      </w:r>
      <w:r w:rsidRPr="00497120">
        <w:rPr>
          <w:rFonts w:eastAsia="Calibri"/>
          <w:sz w:val="28"/>
          <w:szCs w:val="28"/>
          <w:lang w:val="uk-UA"/>
        </w:rPr>
        <w:t>,9 </w:t>
      </w:r>
      <w:proofErr w:type="spellStart"/>
      <w:r w:rsidRPr="00497120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497120">
        <w:rPr>
          <w:rFonts w:eastAsia="Calibri"/>
          <w:sz w:val="28"/>
          <w:szCs w:val="28"/>
          <w:lang w:val="uk-UA"/>
        </w:rPr>
        <w:t xml:space="preserve">. або 93,7% планових показників на відповідний період, по спеціальному фонду – </w:t>
      </w:r>
      <w:r w:rsidR="00293EA3">
        <w:rPr>
          <w:rFonts w:eastAsia="Calibri"/>
          <w:sz w:val="28"/>
          <w:szCs w:val="28"/>
          <w:lang w:val="uk-UA"/>
        </w:rPr>
        <w:t>732,0</w:t>
      </w:r>
      <w:r w:rsidRPr="00497120">
        <w:rPr>
          <w:rFonts w:eastAsia="Calibri"/>
          <w:sz w:val="28"/>
          <w:szCs w:val="28"/>
          <w:lang w:val="uk-UA"/>
        </w:rPr>
        <w:t> </w:t>
      </w:r>
      <w:proofErr w:type="spellStart"/>
      <w:r w:rsidRPr="00497120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497120">
        <w:rPr>
          <w:rFonts w:eastAsia="Calibri"/>
          <w:sz w:val="28"/>
          <w:szCs w:val="28"/>
          <w:lang w:val="uk-UA"/>
        </w:rPr>
        <w:t xml:space="preserve">., з яких видатки бюджету розвитку – </w:t>
      </w:r>
      <w:r w:rsidR="00293EA3">
        <w:rPr>
          <w:rFonts w:eastAsia="Calibri"/>
          <w:sz w:val="28"/>
          <w:szCs w:val="28"/>
          <w:lang w:val="uk-UA"/>
        </w:rPr>
        <w:t>576</w:t>
      </w:r>
      <w:r w:rsidRPr="00497120">
        <w:rPr>
          <w:rFonts w:eastAsia="Calibri"/>
          <w:sz w:val="28"/>
          <w:szCs w:val="28"/>
          <w:lang w:val="uk-UA"/>
        </w:rPr>
        <w:t>,</w:t>
      </w:r>
      <w:r w:rsidR="00293EA3">
        <w:rPr>
          <w:rFonts w:eastAsia="Calibri"/>
          <w:sz w:val="28"/>
          <w:szCs w:val="28"/>
          <w:lang w:val="uk-UA"/>
        </w:rPr>
        <w:t>6</w:t>
      </w:r>
      <w:r w:rsidRPr="0049712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497120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497120">
        <w:rPr>
          <w:rFonts w:eastAsia="Calibri"/>
          <w:sz w:val="28"/>
          <w:szCs w:val="28"/>
          <w:lang w:val="uk-UA"/>
        </w:rPr>
        <w:t>., що становить 4</w:t>
      </w:r>
      <w:r w:rsidR="00293EA3">
        <w:rPr>
          <w:rFonts w:eastAsia="Calibri"/>
          <w:sz w:val="28"/>
          <w:szCs w:val="28"/>
          <w:lang w:val="uk-UA"/>
        </w:rPr>
        <w:t>9</w:t>
      </w:r>
      <w:r w:rsidRPr="00497120">
        <w:rPr>
          <w:rFonts w:eastAsia="Calibri"/>
          <w:sz w:val="28"/>
          <w:szCs w:val="28"/>
          <w:lang w:val="uk-UA"/>
        </w:rPr>
        <w:t>,</w:t>
      </w:r>
      <w:r w:rsidR="00293EA3">
        <w:rPr>
          <w:rFonts w:eastAsia="Calibri"/>
          <w:sz w:val="28"/>
          <w:szCs w:val="28"/>
          <w:lang w:val="uk-UA"/>
        </w:rPr>
        <w:t>5</w:t>
      </w:r>
      <w:r w:rsidRPr="00497120">
        <w:rPr>
          <w:rFonts w:eastAsia="Calibri"/>
          <w:sz w:val="28"/>
          <w:szCs w:val="28"/>
          <w:lang w:val="uk-UA"/>
        </w:rPr>
        <w:t xml:space="preserve">% планових показників </w:t>
      </w:r>
      <w:r w:rsidRPr="00497120">
        <w:rPr>
          <w:rFonts w:eastAsia="Calibri"/>
          <w:sz w:val="28"/>
          <w:szCs w:val="28"/>
          <w:lang w:val="uk-UA"/>
        </w:rPr>
        <w:lastRenderedPageBreak/>
        <w:t>на відповідний період. До державного бюджету перераховано реверсної дотації в сумі 1</w:t>
      </w:r>
      <w:r w:rsidR="00293EA3">
        <w:rPr>
          <w:rFonts w:eastAsia="Calibri"/>
          <w:sz w:val="28"/>
          <w:szCs w:val="28"/>
          <w:lang w:val="uk-UA"/>
        </w:rPr>
        <w:t>71</w:t>
      </w:r>
      <w:r w:rsidRPr="00497120">
        <w:rPr>
          <w:rFonts w:eastAsia="Calibri"/>
          <w:sz w:val="28"/>
          <w:szCs w:val="28"/>
          <w:lang w:val="uk-UA"/>
        </w:rPr>
        <w:t>,</w:t>
      </w:r>
      <w:r w:rsidR="00293EA3">
        <w:rPr>
          <w:rFonts w:eastAsia="Calibri"/>
          <w:sz w:val="28"/>
          <w:szCs w:val="28"/>
          <w:lang w:val="uk-UA"/>
        </w:rPr>
        <w:t>2</w:t>
      </w:r>
      <w:r w:rsidRPr="00497120">
        <w:rPr>
          <w:rFonts w:eastAsia="Calibri"/>
          <w:sz w:val="28"/>
          <w:szCs w:val="28"/>
          <w:lang w:val="uk-UA"/>
        </w:rPr>
        <w:t> </w:t>
      </w:r>
      <w:proofErr w:type="spellStart"/>
      <w:r w:rsidRPr="00497120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497120">
        <w:rPr>
          <w:rFonts w:eastAsia="Calibri"/>
          <w:sz w:val="28"/>
          <w:szCs w:val="28"/>
          <w:lang w:val="uk-UA"/>
        </w:rPr>
        <w:t>., що дорівнює плановим показникам.</w:t>
      </w:r>
    </w:p>
    <w:p w:rsidR="00612A5A" w:rsidRDefault="00F6168F" w:rsidP="00612A5A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Понад 70</w:t>
      </w:r>
      <w:r w:rsidR="00612A5A" w:rsidRPr="00497120">
        <w:rPr>
          <w:rFonts w:eastAsia="Calibri"/>
          <w:sz w:val="28"/>
          <w:szCs w:val="28"/>
          <w:lang w:val="uk-UA"/>
        </w:rPr>
        <w:t>,0% загального обсягу витрат склали захищені стат</w:t>
      </w:r>
      <w:r w:rsidR="00293EA3">
        <w:rPr>
          <w:rFonts w:eastAsia="Calibri"/>
          <w:sz w:val="28"/>
          <w:szCs w:val="28"/>
          <w:lang w:val="uk-UA"/>
        </w:rPr>
        <w:t>ті видатків, на які спрямовано 3</w:t>
      </w:r>
      <w:r w:rsidR="0071315B">
        <w:rPr>
          <w:rFonts w:eastAsia="Calibri"/>
          <w:sz w:val="28"/>
          <w:szCs w:val="28"/>
          <w:lang w:val="uk-UA"/>
        </w:rPr>
        <w:t> </w:t>
      </w:r>
      <w:r w:rsidR="00293EA3">
        <w:rPr>
          <w:rFonts w:eastAsia="Calibri"/>
          <w:sz w:val="28"/>
          <w:szCs w:val="28"/>
          <w:lang w:val="uk-UA"/>
        </w:rPr>
        <w:t>957</w:t>
      </w:r>
      <w:r w:rsidR="0071315B">
        <w:rPr>
          <w:rFonts w:eastAsia="Calibri"/>
          <w:sz w:val="28"/>
          <w:szCs w:val="28"/>
          <w:lang w:val="uk-UA"/>
        </w:rPr>
        <w:t>,</w:t>
      </w:r>
      <w:r w:rsidR="00293EA3">
        <w:rPr>
          <w:rFonts w:eastAsia="Calibri"/>
          <w:sz w:val="28"/>
          <w:szCs w:val="28"/>
          <w:lang w:val="uk-UA"/>
        </w:rPr>
        <w:t>5</w:t>
      </w:r>
      <w:r w:rsidR="00612A5A" w:rsidRPr="00497120">
        <w:rPr>
          <w:rFonts w:eastAsia="Calibri"/>
          <w:sz w:val="28"/>
          <w:szCs w:val="28"/>
          <w:lang w:val="uk-UA"/>
        </w:rPr>
        <w:t> </w:t>
      </w:r>
      <w:proofErr w:type="spellStart"/>
      <w:r w:rsidR="00612A5A" w:rsidRPr="00497120">
        <w:rPr>
          <w:rFonts w:eastAsia="Calibri"/>
          <w:sz w:val="28"/>
          <w:szCs w:val="28"/>
          <w:lang w:val="uk-UA"/>
        </w:rPr>
        <w:t>млн.грн</w:t>
      </w:r>
      <w:proofErr w:type="spellEnd"/>
      <w:r w:rsidR="00612A5A" w:rsidRPr="00497120">
        <w:rPr>
          <w:rFonts w:eastAsia="Calibri"/>
          <w:sz w:val="28"/>
          <w:szCs w:val="28"/>
          <w:lang w:val="uk-UA"/>
        </w:rPr>
        <w:t>. Виплата заробітної плати здійснювалась своєчасно та в повному обсязі, заборгованість перед працівниками бюджетних установ відсутня.</w:t>
      </w:r>
    </w:p>
    <w:p w:rsidR="0008476C" w:rsidRPr="00904989" w:rsidRDefault="00904989" w:rsidP="0008476C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904989">
        <w:rPr>
          <w:rFonts w:eastAsia="Calibri"/>
          <w:sz w:val="28"/>
          <w:szCs w:val="28"/>
          <w:lang w:val="uk-UA"/>
        </w:rPr>
        <w:t xml:space="preserve">Видатки за незахищеними статтями проведені в сумі </w:t>
      </w:r>
      <w:r w:rsidR="00090662">
        <w:rPr>
          <w:rFonts w:eastAsia="Calibri"/>
          <w:sz w:val="28"/>
          <w:szCs w:val="28"/>
          <w:lang w:val="uk-UA"/>
        </w:rPr>
        <w:t>1 615,4</w:t>
      </w:r>
      <w:r w:rsidRPr="00904989">
        <w:rPr>
          <w:rFonts w:eastAsia="Calibri"/>
          <w:sz w:val="28"/>
          <w:szCs w:val="28"/>
          <w:lang w:val="uk-UA"/>
        </w:rPr>
        <w:t> </w:t>
      </w:r>
      <w:proofErr w:type="spellStart"/>
      <w:r w:rsidRPr="00904989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904989">
        <w:rPr>
          <w:rFonts w:eastAsia="Calibri"/>
          <w:sz w:val="28"/>
          <w:szCs w:val="28"/>
          <w:lang w:val="uk-UA"/>
        </w:rPr>
        <w:t xml:space="preserve">., в тому числі за загальним фондом бюджету міста – </w:t>
      </w:r>
      <w:r w:rsidR="00090662">
        <w:rPr>
          <w:rFonts w:eastAsia="Calibri"/>
          <w:sz w:val="28"/>
          <w:szCs w:val="28"/>
          <w:lang w:val="uk-UA"/>
        </w:rPr>
        <w:t>883</w:t>
      </w:r>
      <w:r w:rsidR="0071315B">
        <w:rPr>
          <w:rFonts w:eastAsia="Calibri"/>
          <w:sz w:val="28"/>
          <w:szCs w:val="28"/>
          <w:lang w:val="uk-UA"/>
        </w:rPr>
        <w:t>,</w:t>
      </w:r>
      <w:r w:rsidR="00090662">
        <w:rPr>
          <w:rFonts w:eastAsia="Calibri"/>
          <w:sz w:val="28"/>
          <w:szCs w:val="28"/>
          <w:lang w:val="uk-UA"/>
        </w:rPr>
        <w:t>4</w:t>
      </w:r>
      <w:r w:rsidRPr="00904989">
        <w:rPr>
          <w:rFonts w:eastAsia="Calibri"/>
          <w:sz w:val="28"/>
          <w:szCs w:val="28"/>
          <w:lang w:val="uk-UA"/>
        </w:rPr>
        <w:t> </w:t>
      </w:r>
      <w:proofErr w:type="spellStart"/>
      <w:r w:rsidRPr="00904989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904989">
        <w:rPr>
          <w:rFonts w:eastAsia="Calibri"/>
          <w:sz w:val="28"/>
          <w:szCs w:val="28"/>
          <w:lang w:val="uk-UA"/>
        </w:rPr>
        <w:t xml:space="preserve">. або 81,1% планових показників, спеціальним фондом – </w:t>
      </w:r>
      <w:r w:rsidR="00090662">
        <w:rPr>
          <w:rFonts w:eastAsia="Calibri"/>
          <w:sz w:val="28"/>
          <w:szCs w:val="28"/>
          <w:lang w:val="uk-UA"/>
        </w:rPr>
        <w:t>732</w:t>
      </w:r>
      <w:r w:rsidRPr="00904989">
        <w:rPr>
          <w:rFonts w:eastAsia="Calibri"/>
          <w:sz w:val="28"/>
          <w:szCs w:val="28"/>
          <w:lang w:val="uk-UA"/>
        </w:rPr>
        <w:t>,0 </w:t>
      </w:r>
      <w:proofErr w:type="spellStart"/>
      <w:r w:rsidRPr="00904989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904989">
        <w:rPr>
          <w:rFonts w:eastAsia="Calibri"/>
          <w:sz w:val="28"/>
          <w:szCs w:val="28"/>
          <w:lang w:val="uk-UA"/>
        </w:rPr>
        <w:t xml:space="preserve">., з яких видатки бюджету розвитку – </w:t>
      </w:r>
      <w:r w:rsidR="00090662">
        <w:rPr>
          <w:rFonts w:eastAsia="Calibri"/>
          <w:sz w:val="28"/>
          <w:szCs w:val="28"/>
          <w:lang w:val="uk-UA"/>
        </w:rPr>
        <w:t>576,6</w:t>
      </w:r>
      <w:r w:rsidRPr="00904989">
        <w:rPr>
          <w:rFonts w:eastAsia="Calibri"/>
          <w:sz w:val="28"/>
          <w:szCs w:val="28"/>
          <w:lang w:val="uk-UA"/>
        </w:rPr>
        <w:t> </w:t>
      </w:r>
      <w:proofErr w:type="spellStart"/>
      <w:r w:rsidRPr="00904989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904989">
        <w:rPr>
          <w:rFonts w:eastAsia="Calibri"/>
          <w:sz w:val="28"/>
          <w:szCs w:val="28"/>
          <w:lang w:val="uk-UA"/>
        </w:rPr>
        <w:t xml:space="preserve">. </w:t>
      </w:r>
    </w:p>
    <w:p w:rsidR="00904989" w:rsidRPr="00522707" w:rsidRDefault="00904989" w:rsidP="00612A5A">
      <w:pPr>
        <w:ind w:firstLine="708"/>
        <w:jc w:val="both"/>
        <w:rPr>
          <w:rFonts w:eastAsia="Calibri"/>
          <w:sz w:val="16"/>
          <w:szCs w:val="16"/>
          <w:lang w:val="uk-UA"/>
        </w:rPr>
      </w:pPr>
    </w:p>
    <w:p w:rsidR="00612A5A" w:rsidRPr="0071315B" w:rsidRDefault="00612A5A" w:rsidP="00612A5A">
      <w:pPr>
        <w:ind w:firstLine="709"/>
        <w:jc w:val="center"/>
        <w:rPr>
          <w:b/>
          <w:i/>
          <w:sz w:val="26"/>
          <w:szCs w:val="26"/>
          <w:lang w:val="uk-UA"/>
        </w:rPr>
      </w:pPr>
      <w:r w:rsidRPr="0071315B">
        <w:rPr>
          <w:b/>
          <w:i/>
          <w:sz w:val="26"/>
          <w:szCs w:val="26"/>
          <w:lang w:val="uk-UA"/>
        </w:rPr>
        <w:t xml:space="preserve">Структура видатків бюджету міста за функціональною ознакою </w:t>
      </w:r>
    </w:p>
    <w:p w:rsidR="00612A5A" w:rsidRDefault="00612A5A" w:rsidP="00612A5A">
      <w:pPr>
        <w:ind w:firstLine="709"/>
        <w:jc w:val="center"/>
        <w:rPr>
          <w:b/>
          <w:i/>
          <w:sz w:val="26"/>
          <w:szCs w:val="26"/>
          <w:lang w:val="uk-UA"/>
        </w:rPr>
      </w:pPr>
      <w:r w:rsidRPr="0071315B">
        <w:rPr>
          <w:b/>
          <w:i/>
          <w:sz w:val="26"/>
          <w:szCs w:val="26"/>
          <w:lang w:val="uk-UA"/>
        </w:rPr>
        <w:t xml:space="preserve">за </w:t>
      </w:r>
      <w:r w:rsidR="00090662">
        <w:rPr>
          <w:b/>
          <w:i/>
          <w:sz w:val="26"/>
          <w:szCs w:val="26"/>
          <w:lang w:val="uk-UA"/>
        </w:rPr>
        <w:t>9місяців</w:t>
      </w:r>
      <w:r w:rsidRPr="0071315B">
        <w:rPr>
          <w:b/>
          <w:i/>
          <w:sz w:val="26"/>
          <w:szCs w:val="26"/>
          <w:lang w:val="uk-UA"/>
        </w:rPr>
        <w:t xml:space="preserve"> 2017 року</w:t>
      </w:r>
    </w:p>
    <w:p w:rsidR="00C901DE" w:rsidRPr="00C901DE" w:rsidRDefault="00C901DE" w:rsidP="00612A5A">
      <w:pPr>
        <w:ind w:firstLine="709"/>
        <w:jc w:val="center"/>
        <w:rPr>
          <w:b/>
          <w:i/>
          <w:sz w:val="16"/>
          <w:szCs w:val="16"/>
          <w:lang w:val="uk-UA"/>
        </w:rPr>
      </w:pPr>
    </w:p>
    <w:p w:rsidR="00125E71" w:rsidRPr="00EC2860" w:rsidRDefault="00090662" w:rsidP="00EC2860">
      <w:pPr>
        <w:jc w:val="center"/>
        <w:rPr>
          <w:b/>
          <w:i/>
          <w:sz w:val="26"/>
          <w:szCs w:val="26"/>
          <w:lang w:val="uk-UA"/>
        </w:rPr>
      </w:pPr>
      <w:r w:rsidRPr="00090662">
        <w:rPr>
          <w:b/>
          <w:i/>
          <w:noProof/>
          <w:sz w:val="26"/>
          <w:szCs w:val="26"/>
        </w:rPr>
        <w:drawing>
          <wp:inline distT="0" distB="0" distL="0" distR="0">
            <wp:extent cx="4786040" cy="2561018"/>
            <wp:effectExtent l="57150" t="19050" r="1456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2A5A" w:rsidRPr="00497120" w:rsidRDefault="00612A5A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497120">
        <w:rPr>
          <w:rFonts w:eastAsia="Calibri"/>
          <w:sz w:val="28"/>
          <w:szCs w:val="28"/>
          <w:lang w:val="uk-UA"/>
        </w:rPr>
        <w:t>Видатки проведені за наступними основними напрямками:</w:t>
      </w:r>
    </w:p>
    <w:p w:rsidR="00612A5A" w:rsidRDefault="00612A5A" w:rsidP="00612A5A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rFonts w:eastAsia="Calibri"/>
          <w:sz w:val="28"/>
          <w:szCs w:val="28"/>
          <w:lang w:val="uk-UA"/>
        </w:rPr>
      </w:pPr>
      <w:r w:rsidRPr="00497120">
        <w:rPr>
          <w:rFonts w:eastAsia="Calibri"/>
          <w:sz w:val="28"/>
          <w:szCs w:val="28"/>
          <w:lang w:val="uk-UA"/>
        </w:rPr>
        <w:t xml:space="preserve">На реалізацію державних та міських програм соціального захисту витрачено </w:t>
      </w:r>
      <w:r w:rsidR="00090662">
        <w:rPr>
          <w:rFonts w:eastAsia="Calibri"/>
          <w:sz w:val="28"/>
          <w:szCs w:val="28"/>
          <w:lang w:val="uk-UA"/>
        </w:rPr>
        <w:t>1 518,7</w:t>
      </w:r>
      <w:r w:rsidRPr="00497120">
        <w:rPr>
          <w:rFonts w:eastAsia="Calibri"/>
          <w:sz w:val="28"/>
          <w:szCs w:val="28"/>
          <w:lang w:val="uk-UA"/>
        </w:rPr>
        <w:t> </w:t>
      </w:r>
      <w:proofErr w:type="spellStart"/>
      <w:r w:rsidRPr="00497120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497120">
        <w:rPr>
          <w:rFonts w:eastAsia="Calibri"/>
          <w:sz w:val="28"/>
          <w:szCs w:val="28"/>
          <w:lang w:val="uk-UA"/>
        </w:rPr>
        <w:t>. або 98,7% до плану на звітний період, з яких за рахунок відповідних субвенцій з державного бюджету –</w:t>
      </w:r>
      <w:r w:rsidR="00090662">
        <w:rPr>
          <w:rFonts w:eastAsia="Calibri"/>
          <w:sz w:val="28"/>
          <w:szCs w:val="28"/>
          <w:lang w:val="uk-UA"/>
        </w:rPr>
        <w:t>1 388</w:t>
      </w:r>
      <w:r w:rsidRPr="00497120">
        <w:rPr>
          <w:rFonts w:eastAsia="Calibri"/>
          <w:sz w:val="28"/>
          <w:szCs w:val="28"/>
          <w:lang w:val="uk-UA"/>
        </w:rPr>
        <w:t>,</w:t>
      </w:r>
      <w:r w:rsidR="00090662">
        <w:rPr>
          <w:rFonts w:eastAsia="Calibri"/>
          <w:sz w:val="28"/>
          <w:szCs w:val="28"/>
          <w:lang w:val="uk-UA"/>
        </w:rPr>
        <w:t>8</w:t>
      </w:r>
      <w:r w:rsidRPr="00497120">
        <w:rPr>
          <w:rFonts w:eastAsia="Calibri"/>
          <w:sz w:val="28"/>
          <w:szCs w:val="28"/>
          <w:lang w:val="uk-UA"/>
        </w:rPr>
        <w:t> </w:t>
      </w:r>
      <w:proofErr w:type="spellStart"/>
      <w:r w:rsidRPr="00497120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497120">
        <w:rPr>
          <w:rFonts w:eastAsia="Calibri"/>
          <w:sz w:val="28"/>
          <w:szCs w:val="28"/>
          <w:lang w:val="uk-UA"/>
        </w:rPr>
        <w:t>.</w:t>
      </w:r>
    </w:p>
    <w:p w:rsidR="00612A5A" w:rsidRPr="00497120" w:rsidRDefault="00612A5A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497120">
        <w:rPr>
          <w:rFonts w:eastAsia="Calibri"/>
          <w:sz w:val="28"/>
          <w:szCs w:val="28"/>
          <w:lang w:val="uk-UA"/>
        </w:rPr>
        <w:t xml:space="preserve">Кошти субвенцій спрямовані на надання допомоги сім’ям з дітьми, малозабезпеченим сім’ям, інвалідам з дитинства, дітям-інвалідам, тимчасової державної допомоги дітям у сумі </w:t>
      </w:r>
      <w:r w:rsidR="00090662">
        <w:rPr>
          <w:rFonts w:eastAsia="Calibri"/>
          <w:sz w:val="28"/>
          <w:szCs w:val="28"/>
          <w:lang w:val="uk-UA"/>
        </w:rPr>
        <w:t>526</w:t>
      </w:r>
      <w:r w:rsidRPr="00497120">
        <w:rPr>
          <w:rFonts w:eastAsia="Calibri"/>
          <w:sz w:val="28"/>
          <w:szCs w:val="28"/>
          <w:lang w:val="uk-UA"/>
        </w:rPr>
        <w:t>,</w:t>
      </w:r>
      <w:r w:rsidR="00090662">
        <w:rPr>
          <w:rFonts w:eastAsia="Calibri"/>
          <w:sz w:val="28"/>
          <w:szCs w:val="28"/>
          <w:lang w:val="uk-UA"/>
        </w:rPr>
        <w:t>9</w:t>
      </w:r>
      <w:r w:rsidRPr="0049712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497120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497120">
        <w:rPr>
          <w:rFonts w:eastAsia="Calibri"/>
          <w:sz w:val="28"/>
          <w:szCs w:val="28"/>
          <w:lang w:val="uk-UA"/>
        </w:rPr>
        <w:t xml:space="preserve">., надання пільг і субсидій населенню при оплаті електроенергії, природного газу, послуг </w:t>
      </w:r>
      <w:proofErr w:type="spellStart"/>
      <w:r w:rsidRPr="00497120">
        <w:rPr>
          <w:rFonts w:eastAsia="Calibri"/>
          <w:sz w:val="28"/>
          <w:szCs w:val="28"/>
          <w:lang w:val="uk-UA"/>
        </w:rPr>
        <w:t>тепло-</w:t>
      </w:r>
      <w:proofErr w:type="spellEnd"/>
      <w:r w:rsidRPr="00497120">
        <w:rPr>
          <w:rFonts w:eastAsia="Calibri"/>
          <w:sz w:val="28"/>
          <w:szCs w:val="28"/>
          <w:lang w:val="uk-UA"/>
        </w:rPr>
        <w:t xml:space="preserve">, водопостачання і водовідведення, квартирної плати, вивезення побутового сміття та рідких нечистот, твердого та рідкого пічного побутового палива і скрапленого газу – </w:t>
      </w:r>
      <w:r w:rsidR="00090662">
        <w:rPr>
          <w:rFonts w:eastAsia="Calibri"/>
          <w:sz w:val="28"/>
          <w:szCs w:val="28"/>
          <w:lang w:val="uk-UA"/>
        </w:rPr>
        <w:t>861,9</w:t>
      </w:r>
      <w:r w:rsidRPr="0049712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497120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497120">
        <w:rPr>
          <w:rFonts w:eastAsia="Calibri"/>
          <w:sz w:val="28"/>
          <w:szCs w:val="28"/>
          <w:lang w:val="uk-UA"/>
        </w:rPr>
        <w:t xml:space="preserve">. </w:t>
      </w:r>
    </w:p>
    <w:p w:rsidR="00612A5A" w:rsidRDefault="00612A5A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C17997">
        <w:rPr>
          <w:rFonts w:eastAsia="Calibri"/>
          <w:sz w:val="28"/>
          <w:szCs w:val="28"/>
          <w:lang w:val="uk-UA"/>
        </w:rPr>
        <w:t xml:space="preserve">Порівняно з відповідним періодом минулого року кількість домогосподарств, які отримали житлові субсидії зросла більш ніж на третину, в опалювальний період </w:t>
      </w:r>
      <w:r w:rsidR="001F33E8" w:rsidRPr="00C17997">
        <w:rPr>
          <w:rFonts w:eastAsia="Calibri"/>
          <w:sz w:val="28"/>
          <w:szCs w:val="28"/>
          <w:lang w:val="uk-UA"/>
        </w:rPr>
        <w:t xml:space="preserve">їх кількість </w:t>
      </w:r>
      <w:r w:rsidRPr="00C17997">
        <w:rPr>
          <w:rFonts w:eastAsia="Calibri"/>
          <w:sz w:val="28"/>
          <w:szCs w:val="28"/>
          <w:lang w:val="uk-UA"/>
        </w:rPr>
        <w:t xml:space="preserve">перевищувала </w:t>
      </w:r>
      <w:r w:rsidR="00C17997" w:rsidRPr="00C17997">
        <w:rPr>
          <w:rFonts w:eastAsia="Calibri"/>
          <w:sz w:val="28"/>
          <w:szCs w:val="28"/>
          <w:lang w:val="uk-UA"/>
        </w:rPr>
        <w:t xml:space="preserve">145 </w:t>
      </w:r>
      <w:proofErr w:type="spellStart"/>
      <w:r w:rsidR="00C17997" w:rsidRPr="00C17997">
        <w:rPr>
          <w:rFonts w:eastAsia="Calibri"/>
          <w:sz w:val="28"/>
          <w:szCs w:val="28"/>
          <w:lang w:val="uk-UA"/>
        </w:rPr>
        <w:t>тис.сімей</w:t>
      </w:r>
      <w:proofErr w:type="spellEnd"/>
      <w:r w:rsidR="00C17997" w:rsidRPr="00C17997">
        <w:rPr>
          <w:rFonts w:eastAsia="Calibri"/>
          <w:sz w:val="28"/>
          <w:szCs w:val="28"/>
          <w:lang w:val="uk-UA"/>
        </w:rPr>
        <w:t>.</w:t>
      </w:r>
      <w:r w:rsidR="00C17997" w:rsidRPr="00C17997">
        <w:rPr>
          <w:rFonts w:eastAsia="Calibri"/>
          <w:color w:val="FF0000"/>
          <w:sz w:val="28"/>
          <w:szCs w:val="28"/>
          <w:lang w:val="uk-UA"/>
        </w:rPr>
        <w:t xml:space="preserve"> </w:t>
      </w:r>
      <w:r w:rsidRPr="00C17997">
        <w:rPr>
          <w:rFonts w:eastAsia="Calibri"/>
          <w:sz w:val="28"/>
          <w:szCs w:val="28"/>
          <w:lang w:val="uk-UA"/>
        </w:rPr>
        <w:t>Річні планові показники за відповідними</w:t>
      </w:r>
      <w:r w:rsidR="003E6EDD">
        <w:rPr>
          <w:rFonts w:eastAsia="Calibri"/>
          <w:sz w:val="28"/>
          <w:szCs w:val="28"/>
          <w:lang w:val="uk-UA"/>
        </w:rPr>
        <w:t xml:space="preserve"> видатками вже використані на 91</w:t>
      </w:r>
      <w:r w:rsidRPr="00C17997">
        <w:rPr>
          <w:rFonts w:eastAsia="Calibri"/>
          <w:sz w:val="28"/>
          <w:szCs w:val="28"/>
          <w:lang w:val="uk-UA"/>
        </w:rPr>
        <w:t>,</w:t>
      </w:r>
      <w:r w:rsidR="003E6EDD">
        <w:rPr>
          <w:rFonts w:eastAsia="Calibri"/>
          <w:sz w:val="28"/>
          <w:szCs w:val="28"/>
          <w:lang w:val="uk-UA"/>
        </w:rPr>
        <w:t>2</w:t>
      </w:r>
      <w:r w:rsidRPr="00C17997">
        <w:rPr>
          <w:rFonts w:eastAsia="Calibri"/>
          <w:sz w:val="28"/>
          <w:szCs w:val="28"/>
          <w:lang w:val="uk-UA"/>
        </w:rPr>
        <w:t>%.</w:t>
      </w:r>
      <w:r w:rsidRPr="00FA3D98">
        <w:rPr>
          <w:rFonts w:eastAsia="Calibri"/>
          <w:sz w:val="28"/>
          <w:szCs w:val="28"/>
          <w:lang w:val="uk-UA"/>
        </w:rPr>
        <w:t xml:space="preserve"> </w:t>
      </w:r>
    </w:p>
    <w:p w:rsidR="007C4472" w:rsidRDefault="00612A5A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497120">
        <w:rPr>
          <w:rFonts w:eastAsia="Calibri"/>
          <w:sz w:val="28"/>
          <w:szCs w:val="28"/>
          <w:lang w:val="uk-UA"/>
        </w:rPr>
        <w:t xml:space="preserve">На надання пільг на послуги зв’язку та інших, передбачених </w:t>
      </w:r>
      <w:r w:rsidRPr="00C17997">
        <w:rPr>
          <w:rFonts w:eastAsia="Calibri"/>
          <w:sz w:val="28"/>
          <w:szCs w:val="28"/>
          <w:lang w:val="uk-UA"/>
        </w:rPr>
        <w:t xml:space="preserve">законодавством пільг, спрямовано </w:t>
      </w:r>
      <w:r w:rsidR="00CB652E" w:rsidRPr="00C17997">
        <w:rPr>
          <w:rFonts w:eastAsia="Calibri"/>
          <w:sz w:val="28"/>
          <w:szCs w:val="28"/>
          <w:lang w:val="uk-UA"/>
        </w:rPr>
        <w:t>3</w:t>
      </w:r>
      <w:r w:rsidRPr="00C17997">
        <w:rPr>
          <w:rFonts w:eastAsia="Calibri"/>
          <w:sz w:val="28"/>
          <w:szCs w:val="28"/>
          <w:lang w:val="uk-UA"/>
        </w:rPr>
        <w:t>,</w:t>
      </w:r>
      <w:r w:rsidR="00CB652E" w:rsidRPr="00C17997">
        <w:rPr>
          <w:rFonts w:eastAsia="Calibri"/>
          <w:sz w:val="28"/>
          <w:szCs w:val="28"/>
          <w:lang w:val="uk-UA"/>
        </w:rPr>
        <w:t>9</w:t>
      </w:r>
      <w:r w:rsidRPr="00C17997">
        <w:rPr>
          <w:rFonts w:eastAsia="Calibri"/>
          <w:sz w:val="28"/>
          <w:szCs w:val="28"/>
          <w:lang w:val="uk-UA"/>
        </w:rPr>
        <w:t> </w:t>
      </w:r>
      <w:proofErr w:type="spellStart"/>
      <w:r w:rsidRPr="00C17997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C17997">
        <w:rPr>
          <w:rFonts w:eastAsia="Calibri"/>
          <w:sz w:val="28"/>
          <w:szCs w:val="28"/>
          <w:lang w:val="uk-UA"/>
        </w:rPr>
        <w:t xml:space="preserve">. Цими пільгами скористалось </w:t>
      </w:r>
      <w:r w:rsidR="00C17997" w:rsidRPr="00C17997">
        <w:rPr>
          <w:rFonts w:eastAsia="Calibri"/>
          <w:sz w:val="28"/>
          <w:szCs w:val="28"/>
          <w:lang w:val="uk-UA"/>
        </w:rPr>
        <w:t>12,1 </w:t>
      </w:r>
      <w:proofErr w:type="spellStart"/>
      <w:r w:rsidR="00C17997" w:rsidRPr="00C17997">
        <w:rPr>
          <w:rFonts w:eastAsia="Calibri"/>
          <w:sz w:val="28"/>
          <w:szCs w:val="28"/>
          <w:lang w:val="uk-UA"/>
        </w:rPr>
        <w:t>тис.чол</w:t>
      </w:r>
      <w:proofErr w:type="spellEnd"/>
      <w:r w:rsidR="00C17997" w:rsidRPr="00C17997">
        <w:rPr>
          <w:rFonts w:eastAsia="Calibri"/>
          <w:sz w:val="28"/>
          <w:szCs w:val="28"/>
          <w:lang w:val="uk-UA"/>
        </w:rPr>
        <w:t>.</w:t>
      </w:r>
      <w:r w:rsidR="00C17997" w:rsidRPr="00497120">
        <w:rPr>
          <w:rFonts w:eastAsia="Calibri"/>
          <w:sz w:val="28"/>
          <w:szCs w:val="28"/>
          <w:lang w:val="uk-UA"/>
        </w:rPr>
        <w:t xml:space="preserve"> </w:t>
      </w:r>
      <w:r w:rsidRPr="00497120">
        <w:rPr>
          <w:rFonts w:eastAsia="Calibri"/>
          <w:sz w:val="28"/>
          <w:szCs w:val="28"/>
          <w:lang w:val="uk-UA"/>
        </w:rPr>
        <w:t xml:space="preserve">На компенсацію пільгового перевезення окремих категорій громадян різними видами транспорту використано </w:t>
      </w:r>
      <w:r w:rsidR="00067497">
        <w:rPr>
          <w:rFonts w:eastAsia="Calibri"/>
          <w:sz w:val="28"/>
          <w:szCs w:val="28"/>
          <w:lang w:val="uk-UA"/>
        </w:rPr>
        <w:t>55</w:t>
      </w:r>
      <w:r w:rsidR="00757BD6">
        <w:rPr>
          <w:rFonts w:eastAsia="Calibri"/>
          <w:sz w:val="28"/>
          <w:szCs w:val="28"/>
          <w:lang w:val="uk-UA"/>
        </w:rPr>
        <w:t>,</w:t>
      </w:r>
      <w:r w:rsidR="00067497">
        <w:rPr>
          <w:rFonts w:eastAsia="Calibri"/>
          <w:sz w:val="28"/>
          <w:szCs w:val="28"/>
          <w:lang w:val="uk-UA"/>
        </w:rPr>
        <w:t>5</w:t>
      </w:r>
      <w:r w:rsidRPr="00497120">
        <w:rPr>
          <w:rFonts w:eastAsia="Calibri"/>
          <w:sz w:val="28"/>
          <w:szCs w:val="28"/>
          <w:lang w:val="uk-UA"/>
        </w:rPr>
        <w:t> </w:t>
      </w:r>
      <w:proofErr w:type="spellStart"/>
      <w:r w:rsidRPr="00497120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497120">
        <w:rPr>
          <w:rFonts w:eastAsia="Calibri"/>
          <w:sz w:val="28"/>
          <w:szCs w:val="28"/>
          <w:lang w:val="uk-UA"/>
        </w:rPr>
        <w:t xml:space="preserve">. </w:t>
      </w:r>
    </w:p>
    <w:p w:rsidR="00612A5A" w:rsidRDefault="00612A5A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497120">
        <w:rPr>
          <w:rFonts w:eastAsia="Calibri"/>
          <w:sz w:val="28"/>
          <w:szCs w:val="28"/>
          <w:lang w:val="uk-UA"/>
        </w:rPr>
        <w:t>На підтримку ветеранських організацій міста витрачено 1,</w:t>
      </w:r>
      <w:r w:rsidR="00067497">
        <w:rPr>
          <w:rFonts w:eastAsia="Calibri"/>
          <w:sz w:val="28"/>
          <w:szCs w:val="28"/>
          <w:lang w:val="uk-UA"/>
        </w:rPr>
        <w:t>8</w:t>
      </w:r>
      <w:r w:rsidRPr="00497120">
        <w:rPr>
          <w:rFonts w:eastAsia="Calibri"/>
          <w:sz w:val="28"/>
          <w:szCs w:val="28"/>
          <w:lang w:val="uk-UA"/>
        </w:rPr>
        <w:t> </w:t>
      </w:r>
      <w:proofErr w:type="spellStart"/>
      <w:r w:rsidRPr="00497120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497120">
        <w:rPr>
          <w:rFonts w:eastAsia="Calibri"/>
          <w:sz w:val="28"/>
          <w:szCs w:val="28"/>
          <w:lang w:val="uk-UA"/>
        </w:rPr>
        <w:t xml:space="preserve">. Виплати грошової компенсації фізичним особам, які надають соціальні послуги </w:t>
      </w:r>
      <w:r w:rsidRPr="00497120">
        <w:rPr>
          <w:rFonts w:eastAsia="Calibri"/>
          <w:sz w:val="28"/>
          <w:szCs w:val="28"/>
          <w:lang w:val="uk-UA"/>
        </w:rPr>
        <w:lastRenderedPageBreak/>
        <w:t xml:space="preserve">громадянам похилого віку, інвалідам, хворим, які не здатні до </w:t>
      </w:r>
      <w:proofErr w:type="spellStart"/>
      <w:r w:rsidRPr="00497120">
        <w:rPr>
          <w:rFonts w:eastAsia="Calibri"/>
          <w:sz w:val="28"/>
          <w:szCs w:val="28"/>
          <w:lang w:val="uk-UA"/>
        </w:rPr>
        <w:t>само</w:t>
      </w:r>
      <w:r w:rsidR="007B3922">
        <w:rPr>
          <w:rFonts w:eastAsia="Calibri"/>
          <w:sz w:val="28"/>
          <w:szCs w:val="28"/>
          <w:lang w:val="uk-UA"/>
        </w:rPr>
        <w:t>-</w:t>
      </w:r>
      <w:r w:rsidRPr="00497120">
        <w:rPr>
          <w:rFonts w:eastAsia="Calibri"/>
          <w:sz w:val="28"/>
          <w:szCs w:val="28"/>
          <w:lang w:val="uk-UA"/>
        </w:rPr>
        <w:t>обслуговування</w:t>
      </w:r>
      <w:proofErr w:type="spellEnd"/>
      <w:r w:rsidRPr="00497120">
        <w:rPr>
          <w:rFonts w:eastAsia="Calibri"/>
          <w:sz w:val="28"/>
          <w:szCs w:val="28"/>
          <w:lang w:val="uk-UA"/>
        </w:rPr>
        <w:t xml:space="preserve"> та потребують сторонньої допомоги, </w:t>
      </w:r>
      <w:r w:rsidR="007B3922">
        <w:rPr>
          <w:rFonts w:eastAsia="Calibri"/>
          <w:sz w:val="28"/>
          <w:szCs w:val="28"/>
          <w:lang w:val="uk-UA"/>
        </w:rPr>
        <w:t>спрямовано</w:t>
      </w:r>
      <w:r w:rsidRPr="00497120">
        <w:rPr>
          <w:rFonts w:eastAsia="Calibri"/>
          <w:sz w:val="28"/>
          <w:szCs w:val="28"/>
          <w:lang w:val="uk-UA"/>
        </w:rPr>
        <w:t xml:space="preserve"> </w:t>
      </w:r>
      <w:r w:rsidR="00067497">
        <w:rPr>
          <w:rFonts w:eastAsia="Calibri"/>
          <w:sz w:val="28"/>
          <w:szCs w:val="28"/>
          <w:lang w:val="uk-UA"/>
        </w:rPr>
        <w:t>2</w:t>
      </w:r>
      <w:r w:rsidRPr="00497120">
        <w:rPr>
          <w:rFonts w:eastAsia="Calibri"/>
          <w:sz w:val="28"/>
          <w:szCs w:val="28"/>
          <w:lang w:val="uk-UA"/>
        </w:rPr>
        <w:t>,</w:t>
      </w:r>
      <w:r w:rsidR="00067497">
        <w:rPr>
          <w:rFonts w:eastAsia="Calibri"/>
          <w:sz w:val="28"/>
          <w:szCs w:val="28"/>
          <w:lang w:val="uk-UA"/>
        </w:rPr>
        <w:t>5</w:t>
      </w:r>
      <w:r w:rsidRPr="00497120">
        <w:rPr>
          <w:rFonts w:eastAsia="Calibri"/>
          <w:sz w:val="28"/>
          <w:szCs w:val="28"/>
          <w:lang w:val="uk-UA"/>
        </w:rPr>
        <w:t> </w:t>
      </w:r>
      <w:proofErr w:type="spellStart"/>
      <w:r w:rsidRPr="00497120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497120">
        <w:rPr>
          <w:rFonts w:eastAsia="Calibri"/>
          <w:sz w:val="28"/>
          <w:szCs w:val="28"/>
          <w:lang w:val="uk-UA"/>
        </w:rPr>
        <w:t xml:space="preserve">. </w:t>
      </w:r>
    </w:p>
    <w:p w:rsidR="00067497" w:rsidRDefault="00870FDB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C86B19">
        <w:rPr>
          <w:rFonts w:eastAsia="Calibri"/>
          <w:sz w:val="28"/>
          <w:szCs w:val="28"/>
          <w:lang w:val="uk-UA"/>
        </w:rPr>
        <w:t xml:space="preserve">Інші видатки на соціальний захист населенню склали </w:t>
      </w:r>
      <w:r w:rsidR="00067497">
        <w:rPr>
          <w:rFonts w:eastAsia="Calibri"/>
          <w:sz w:val="28"/>
          <w:szCs w:val="28"/>
          <w:lang w:val="uk-UA"/>
        </w:rPr>
        <w:t>54</w:t>
      </w:r>
      <w:r w:rsidR="00757BD6">
        <w:rPr>
          <w:rFonts w:eastAsia="Calibri"/>
          <w:sz w:val="28"/>
          <w:szCs w:val="28"/>
          <w:lang w:val="uk-UA"/>
        </w:rPr>
        <w:t>,</w:t>
      </w:r>
      <w:r w:rsidR="00067497">
        <w:rPr>
          <w:rFonts w:eastAsia="Calibri"/>
          <w:sz w:val="28"/>
          <w:szCs w:val="28"/>
          <w:lang w:val="uk-UA"/>
        </w:rPr>
        <w:t xml:space="preserve">7 </w:t>
      </w:r>
      <w:proofErr w:type="spellStart"/>
      <w:r w:rsidRPr="00C86B19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C86B19">
        <w:rPr>
          <w:rFonts w:eastAsia="Calibri"/>
          <w:sz w:val="28"/>
          <w:szCs w:val="28"/>
          <w:lang w:val="uk-UA"/>
        </w:rPr>
        <w:t xml:space="preserve">. </w:t>
      </w:r>
      <w:r w:rsidR="0033351E" w:rsidRPr="00C17997">
        <w:rPr>
          <w:rFonts w:eastAsia="Calibri"/>
          <w:sz w:val="28"/>
          <w:szCs w:val="28"/>
          <w:lang w:val="uk-UA"/>
        </w:rPr>
        <w:t xml:space="preserve">В рамках Міської комплексної програми соціального захисту населення </w:t>
      </w:r>
      <w:r w:rsidR="00C17997" w:rsidRPr="00C17997">
        <w:rPr>
          <w:rFonts w:eastAsia="Calibri"/>
          <w:sz w:val="28"/>
          <w:szCs w:val="28"/>
          <w:lang w:val="uk-UA"/>
        </w:rPr>
        <w:t xml:space="preserve">різного виду </w:t>
      </w:r>
      <w:r w:rsidR="00CD7D2F" w:rsidRPr="00C17997">
        <w:rPr>
          <w:rFonts w:eastAsia="Calibri"/>
          <w:sz w:val="28"/>
          <w:szCs w:val="28"/>
          <w:lang w:val="uk-UA"/>
        </w:rPr>
        <w:t xml:space="preserve">матеріальну допомогу отримали </w:t>
      </w:r>
      <w:r w:rsidR="00C17997" w:rsidRPr="00C17997">
        <w:rPr>
          <w:rFonts w:eastAsia="Calibri"/>
          <w:sz w:val="28"/>
          <w:szCs w:val="28"/>
          <w:lang w:val="uk-UA"/>
        </w:rPr>
        <w:t>9,6 </w:t>
      </w:r>
      <w:r w:rsidR="00C86B19" w:rsidRPr="00C17997">
        <w:rPr>
          <w:rFonts w:eastAsia="Calibri"/>
          <w:sz w:val="28"/>
          <w:szCs w:val="28"/>
          <w:lang w:val="uk-UA"/>
        </w:rPr>
        <w:t xml:space="preserve">тис. </w:t>
      </w:r>
      <w:r w:rsidR="00CD7D2F" w:rsidRPr="00C17997">
        <w:rPr>
          <w:rFonts w:eastAsia="Calibri"/>
          <w:sz w:val="28"/>
          <w:szCs w:val="28"/>
          <w:lang w:val="uk-UA"/>
        </w:rPr>
        <w:t>громадян міста</w:t>
      </w:r>
      <w:r w:rsidRPr="00C17997">
        <w:rPr>
          <w:rFonts w:eastAsia="Calibri"/>
          <w:sz w:val="28"/>
          <w:szCs w:val="28"/>
          <w:lang w:val="uk-UA"/>
        </w:rPr>
        <w:t>,</w:t>
      </w:r>
      <w:r w:rsidR="00A34239" w:rsidRPr="00C17997">
        <w:rPr>
          <w:rFonts w:eastAsia="Calibri"/>
          <w:sz w:val="28"/>
          <w:szCs w:val="28"/>
          <w:lang w:val="uk-UA"/>
        </w:rPr>
        <w:t xml:space="preserve"> за</w:t>
      </w:r>
      <w:r w:rsidR="00A34239" w:rsidRPr="00FE4705">
        <w:rPr>
          <w:rFonts w:eastAsia="Calibri"/>
          <w:sz w:val="28"/>
          <w:szCs w:val="28"/>
          <w:lang w:val="uk-UA"/>
        </w:rPr>
        <w:t xml:space="preserve"> рахунок коштів депутатського фонду </w:t>
      </w:r>
      <w:r w:rsidR="00FE4705" w:rsidRPr="00FE4705">
        <w:rPr>
          <w:rFonts w:eastAsia="Calibri"/>
          <w:sz w:val="28"/>
          <w:szCs w:val="28"/>
          <w:lang w:val="uk-UA"/>
        </w:rPr>
        <w:t>бюджету міста надано підтримку понад 7</w:t>
      </w:r>
      <w:r w:rsidR="00C86B19" w:rsidRPr="00FE4705">
        <w:rPr>
          <w:rFonts w:eastAsia="Calibri"/>
          <w:sz w:val="28"/>
          <w:szCs w:val="28"/>
          <w:lang w:val="uk-UA"/>
        </w:rPr>
        <w:t>,</w:t>
      </w:r>
      <w:r w:rsidR="00FE4705" w:rsidRPr="00FE4705">
        <w:rPr>
          <w:rFonts w:eastAsia="Calibri"/>
          <w:sz w:val="28"/>
          <w:szCs w:val="28"/>
          <w:lang w:val="uk-UA"/>
        </w:rPr>
        <w:t>0</w:t>
      </w:r>
      <w:r w:rsidR="00C86B19" w:rsidRPr="00FE4705">
        <w:rPr>
          <w:rFonts w:eastAsia="Calibri"/>
          <w:sz w:val="28"/>
          <w:szCs w:val="28"/>
          <w:lang w:val="uk-UA"/>
        </w:rPr>
        <w:t> тис.</w:t>
      </w:r>
      <w:r w:rsidR="00FE4705" w:rsidRPr="00FE4705">
        <w:rPr>
          <w:rFonts w:eastAsia="Calibri"/>
          <w:sz w:val="28"/>
          <w:szCs w:val="28"/>
          <w:lang w:val="uk-UA"/>
        </w:rPr>
        <w:t> </w:t>
      </w:r>
      <w:r w:rsidR="00A34239" w:rsidRPr="00FE4705">
        <w:rPr>
          <w:rFonts w:eastAsia="Calibri"/>
          <w:sz w:val="28"/>
          <w:szCs w:val="28"/>
          <w:lang w:val="uk-UA"/>
        </w:rPr>
        <w:t>мешканц</w:t>
      </w:r>
      <w:r w:rsidR="00253ED8" w:rsidRPr="00FE4705">
        <w:rPr>
          <w:rFonts w:eastAsia="Calibri"/>
          <w:sz w:val="28"/>
          <w:szCs w:val="28"/>
          <w:lang w:val="uk-UA"/>
        </w:rPr>
        <w:t>і</w:t>
      </w:r>
      <w:r w:rsidR="00253ED8" w:rsidRPr="00F77CC5">
        <w:rPr>
          <w:rFonts w:eastAsia="Calibri"/>
          <w:sz w:val="28"/>
          <w:szCs w:val="28"/>
          <w:lang w:val="uk-UA"/>
        </w:rPr>
        <w:t>в</w:t>
      </w:r>
      <w:r w:rsidR="00A34239" w:rsidRPr="00F77CC5">
        <w:rPr>
          <w:rFonts w:eastAsia="Calibri"/>
          <w:sz w:val="28"/>
          <w:szCs w:val="28"/>
          <w:lang w:val="uk-UA"/>
        </w:rPr>
        <w:t>.</w:t>
      </w:r>
    </w:p>
    <w:p w:rsidR="0033351E" w:rsidRDefault="00067497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На заходи з оздоровлення та відпочинку дітей з бюджету міста </w:t>
      </w:r>
      <w:r w:rsidR="00675C14">
        <w:rPr>
          <w:rFonts w:eastAsia="Calibri"/>
          <w:sz w:val="28"/>
          <w:szCs w:val="28"/>
          <w:lang w:val="uk-UA"/>
        </w:rPr>
        <w:t>виділено 10,6 млн.грн.</w:t>
      </w:r>
      <w:r w:rsidR="00253ED8" w:rsidRPr="00253ED8">
        <w:rPr>
          <w:rFonts w:eastAsia="Calibri"/>
          <w:sz w:val="28"/>
          <w:szCs w:val="28"/>
          <w:lang w:val="uk-UA"/>
        </w:rPr>
        <w:t xml:space="preserve"> </w:t>
      </w:r>
    </w:p>
    <w:p w:rsidR="00484700" w:rsidRPr="00253ED8" w:rsidRDefault="00484700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На організацію та проведення громадських робіт </w:t>
      </w:r>
      <w:r w:rsidR="007868D7">
        <w:rPr>
          <w:rFonts w:eastAsia="Calibri"/>
          <w:sz w:val="28"/>
          <w:szCs w:val="28"/>
          <w:lang w:val="uk-UA"/>
        </w:rPr>
        <w:t>-</w:t>
      </w:r>
      <w:r>
        <w:rPr>
          <w:rFonts w:eastAsia="Calibri"/>
          <w:sz w:val="28"/>
          <w:szCs w:val="28"/>
          <w:lang w:val="uk-UA"/>
        </w:rPr>
        <w:t xml:space="preserve"> 0,</w:t>
      </w:r>
      <w:r w:rsidR="00067497">
        <w:rPr>
          <w:rFonts w:eastAsia="Calibri"/>
          <w:sz w:val="28"/>
          <w:szCs w:val="28"/>
          <w:lang w:val="uk-UA"/>
        </w:rPr>
        <w:t>8</w:t>
      </w:r>
      <w:r>
        <w:rPr>
          <w:rFonts w:eastAsia="Calibri"/>
          <w:sz w:val="28"/>
          <w:szCs w:val="28"/>
          <w:lang w:val="uk-UA"/>
        </w:rPr>
        <w:t> </w:t>
      </w:r>
      <w:proofErr w:type="spellStart"/>
      <w:r>
        <w:rPr>
          <w:rFonts w:eastAsia="Calibri"/>
          <w:sz w:val="28"/>
          <w:szCs w:val="28"/>
          <w:lang w:val="uk-UA"/>
        </w:rPr>
        <w:t>млн.грн</w:t>
      </w:r>
      <w:proofErr w:type="spellEnd"/>
      <w:r>
        <w:rPr>
          <w:rFonts w:eastAsia="Calibri"/>
          <w:sz w:val="28"/>
          <w:szCs w:val="28"/>
          <w:lang w:val="uk-UA"/>
        </w:rPr>
        <w:t>.</w:t>
      </w:r>
    </w:p>
    <w:p w:rsidR="006E51E7" w:rsidRDefault="00612A5A" w:rsidP="006E51E7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rFonts w:eastAsia="Calibri"/>
          <w:sz w:val="28"/>
          <w:szCs w:val="28"/>
          <w:lang w:val="uk-UA"/>
        </w:rPr>
      </w:pPr>
      <w:r w:rsidRPr="006E51E7">
        <w:rPr>
          <w:rFonts w:eastAsia="Calibri"/>
          <w:sz w:val="28"/>
          <w:szCs w:val="28"/>
          <w:lang w:val="uk-UA"/>
        </w:rPr>
        <w:t>На забезпечення функціонування та розвиток установ соціально-</w:t>
      </w:r>
      <w:r w:rsidR="002E4050">
        <w:rPr>
          <w:rFonts w:eastAsia="Calibri"/>
          <w:sz w:val="28"/>
          <w:szCs w:val="28"/>
          <w:lang w:val="uk-UA"/>
        </w:rPr>
        <w:t>культурної сфери спрямовано 2 509</w:t>
      </w:r>
      <w:r w:rsidRPr="006E51E7">
        <w:rPr>
          <w:rFonts w:eastAsia="Calibri"/>
          <w:sz w:val="28"/>
          <w:szCs w:val="28"/>
          <w:lang w:val="uk-UA"/>
        </w:rPr>
        <w:t>,</w:t>
      </w:r>
      <w:r w:rsidR="002E4050">
        <w:rPr>
          <w:rFonts w:eastAsia="Calibri"/>
          <w:sz w:val="28"/>
          <w:szCs w:val="28"/>
          <w:lang w:val="uk-UA"/>
        </w:rPr>
        <w:t>9</w:t>
      </w:r>
      <w:r w:rsidRPr="006E51E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6E51E7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6E51E7">
        <w:rPr>
          <w:rFonts w:eastAsia="Calibri"/>
          <w:sz w:val="28"/>
          <w:szCs w:val="28"/>
          <w:lang w:val="uk-UA"/>
        </w:rPr>
        <w:t>., що становить 4</w:t>
      </w:r>
      <w:r w:rsidR="002E4050">
        <w:rPr>
          <w:rFonts w:eastAsia="Calibri"/>
          <w:sz w:val="28"/>
          <w:szCs w:val="28"/>
          <w:lang w:val="uk-UA"/>
        </w:rPr>
        <w:t>5,0</w:t>
      </w:r>
      <w:r w:rsidRPr="006E51E7">
        <w:rPr>
          <w:rFonts w:eastAsia="Calibri"/>
          <w:sz w:val="28"/>
          <w:szCs w:val="28"/>
          <w:lang w:val="uk-UA"/>
        </w:rPr>
        <w:t>% загального обсягу витрат бюджету міста, в тому числі на освіту – 1 </w:t>
      </w:r>
      <w:r w:rsidR="002E4050">
        <w:rPr>
          <w:rFonts w:eastAsia="Calibri"/>
          <w:sz w:val="28"/>
          <w:szCs w:val="28"/>
          <w:lang w:val="uk-UA"/>
        </w:rPr>
        <w:t>409,2</w:t>
      </w:r>
      <w:r w:rsidRPr="006E51E7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6E51E7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6E51E7">
        <w:rPr>
          <w:rFonts w:eastAsia="Calibri"/>
          <w:sz w:val="28"/>
          <w:szCs w:val="28"/>
          <w:lang w:val="uk-UA"/>
        </w:rPr>
        <w:t>.</w:t>
      </w:r>
      <w:r w:rsidR="00D85376">
        <w:rPr>
          <w:rFonts w:eastAsia="Calibri"/>
          <w:sz w:val="28"/>
          <w:szCs w:val="28"/>
          <w:lang w:val="uk-UA"/>
        </w:rPr>
        <w:t xml:space="preserve"> (за рахунок освітньої субвенції з державного бюджету – </w:t>
      </w:r>
      <w:r w:rsidR="002E4050">
        <w:rPr>
          <w:rFonts w:eastAsia="Calibri"/>
          <w:sz w:val="28"/>
          <w:szCs w:val="28"/>
          <w:lang w:val="uk-UA"/>
        </w:rPr>
        <w:t>500,2</w:t>
      </w:r>
      <w:r w:rsidR="00D85376">
        <w:rPr>
          <w:rFonts w:eastAsia="Calibri"/>
          <w:sz w:val="28"/>
          <w:szCs w:val="28"/>
          <w:lang w:val="uk-UA"/>
        </w:rPr>
        <w:t> </w:t>
      </w:r>
      <w:proofErr w:type="spellStart"/>
      <w:r w:rsidR="00D85376">
        <w:rPr>
          <w:rFonts w:eastAsia="Calibri"/>
          <w:sz w:val="28"/>
          <w:szCs w:val="28"/>
          <w:lang w:val="uk-UA"/>
        </w:rPr>
        <w:t>млн.грн</w:t>
      </w:r>
      <w:proofErr w:type="spellEnd"/>
      <w:r w:rsidR="00D85376">
        <w:rPr>
          <w:rFonts w:eastAsia="Calibri"/>
          <w:sz w:val="28"/>
          <w:szCs w:val="28"/>
          <w:lang w:val="uk-UA"/>
        </w:rPr>
        <w:t>.)</w:t>
      </w:r>
      <w:r w:rsidRPr="006E51E7">
        <w:rPr>
          <w:rFonts w:eastAsia="Calibri"/>
          <w:sz w:val="28"/>
          <w:szCs w:val="28"/>
          <w:lang w:val="uk-UA"/>
        </w:rPr>
        <w:t xml:space="preserve">, охорону здоров'я – </w:t>
      </w:r>
      <w:r w:rsidR="002E4050">
        <w:rPr>
          <w:rFonts w:eastAsia="Calibri"/>
          <w:sz w:val="28"/>
          <w:szCs w:val="28"/>
          <w:lang w:val="uk-UA"/>
        </w:rPr>
        <w:t>909,5</w:t>
      </w:r>
      <w:r w:rsidRPr="006E51E7">
        <w:rPr>
          <w:rFonts w:eastAsia="Calibri"/>
          <w:sz w:val="28"/>
          <w:szCs w:val="28"/>
        </w:rPr>
        <w:t> </w:t>
      </w:r>
      <w:r w:rsidRPr="006E51E7">
        <w:rPr>
          <w:rFonts w:eastAsia="Calibri"/>
          <w:sz w:val="28"/>
          <w:szCs w:val="28"/>
          <w:lang w:val="uk-UA"/>
        </w:rPr>
        <w:t>млн.грн.</w:t>
      </w:r>
      <w:r w:rsidR="00D85376">
        <w:rPr>
          <w:rFonts w:eastAsia="Calibri"/>
          <w:sz w:val="28"/>
          <w:szCs w:val="28"/>
          <w:lang w:val="uk-UA"/>
        </w:rPr>
        <w:t xml:space="preserve"> (за рахунок </w:t>
      </w:r>
      <w:r w:rsidR="007868D7">
        <w:rPr>
          <w:rFonts w:eastAsia="Calibri"/>
          <w:sz w:val="28"/>
          <w:szCs w:val="28"/>
          <w:lang w:val="uk-UA"/>
        </w:rPr>
        <w:t xml:space="preserve">медичної </w:t>
      </w:r>
      <w:r w:rsidR="00D85376">
        <w:rPr>
          <w:rFonts w:eastAsia="Calibri"/>
          <w:sz w:val="28"/>
          <w:szCs w:val="28"/>
          <w:lang w:val="uk-UA"/>
        </w:rPr>
        <w:t>субвенці</w:t>
      </w:r>
      <w:r w:rsidR="007868D7">
        <w:rPr>
          <w:rFonts w:eastAsia="Calibri"/>
          <w:sz w:val="28"/>
          <w:szCs w:val="28"/>
          <w:lang w:val="uk-UA"/>
        </w:rPr>
        <w:t>ї</w:t>
      </w:r>
      <w:r w:rsidR="00D85376">
        <w:rPr>
          <w:rFonts w:eastAsia="Calibri"/>
          <w:sz w:val="28"/>
          <w:szCs w:val="28"/>
          <w:lang w:val="uk-UA"/>
        </w:rPr>
        <w:t xml:space="preserve"> з державного бюджету – </w:t>
      </w:r>
      <w:r w:rsidR="002E4050">
        <w:rPr>
          <w:rFonts w:eastAsia="Calibri"/>
          <w:sz w:val="28"/>
          <w:szCs w:val="28"/>
          <w:lang w:val="uk-UA"/>
        </w:rPr>
        <w:t>481,6</w:t>
      </w:r>
      <w:r w:rsidR="00D85376">
        <w:rPr>
          <w:rFonts w:eastAsia="Calibri"/>
          <w:sz w:val="28"/>
          <w:szCs w:val="28"/>
          <w:lang w:val="uk-UA"/>
        </w:rPr>
        <w:t> </w:t>
      </w:r>
      <w:proofErr w:type="spellStart"/>
      <w:r w:rsidR="00D85376">
        <w:rPr>
          <w:rFonts w:eastAsia="Calibri"/>
          <w:sz w:val="28"/>
          <w:szCs w:val="28"/>
          <w:lang w:val="uk-UA"/>
        </w:rPr>
        <w:t>тис.грн</w:t>
      </w:r>
      <w:proofErr w:type="spellEnd"/>
      <w:r w:rsidR="00D85376">
        <w:rPr>
          <w:rFonts w:eastAsia="Calibri"/>
          <w:sz w:val="28"/>
          <w:szCs w:val="28"/>
          <w:lang w:val="uk-UA"/>
        </w:rPr>
        <w:t>.)</w:t>
      </w:r>
      <w:r w:rsidRPr="006E51E7">
        <w:rPr>
          <w:rFonts w:eastAsia="Calibri"/>
          <w:sz w:val="28"/>
          <w:szCs w:val="28"/>
          <w:lang w:val="uk-UA"/>
        </w:rPr>
        <w:t xml:space="preserve">, культуру – </w:t>
      </w:r>
      <w:r w:rsidR="002E4050">
        <w:rPr>
          <w:rFonts w:eastAsia="Calibri"/>
          <w:sz w:val="28"/>
          <w:szCs w:val="28"/>
          <w:lang w:val="uk-UA"/>
        </w:rPr>
        <w:t>109</w:t>
      </w:r>
      <w:r w:rsidRPr="006E51E7">
        <w:rPr>
          <w:rFonts w:eastAsia="Calibri"/>
          <w:sz w:val="28"/>
          <w:szCs w:val="28"/>
          <w:lang w:val="uk-UA"/>
        </w:rPr>
        <w:t>,2 </w:t>
      </w:r>
      <w:proofErr w:type="spellStart"/>
      <w:r w:rsidRPr="006E51E7">
        <w:rPr>
          <w:rFonts w:eastAsia="Calibri"/>
          <w:sz w:val="28"/>
          <w:szCs w:val="28"/>
          <w:lang w:val="uk-UA"/>
        </w:rPr>
        <w:t>млн.грн</w:t>
      </w:r>
      <w:proofErr w:type="spellEnd"/>
      <w:r w:rsidR="002E4050">
        <w:rPr>
          <w:rFonts w:eastAsia="Calibri"/>
          <w:sz w:val="28"/>
          <w:szCs w:val="28"/>
          <w:lang w:val="uk-UA"/>
        </w:rPr>
        <w:t>., фізичну культуру і спорт – 51,8</w:t>
      </w:r>
      <w:r w:rsidRPr="006E51E7">
        <w:rPr>
          <w:rFonts w:eastAsia="Calibri"/>
          <w:sz w:val="28"/>
          <w:szCs w:val="28"/>
          <w:lang w:val="uk-UA"/>
        </w:rPr>
        <w:t> </w:t>
      </w:r>
      <w:proofErr w:type="spellStart"/>
      <w:r w:rsidRPr="006E51E7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6E51E7">
        <w:rPr>
          <w:rFonts w:eastAsia="Calibri"/>
          <w:sz w:val="28"/>
          <w:szCs w:val="28"/>
          <w:lang w:val="uk-UA"/>
        </w:rPr>
        <w:t xml:space="preserve">., установи соціального захисту – </w:t>
      </w:r>
      <w:r w:rsidR="002E4050">
        <w:rPr>
          <w:rFonts w:eastAsia="Calibri"/>
          <w:sz w:val="28"/>
          <w:szCs w:val="28"/>
          <w:lang w:val="uk-UA"/>
        </w:rPr>
        <w:t>30</w:t>
      </w:r>
      <w:r w:rsidRPr="006E51E7">
        <w:rPr>
          <w:rFonts w:eastAsia="Calibri"/>
          <w:sz w:val="28"/>
          <w:szCs w:val="28"/>
          <w:lang w:val="uk-UA"/>
        </w:rPr>
        <w:t>,</w:t>
      </w:r>
      <w:r w:rsidR="002E4050">
        <w:rPr>
          <w:rFonts w:eastAsia="Calibri"/>
          <w:sz w:val="28"/>
          <w:szCs w:val="28"/>
          <w:lang w:val="uk-UA"/>
        </w:rPr>
        <w:t>2</w:t>
      </w:r>
      <w:r w:rsidRPr="006E51E7">
        <w:rPr>
          <w:rFonts w:eastAsia="Calibri"/>
          <w:sz w:val="28"/>
          <w:szCs w:val="28"/>
          <w:lang w:val="uk-UA"/>
        </w:rPr>
        <w:t> </w:t>
      </w:r>
      <w:proofErr w:type="spellStart"/>
      <w:r w:rsidRPr="006E51E7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6E51E7">
        <w:rPr>
          <w:rFonts w:eastAsia="Calibri"/>
          <w:sz w:val="28"/>
          <w:szCs w:val="28"/>
          <w:lang w:val="uk-UA"/>
        </w:rPr>
        <w:t xml:space="preserve">. </w:t>
      </w:r>
    </w:p>
    <w:p w:rsidR="006E51E7" w:rsidRPr="00DD1F66" w:rsidRDefault="006E51E7" w:rsidP="006E51E7">
      <w:pPr>
        <w:pStyle w:val="justifyfull"/>
        <w:spacing w:before="0" w:beforeAutospacing="0" w:after="0" w:afterAutospacing="0"/>
        <w:ind w:left="708"/>
        <w:jc w:val="both"/>
        <w:rPr>
          <w:rFonts w:eastAsia="Calibri"/>
          <w:sz w:val="12"/>
          <w:szCs w:val="12"/>
          <w:lang w:val="uk-UA"/>
        </w:rPr>
      </w:pPr>
    </w:p>
    <w:p w:rsidR="006E51E7" w:rsidRDefault="006E51E7" w:rsidP="006E51E7">
      <w:pPr>
        <w:pStyle w:val="justifyfull"/>
        <w:spacing w:before="0" w:beforeAutospacing="0" w:after="0" w:afterAutospacing="0"/>
        <w:jc w:val="center"/>
        <w:rPr>
          <w:rFonts w:eastAsia="Calibri"/>
          <w:b/>
          <w:sz w:val="26"/>
          <w:szCs w:val="26"/>
          <w:lang w:val="uk-UA"/>
        </w:rPr>
      </w:pPr>
      <w:r w:rsidRPr="00DD1F66">
        <w:rPr>
          <w:rFonts w:eastAsia="Calibri"/>
          <w:b/>
          <w:sz w:val="26"/>
          <w:szCs w:val="26"/>
          <w:lang w:val="uk-UA"/>
        </w:rPr>
        <w:t>Структура видатків на функціонування та розвиток установ соціально-культурної сфери за економічною ознакою</w:t>
      </w:r>
    </w:p>
    <w:p w:rsidR="00C26338" w:rsidRPr="00DD1F66" w:rsidRDefault="00C26338" w:rsidP="006E51E7">
      <w:pPr>
        <w:pStyle w:val="justifyfull"/>
        <w:spacing w:before="0" w:beforeAutospacing="0" w:after="0" w:afterAutospacing="0"/>
        <w:jc w:val="center"/>
        <w:rPr>
          <w:rFonts w:eastAsia="Calibri"/>
          <w:b/>
          <w:sz w:val="26"/>
          <w:szCs w:val="26"/>
          <w:lang w:val="uk-UA"/>
        </w:rPr>
      </w:pPr>
      <w:r w:rsidRPr="00C26338">
        <w:rPr>
          <w:rFonts w:eastAsia="Calibri"/>
          <w:b/>
          <w:noProof/>
          <w:sz w:val="26"/>
          <w:szCs w:val="26"/>
        </w:rPr>
        <w:drawing>
          <wp:inline distT="0" distB="0" distL="0" distR="0">
            <wp:extent cx="5512157" cy="28376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2707" w:rsidRPr="006E51E7" w:rsidRDefault="00522707" w:rsidP="006E51E7">
      <w:pPr>
        <w:pStyle w:val="justifyfull"/>
        <w:spacing w:before="0" w:beforeAutospacing="0" w:after="0" w:afterAutospacing="0"/>
        <w:jc w:val="both"/>
        <w:rPr>
          <w:rFonts w:eastAsia="Calibri"/>
          <w:sz w:val="28"/>
          <w:szCs w:val="28"/>
          <w:lang w:val="uk-UA"/>
        </w:rPr>
      </w:pPr>
    </w:p>
    <w:p w:rsidR="001501D9" w:rsidRPr="00FE4705" w:rsidRDefault="001501D9" w:rsidP="00785E4B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FE4705">
        <w:rPr>
          <w:rFonts w:eastAsia="Calibri"/>
          <w:sz w:val="28"/>
          <w:szCs w:val="28"/>
          <w:lang w:val="uk-UA"/>
        </w:rPr>
        <w:t xml:space="preserve">Поточні видатки загального фонду бюджету на утримання установ склали </w:t>
      </w:r>
      <w:r w:rsidR="00785E4B" w:rsidRPr="00FE4705">
        <w:rPr>
          <w:rFonts w:eastAsia="Calibri"/>
          <w:sz w:val="28"/>
          <w:szCs w:val="28"/>
          <w:lang w:val="uk-UA"/>
        </w:rPr>
        <w:t>2 209,6</w:t>
      </w:r>
      <w:r w:rsidR="001C17EE" w:rsidRPr="00FE4705">
        <w:rPr>
          <w:rFonts w:eastAsia="Calibri"/>
          <w:sz w:val="28"/>
          <w:szCs w:val="28"/>
          <w:lang w:val="uk-UA"/>
        </w:rPr>
        <w:t> </w:t>
      </w:r>
      <w:proofErr w:type="spellStart"/>
      <w:r w:rsidR="001C17EE" w:rsidRPr="00FE4705">
        <w:rPr>
          <w:rFonts w:eastAsia="Calibri"/>
          <w:sz w:val="28"/>
          <w:szCs w:val="28"/>
          <w:lang w:val="uk-UA"/>
        </w:rPr>
        <w:t>млн.грн</w:t>
      </w:r>
      <w:proofErr w:type="spellEnd"/>
      <w:r w:rsidR="001C17EE" w:rsidRPr="00FE4705">
        <w:rPr>
          <w:rFonts w:eastAsia="Calibri"/>
          <w:sz w:val="28"/>
          <w:szCs w:val="28"/>
          <w:lang w:val="uk-UA"/>
        </w:rPr>
        <w:t>., з яких найбільшу частку займають витрати на опла</w:t>
      </w:r>
      <w:r w:rsidR="00D85E57" w:rsidRPr="00FE4705">
        <w:rPr>
          <w:rFonts w:eastAsia="Calibri"/>
          <w:sz w:val="28"/>
          <w:szCs w:val="28"/>
          <w:lang w:val="uk-UA"/>
        </w:rPr>
        <w:t>ту праці з нарахуваннями – 1 787,4</w:t>
      </w:r>
      <w:r w:rsidR="001C17EE" w:rsidRPr="00FE4705">
        <w:rPr>
          <w:rFonts w:eastAsia="Calibri"/>
          <w:sz w:val="28"/>
          <w:szCs w:val="28"/>
          <w:lang w:val="uk-UA"/>
        </w:rPr>
        <w:t> </w:t>
      </w:r>
      <w:proofErr w:type="spellStart"/>
      <w:r w:rsidR="001C17EE" w:rsidRPr="00FE4705">
        <w:rPr>
          <w:rFonts w:eastAsia="Calibri"/>
          <w:sz w:val="28"/>
          <w:szCs w:val="28"/>
          <w:lang w:val="uk-UA"/>
        </w:rPr>
        <w:t>млн.грн</w:t>
      </w:r>
      <w:proofErr w:type="spellEnd"/>
      <w:r w:rsidR="001C17EE" w:rsidRPr="00FE4705">
        <w:rPr>
          <w:rFonts w:eastAsia="Calibri"/>
          <w:sz w:val="28"/>
          <w:szCs w:val="28"/>
          <w:lang w:val="uk-UA"/>
        </w:rPr>
        <w:t>. та проведення розрахунків за спожиті комунал</w:t>
      </w:r>
      <w:r w:rsidR="00D85E57" w:rsidRPr="00FE4705">
        <w:rPr>
          <w:rFonts w:eastAsia="Calibri"/>
          <w:sz w:val="28"/>
          <w:szCs w:val="28"/>
          <w:lang w:val="uk-UA"/>
        </w:rPr>
        <w:t>ьні послуги та енергоносії – 184,2</w:t>
      </w:r>
      <w:r w:rsidR="001C17EE" w:rsidRPr="00FE4705">
        <w:rPr>
          <w:rFonts w:eastAsia="Calibri"/>
          <w:sz w:val="28"/>
          <w:szCs w:val="28"/>
          <w:lang w:val="uk-UA"/>
        </w:rPr>
        <w:t> </w:t>
      </w:r>
      <w:proofErr w:type="spellStart"/>
      <w:r w:rsidR="001C17EE" w:rsidRPr="00FE4705">
        <w:rPr>
          <w:rFonts w:eastAsia="Calibri"/>
          <w:sz w:val="28"/>
          <w:szCs w:val="28"/>
          <w:lang w:val="uk-UA"/>
        </w:rPr>
        <w:t>млн.грн</w:t>
      </w:r>
      <w:proofErr w:type="spellEnd"/>
      <w:r w:rsidR="001C17EE" w:rsidRPr="00FE4705">
        <w:rPr>
          <w:rFonts w:eastAsia="Calibri"/>
          <w:sz w:val="28"/>
          <w:szCs w:val="28"/>
          <w:lang w:val="uk-UA"/>
        </w:rPr>
        <w:t>.</w:t>
      </w:r>
    </w:p>
    <w:p w:rsidR="00493E5E" w:rsidRDefault="00493E5E" w:rsidP="001501D9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FE4705">
        <w:rPr>
          <w:rFonts w:eastAsia="Calibri"/>
          <w:sz w:val="28"/>
          <w:szCs w:val="28"/>
          <w:lang w:val="uk-UA"/>
        </w:rPr>
        <w:t>Видатки капітального характеру проведені в сумі</w:t>
      </w:r>
      <w:r w:rsidR="00FE4705" w:rsidRPr="00FE4705">
        <w:rPr>
          <w:rFonts w:eastAsia="Calibri"/>
          <w:sz w:val="28"/>
          <w:szCs w:val="28"/>
          <w:lang w:val="uk-UA"/>
        </w:rPr>
        <w:t xml:space="preserve"> 182,8 </w:t>
      </w:r>
      <w:proofErr w:type="spellStart"/>
      <w:r w:rsidR="00FE4705" w:rsidRPr="00FE4705">
        <w:rPr>
          <w:rFonts w:eastAsia="Calibri"/>
          <w:sz w:val="28"/>
          <w:szCs w:val="28"/>
          <w:lang w:val="uk-UA"/>
        </w:rPr>
        <w:t>мл</w:t>
      </w:r>
      <w:r w:rsidRPr="00FE4705">
        <w:rPr>
          <w:rFonts w:eastAsia="Calibri"/>
          <w:sz w:val="28"/>
          <w:szCs w:val="28"/>
          <w:lang w:val="uk-UA"/>
        </w:rPr>
        <w:t>н.грн</w:t>
      </w:r>
      <w:proofErr w:type="spellEnd"/>
      <w:r w:rsidRPr="00FE4705">
        <w:rPr>
          <w:rFonts w:eastAsia="Calibri"/>
          <w:sz w:val="28"/>
          <w:szCs w:val="28"/>
          <w:lang w:val="uk-UA"/>
        </w:rPr>
        <w:t xml:space="preserve">., з яких за рахунок </w:t>
      </w:r>
      <w:r w:rsidR="002E4050" w:rsidRPr="00FE4705">
        <w:rPr>
          <w:rFonts w:eastAsia="Calibri"/>
          <w:sz w:val="28"/>
          <w:szCs w:val="28"/>
          <w:lang w:val="uk-UA"/>
        </w:rPr>
        <w:t xml:space="preserve">надходжень бюджету розвитку – </w:t>
      </w:r>
      <w:r w:rsidR="00FE4705" w:rsidRPr="00FE4705">
        <w:rPr>
          <w:rFonts w:eastAsia="Calibri"/>
          <w:sz w:val="28"/>
          <w:szCs w:val="28"/>
          <w:lang w:val="uk-UA"/>
        </w:rPr>
        <w:t>156,7</w:t>
      </w:r>
      <w:r w:rsidRPr="00FE4705">
        <w:rPr>
          <w:rFonts w:eastAsia="Calibri"/>
          <w:sz w:val="28"/>
          <w:szCs w:val="28"/>
          <w:lang w:val="uk-UA"/>
        </w:rPr>
        <w:t> </w:t>
      </w:r>
      <w:proofErr w:type="spellStart"/>
      <w:r w:rsidRPr="00FE4705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FE4705">
        <w:rPr>
          <w:rFonts w:eastAsia="Calibri"/>
          <w:sz w:val="28"/>
          <w:szCs w:val="28"/>
          <w:lang w:val="uk-UA"/>
        </w:rPr>
        <w:t xml:space="preserve">., що становить </w:t>
      </w:r>
      <w:r w:rsidR="00FE4705" w:rsidRPr="00FE4705">
        <w:rPr>
          <w:rFonts w:eastAsia="Calibri"/>
          <w:sz w:val="28"/>
          <w:szCs w:val="28"/>
          <w:lang w:val="uk-UA"/>
        </w:rPr>
        <w:t>58</w:t>
      </w:r>
      <w:r w:rsidRPr="00FE4705">
        <w:rPr>
          <w:rFonts w:eastAsia="Calibri"/>
          <w:sz w:val="28"/>
          <w:szCs w:val="28"/>
          <w:lang w:val="uk-UA"/>
        </w:rPr>
        <w:t>,7% планових показників.</w:t>
      </w:r>
    </w:p>
    <w:p w:rsidR="00EB4C40" w:rsidRPr="00A8763B" w:rsidRDefault="001501D9" w:rsidP="00EB4C40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За звітний період по лікарнях міста з</w:t>
      </w:r>
      <w:r w:rsidRPr="00A8763B">
        <w:rPr>
          <w:rFonts w:eastAsia="Calibri"/>
          <w:sz w:val="28"/>
          <w:szCs w:val="28"/>
          <w:lang w:val="uk-UA"/>
        </w:rPr>
        <w:t>а програмою «Доступні ліки» відшкодовано вартість лікарських засобів для осіб, що страждають на серцево-судинні захворювання, цукровий діабет II типу, брон</w:t>
      </w:r>
      <w:r w:rsidR="002E4050">
        <w:rPr>
          <w:rFonts w:eastAsia="Calibri"/>
          <w:sz w:val="28"/>
          <w:szCs w:val="28"/>
          <w:lang w:val="uk-UA"/>
        </w:rPr>
        <w:t>хіальну астму на загальну суму 6</w:t>
      </w:r>
      <w:r w:rsidRPr="00A8763B">
        <w:rPr>
          <w:rFonts w:eastAsia="Calibri"/>
          <w:sz w:val="28"/>
          <w:szCs w:val="28"/>
          <w:lang w:val="uk-UA"/>
        </w:rPr>
        <w:t xml:space="preserve">,5 </w:t>
      </w:r>
      <w:proofErr w:type="spellStart"/>
      <w:r w:rsidRPr="00A8763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A8763B">
        <w:rPr>
          <w:rFonts w:eastAsia="Calibri"/>
          <w:sz w:val="28"/>
          <w:szCs w:val="28"/>
          <w:lang w:val="uk-UA"/>
        </w:rPr>
        <w:t>.</w:t>
      </w:r>
      <w:r w:rsidRPr="0087538E">
        <w:rPr>
          <w:rFonts w:eastAsia="Calibri"/>
          <w:sz w:val="28"/>
          <w:szCs w:val="28"/>
          <w:lang w:val="uk-UA"/>
        </w:rPr>
        <w:t xml:space="preserve"> </w:t>
      </w:r>
      <w:r w:rsidR="00EB4C40" w:rsidRPr="007643A1">
        <w:rPr>
          <w:rFonts w:eastAsia="Calibri"/>
          <w:sz w:val="28"/>
          <w:szCs w:val="28"/>
          <w:lang w:val="uk-UA"/>
        </w:rPr>
        <w:t xml:space="preserve">(понад 156,8 тис. рецептів). У стоматологічних поліклініках міста зубопротезуванням на пільгових умовах охоплено 856 осіб пільгових </w:t>
      </w:r>
      <w:r w:rsidR="00EB4C40" w:rsidRPr="007643A1">
        <w:rPr>
          <w:rFonts w:eastAsia="Calibri"/>
          <w:sz w:val="28"/>
          <w:szCs w:val="28"/>
          <w:lang w:val="uk-UA"/>
        </w:rPr>
        <w:lastRenderedPageBreak/>
        <w:t xml:space="preserve">категорій (інваліди війни, учасники бойових дій та ін.), фактичні видатки за напрямком становили 1,9 </w:t>
      </w:r>
      <w:proofErr w:type="spellStart"/>
      <w:r w:rsidR="00EB4C40" w:rsidRPr="007643A1">
        <w:rPr>
          <w:rFonts w:eastAsia="Calibri"/>
          <w:sz w:val="28"/>
          <w:szCs w:val="28"/>
          <w:lang w:val="uk-UA"/>
        </w:rPr>
        <w:t>млн.грн</w:t>
      </w:r>
      <w:proofErr w:type="spellEnd"/>
      <w:r w:rsidR="00EB4C40" w:rsidRPr="007643A1">
        <w:rPr>
          <w:rFonts w:eastAsia="Calibri"/>
          <w:sz w:val="28"/>
          <w:szCs w:val="28"/>
          <w:lang w:val="uk-UA"/>
        </w:rPr>
        <w:t>.</w:t>
      </w:r>
    </w:p>
    <w:p w:rsidR="00EB4C40" w:rsidRPr="002E4050" w:rsidRDefault="00EB4C40" w:rsidP="00EB4C40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highlight w:val="yellow"/>
          <w:lang w:val="uk-UA"/>
        </w:rPr>
      </w:pPr>
      <w:r>
        <w:rPr>
          <w:rFonts w:eastAsia="Calibri"/>
          <w:sz w:val="28"/>
          <w:szCs w:val="28"/>
          <w:lang w:val="uk-UA"/>
        </w:rPr>
        <w:t>По галузі «Охорона здоров’я» видатки бюджету розвитку склали 88,5 </w:t>
      </w:r>
      <w:proofErr w:type="spellStart"/>
      <w:r>
        <w:rPr>
          <w:rFonts w:eastAsia="Calibri"/>
          <w:sz w:val="28"/>
          <w:szCs w:val="28"/>
          <w:lang w:val="uk-UA"/>
        </w:rPr>
        <w:t>млн.грн</w:t>
      </w:r>
      <w:proofErr w:type="spellEnd"/>
      <w:r>
        <w:rPr>
          <w:rFonts w:eastAsia="Calibri"/>
          <w:sz w:val="28"/>
          <w:szCs w:val="28"/>
          <w:lang w:val="uk-UA"/>
        </w:rPr>
        <w:t xml:space="preserve">. </w:t>
      </w:r>
      <w:r w:rsidRPr="007643A1">
        <w:rPr>
          <w:rFonts w:eastAsia="Calibri"/>
          <w:sz w:val="28"/>
          <w:szCs w:val="28"/>
          <w:lang w:val="uk-UA"/>
        </w:rPr>
        <w:t>За рахунок цих коштів для лікувально-профілактичних закладів придбано медичного обладнання на загальну суму 64,1 </w:t>
      </w:r>
      <w:proofErr w:type="spellStart"/>
      <w:r w:rsidRPr="007643A1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E16F9D">
        <w:rPr>
          <w:rFonts w:eastAsia="Calibri"/>
          <w:sz w:val="28"/>
          <w:szCs w:val="28"/>
          <w:lang w:val="uk-UA"/>
        </w:rPr>
        <w:t xml:space="preserve">., в тому числі 3 </w:t>
      </w:r>
      <w:proofErr w:type="spellStart"/>
      <w:r w:rsidRPr="00E16F9D">
        <w:rPr>
          <w:rFonts w:eastAsia="Calibri"/>
          <w:sz w:val="28"/>
          <w:szCs w:val="28"/>
          <w:lang w:val="uk-UA"/>
        </w:rPr>
        <w:t>бронхофіброскопи</w:t>
      </w:r>
      <w:proofErr w:type="spellEnd"/>
      <w:r w:rsidRPr="00E16F9D">
        <w:rPr>
          <w:rFonts w:eastAsia="Calibri"/>
          <w:sz w:val="28"/>
          <w:szCs w:val="28"/>
          <w:lang w:val="uk-UA"/>
        </w:rPr>
        <w:t xml:space="preserve"> для лікарень, 2</w:t>
      </w:r>
      <w:r w:rsidRPr="007643A1">
        <w:rPr>
          <w:rFonts w:eastAsia="Calibri"/>
          <w:sz w:val="28"/>
          <w:szCs w:val="28"/>
          <w:lang w:val="uk-UA"/>
        </w:rPr>
        <w:t xml:space="preserve"> апарати цифрового УЗД та систему комп’ютерної радіографії для </w:t>
      </w:r>
      <w:proofErr w:type="spellStart"/>
      <w:r w:rsidRPr="007643A1">
        <w:rPr>
          <w:rFonts w:eastAsia="Calibri"/>
          <w:sz w:val="28"/>
          <w:szCs w:val="28"/>
          <w:lang w:val="uk-UA"/>
        </w:rPr>
        <w:t>мамографії</w:t>
      </w:r>
      <w:proofErr w:type="spellEnd"/>
      <w:r w:rsidRPr="007643A1">
        <w:rPr>
          <w:rFonts w:eastAsia="Calibri"/>
          <w:sz w:val="28"/>
          <w:szCs w:val="28"/>
          <w:lang w:val="uk-UA"/>
        </w:rPr>
        <w:t xml:space="preserve"> в пологові будинки</w:t>
      </w:r>
      <w:r w:rsidRPr="00E16F9D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>43</w:t>
      </w:r>
      <w:r w:rsidRPr="00E16F9D">
        <w:rPr>
          <w:rFonts w:eastAsia="Calibri"/>
          <w:sz w:val="28"/>
          <w:szCs w:val="28"/>
          <w:lang w:val="uk-UA"/>
        </w:rPr>
        <w:t xml:space="preserve"> апарат</w:t>
      </w:r>
      <w:r>
        <w:rPr>
          <w:rFonts w:eastAsia="Calibri"/>
          <w:sz w:val="28"/>
          <w:szCs w:val="28"/>
          <w:lang w:val="uk-UA"/>
        </w:rPr>
        <w:t>и</w:t>
      </w:r>
      <w:r w:rsidRPr="00E16F9D">
        <w:rPr>
          <w:rFonts w:eastAsia="Calibri"/>
          <w:sz w:val="28"/>
          <w:szCs w:val="28"/>
          <w:lang w:val="uk-UA"/>
        </w:rPr>
        <w:t xml:space="preserve"> штучної вентиляції легенів</w:t>
      </w:r>
      <w:r>
        <w:rPr>
          <w:rFonts w:eastAsia="Calibri"/>
          <w:sz w:val="28"/>
          <w:szCs w:val="28"/>
          <w:lang w:val="uk-UA"/>
        </w:rPr>
        <w:t>, 5 рентгенівських комплекси, 18 дефібриляторів-моніторів</w:t>
      </w:r>
      <w:r>
        <w:rPr>
          <w:rFonts w:eastAsia="Calibri"/>
          <w:lang w:val="uk-UA"/>
        </w:rPr>
        <w:t> та інше.</w:t>
      </w:r>
    </w:p>
    <w:p w:rsidR="00C07865" w:rsidRDefault="00EB4C40" w:rsidP="00646A7F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531023">
        <w:rPr>
          <w:rFonts w:eastAsia="Calibri"/>
          <w:sz w:val="28"/>
          <w:szCs w:val="28"/>
          <w:lang w:val="uk-UA"/>
        </w:rPr>
        <w:t xml:space="preserve">Тривали роботи з капітального ремонту у 10-ти лікувально-профілактичних закладах. Виконано ремонт зовнішньої траси тепловодопостачання </w:t>
      </w:r>
      <w:proofErr w:type="spellStart"/>
      <w:r w:rsidRPr="00531023">
        <w:rPr>
          <w:rFonts w:eastAsia="Calibri"/>
          <w:sz w:val="28"/>
          <w:szCs w:val="28"/>
          <w:lang w:val="uk-UA"/>
        </w:rPr>
        <w:t>КУ</w:t>
      </w:r>
      <w:proofErr w:type="spellEnd"/>
      <w:r w:rsidRPr="00531023">
        <w:rPr>
          <w:rFonts w:eastAsia="Calibri"/>
          <w:sz w:val="28"/>
          <w:szCs w:val="28"/>
          <w:lang w:val="uk-UA"/>
        </w:rPr>
        <w:t xml:space="preserve"> «Центральна клінічна лікарня №4 Заводського району», ремонт системи </w:t>
      </w:r>
      <w:proofErr w:type="spellStart"/>
      <w:r w:rsidRPr="00531023">
        <w:rPr>
          <w:rFonts w:eastAsia="Calibri"/>
          <w:sz w:val="28"/>
          <w:szCs w:val="28"/>
          <w:lang w:val="uk-UA"/>
        </w:rPr>
        <w:t>водозабезпечення</w:t>
      </w:r>
      <w:proofErr w:type="spellEnd"/>
      <w:r w:rsidRPr="00531023">
        <w:rPr>
          <w:rFonts w:eastAsia="Calibri"/>
          <w:sz w:val="28"/>
          <w:szCs w:val="28"/>
          <w:lang w:val="uk-UA"/>
        </w:rPr>
        <w:t xml:space="preserve"> та водовідведення хірургічного корпусу </w:t>
      </w:r>
      <w:proofErr w:type="spellStart"/>
      <w:r w:rsidRPr="00531023">
        <w:rPr>
          <w:rFonts w:eastAsia="Calibri"/>
          <w:sz w:val="28"/>
          <w:szCs w:val="28"/>
          <w:lang w:val="uk-UA"/>
        </w:rPr>
        <w:t>КУ«Міська</w:t>
      </w:r>
      <w:proofErr w:type="spellEnd"/>
      <w:r w:rsidRPr="00531023">
        <w:rPr>
          <w:rFonts w:eastAsia="Calibri"/>
          <w:sz w:val="28"/>
          <w:szCs w:val="28"/>
          <w:lang w:val="uk-UA"/>
        </w:rPr>
        <w:t xml:space="preserve"> клінічна лікарня екстреної та швидкої медичної допомоги </w:t>
      </w:r>
      <w:proofErr w:type="spellStart"/>
      <w:r w:rsidRPr="00531023">
        <w:rPr>
          <w:rFonts w:eastAsia="Calibri"/>
          <w:sz w:val="28"/>
          <w:szCs w:val="28"/>
          <w:lang w:val="uk-UA"/>
        </w:rPr>
        <w:t>м.Запоріжжя</w:t>
      </w:r>
      <w:proofErr w:type="spellEnd"/>
      <w:r w:rsidRPr="00531023">
        <w:rPr>
          <w:rFonts w:eastAsia="Calibri"/>
          <w:sz w:val="28"/>
          <w:szCs w:val="28"/>
          <w:lang w:val="uk-UA"/>
        </w:rPr>
        <w:t xml:space="preserve">», ремонт покрівлі хірургічного корпусу </w:t>
      </w:r>
      <w:proofErr w:type="spellStart"/>
      <w:r w:rsidRPr="00531023">
        <w:rPr>
          <w:rFonts w:eastAsia="Calibri"/>
          <w:sz w:val="28"/>
          <w:szCs w:val="28"/>
          <w:lang w:val="uk-UA"/>
        </w:rPr>
        <w:t>КУ</w:t>
      </w:r>
      <w:proofErr w:type="spellEnd"/>
      <w:r w:rsidRPr="00531023">
        <w:rPr>
          <w:rFonts w:eastAsia="Calibri"/>
          <w:sz w:val="28"/>
          <w:szCs w:val="28"/>
          <w:lang w:val="uk-UA"/>
        </w:rPr>
        <w:t xml:space="preserve"> «Запорізька міська багатопрофільна клінічна лікарня №9», ремонт приміщення амбулаторії №5 </w:t>
      </w:r>
      <w:proofErr w:type="spellStart"/>
      <w:r w:rsidRPr="00531023">
        <w:rPr>
          <w:rFonts w:eastAsia="Calibri"/>
          <w:sz w:val="28"/>
          <w:szCs w:val="28"/>
          <w:lang w:val="uk-UA"/>
        </w:rPr>
        <w:t>КЗ</w:t>
      </w:r>
      <w:proofErr w:type="spellEnd"/>
      <w:r w:rsidRPr="00531023">
        <w:rPr>
          <w:rFonts w:eastAsia="Calibri"/>
          <w:sz w:val="28"/>
          <w:szCs w:val="28"/>
          <w:lang w:val="uk-UA"/>
        </w:rPr>
        <w:t xml:space="preserve"> «Центр первинної медико-санітарної допомоги №4», капітально відремонтовані ліфти в</w:t>
      </w:r>
      <w:r w:rsidR="00C07865">
        <w:rPr>
          <w:rFonts w:eastAsia="Calibri"/>
          <w:sz w:val="28"/>
          <w:szCs w:val="28"/>
          <w:lang w:val="uk-UA"/>
        </w:rPr>
        <w:t xml:space="preserve"> 3-х закладах охорони здоров’я.</w:t>
      </w:r>
    </w:p>
    <w:p w:rsidR="00646A7F" w:rsidRPr="00531023" w:rsidRDefault="00EB4C40" w:rsidP="00646A7F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531023">
        <w:rPr>
          <w:rFonts w:eastAsia="Calibri"/>
          <w:sz w:val="28"/>
          <w:szCs w:val="28"/>
          <w:lang w:val="uk-UA"/>
        </w:rPr>
        <w:t xml:space="preserve">В рамках цільової програми «Вікна» здійснено заміну вікон в </w:t>
      </w:r>
      <w:proofErr w:type="spellStart"/>
      <w:r w:rsidRPr="00531023">
        <w:rPr>
          <w:rFonts w:eastAsia="Calibri"/>
          <w:sz w:val="28"/>
          <w:szCs w:val="28"/>
          <w:lang w:val="uk-UA"/>
        </w:rPr>
        <w:t>КУ</w:t>
      </w:r>
      <w:proofErr w:type="spellEnd"/>
      <w:r w:rsidRPr="00531023">
        <w:rPr>
          <w:rFonts w:eastAsia="Calibri"/>
          <w:sz w:val="28"/>
          <w:szCs w:val="28"/>
          <w:lang w:val="uk-UA"/>
        </w:rPr>
        <w:t xml:space="preserve"> "Запорізька міська багатопрофільна дитяча лікарня №5", </w:t>
      </w:r>
      <w:proofErr w:type="spellStart"/>
      <w:r w:rsidRPr="00531023">
        <w:rPr>
          <w:rFonts w:eastAsia="Calibri"/>
          <w:sz w:val="28"/>
          <w:szCs w:val="28"/>
          <w:lang w:val="uk-UA"/>
        </w:rPr>
        <w:t>КУ</w:t>
      </w:r>
      <w:proofErr w:type="spellEnd"/>
      <w:r w:rsidRPr="00531023">
        <w:rPr>
          <w:rFonts w:eastAsia="Calibri"/>
          <w:sz w:val="28"/>
          <w:szCs w:val="28"/>
          <w:lang w:val="uk-UA"/>
        </w:rPr>
        <w:t xml:space="preserve"> "Міська клінічна лікарня №2", </w:t>
      </w:r>
      <w:proofErr w:type="spellStart"/>
      <w:r w:rsidRPr="00531023">
        <w:rPr>
          <w:rFonts w:eastAsia="Calibri"/>
          <w:sz w:val="28"/>
          <w:szCs w:val="28"/>
          <w:lang w:val="uk-UA"/>
        </w:rPr>
        <w:t>КЗ</w:t>
      </w:r>
      <w:proofErr w:type="spellEnd"/>
      <w:r w:rsidRPr="00531023">
        <w:rPr>
          <w:rFonts w:eastAsia="Calibri"/>
          <w:sz w:val="28"/>
          <w:szCs w:val="28"/>
          <w:lang w:val="uk-UA"/>
        </w:rPr>
        <w:t xml:space="preserve"> "Міська клінічна лікарня №3" та </w:t>
      </w:r>
      <w:proofErr w:type="spellStart"/>
      <w:r w:rsidRPr="00531023">
        <w:rPr>
          <w:rFonts w:eastAsia="Calibri"/>
          <w:sz w:val="28"/>
          <w:szCs w:val="28"/>
          <w:lang w:val="uk-UA"/>
        </w:rPr>
        <w:t>КЗ</w:t>
      </w:r>
      <w:proofErr w:type="spellEnd"/>
      <w:r w:rsidRPr="00531023">
        <w:rPr>
          <w:rFonts w:eastAsia="Calibri"/>
          <w:sz w:val="28"/>
          <w:szCs w:val="28"/>
          <w:lang w:val="uk-UA"/>
        </w:rPr>
        <w:t xml:space="preserve"> "Центр первинної медико-санітарної допомоги №6". Також завершені роботи з реконструкції </w:t>
      </w:r>
      <w:proofErr w:type="spellStart"/>
      <w:r w:rsidRPr="00531023">
        <w:rPr>
          <w:rFonts w:eastAsia="Calibri"/>
          <w:sz w:val="28"/>
          <w:szCs w:val="28"/>
          <w:lang w:val="uk-UA"/>
        </w:rPr>
        <w:t>КУ</w:t>
      </w:r>
      <w:proofErr w:type="spellEnd"/>
      <w:r w:rsidRPr="00531023">
        <w:rPr>
          <w:rFonts w:eastAsia="Calibri"/>
          <w:sz w:val="28"/>
          <w:szCs w:val="28"/>
          <w:lang w:val="uk-UA"/>
        </w:rPr>
        <w:t xml:space="preserve"> «Центральна лікарня </w:t>
      </w:r>
      <w:proofErr w:type="spellStart"/>
      <w:r w:rsidRPr="00531023">
        <w:rPr>
          <w:rFonts w:eastAsia="Calibri"/>
          <w:sz w:val="28"/>
          <w:szCs w:val="28"/>
          <w:lang w:val="uk-UA"/>
        </w:rPr>
        <w:t>Орджонікідзевського</w:t>
      </w:r>
      <w:proofErr w:type="spellEnd"/>
      <w:r w:rsidRPr="00531023">
        <w:rPr>
          <w:rFonts w:eastAsia="Calibri"/>
          <w:sz w:val="28"/>
          <w:szCs w:val="28"/>
          <w:lang w:val="uk-UA"/>
        </w:rPr>
        <w:t xml:space="preserve"> району" під </w:t>
      </w:r>
      <w:proofErr w:type="spellStart"/>
      <w:r w:rsidRPr="00531023">
        <w:rPr>
          <w:rFonts w:eastAsia="Calibri"/>
          <w:sz w:val="28"/>
          <w:szCs w:val="28"/>
          <w:lang w:val="uk-UA"/>
        </w:rPr>
        <w:t>гемодіалізний</w:t>
      </w:r>
      <w:proofErr w:type="spellEnd"/>
      <w:r w:rsidRPr="00531023">
        <w:rPr>
          <w:rFonts w:eastAsia="Calibri"/>
          <w:sz w:val="28"/>
          <w:szCs w:val="28"/>
          <w:lang w:val="uk-UA"/>
        </w:rPr>
        <w:t xml:space="preserve"> центр та реконструкції відділення очної травми та приймального відділення </w:t>
      </w:r>
      <w:proofErr w:type="spellStart"/>
      <w:r w:rsidRPr="00531023">
        <w:rPr>
          <w:rFonts w:eastAsia="Calibri"/>
          <w:sz w:val="28"/>
          <w:szCs w:val="28"/>
          <w:lang w:val="uk-UA"/>
        </w:rPr>
        <w:t>КЗ</w:t>
      </w:r>
      <w:proofErr w:type="spellEnd"/>
      <w:r w:rsidRPr="00531023">
        <w:rPr>
          <w:rFonts w:eastAsia="Calibri"/>
          <w:sz w:val="28"/>
          <w:szCs w:val="28"/>
          <w:lang w:val="uk-UA"/>
        </w:rPr>
        <w:t xml:space="preserve"> «Міська клінічна лікарня №3».</w:t>
      </w:r>
    </w:p>
    <w:p w:rsidR="00C07865" w:rsidRDefault="00646A7F" w:rsidP="00646A7F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531023">
        <w:rPr>
          <w:rFonts w:eastAsia="Calibri"/>
          <w:sz w:val="28"/>
          <w:szCs w:val="28"/>
          <w:lang w:val="uk-UA"/>
        </w:rPr>
        <w:t xml:space="preserve">З метою підготовки закладів освіти до нового навчального року та в зв’язку з розширенням мережі проведені поточні ремонти в </w:t>
      </w:r>
      <w:r w:rsidR="00C07865">
        <w:rPr>
          <w:rFonts w:eastAsia="Calibri"/>
          <w:sz w:val="28"/>
          <w:szCs w:val="28"/>
          <w:lang w:val="uk-UA"/>
        </w:rPr>
        <w:t>58-х навчальних закладах міста.</w:t>
      </w:r>
    </w:p>
    <w:p w:rsidR="00646A7F" w:rsidRPr="00531023" w:rsidRDefault="00646A7F" w:rsidP="00646A7F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531023">
        <w:rPr>
          <w:rFonts w:eastAsia="Calibri"/>
          <w:sz w:val="28"/>
          <w:szCs w:val="28"/>
          <w:lang w:val="uk-UA"/>
        </w:rPr>
        <w:t xml:space="preserve">В рамках цільової програми "Вікна" здійснено заміну 1177 старих вікон на нові енергозберігаючі в 65-ти загальноосвітніх школах та 55-ти дошкільних навчальних закладах на загальну суму 7,1 </w:t>
      </w:r>
      <w:proofErr w:type="spellStart"/>
      <w:r w:rsidRPr="00531023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531023">
        <w:rPr>
          <w:rFonts w:eastAsia="Calibri"/>
          <w:sz w:val="28"/>
          <w:szCs w:val="28"/>
          <w:lang w:val="uk-UA"/>
        </w:rPr>
        <w:t>.</w:t>
      </w:r>
    </w:p>
    <w:p w:rsidR="00646A7F" w:rsidRDefault="001C17EE" w:rsidP="00646A7F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7"/>
          <w:szCs w:val="27"/>
          <w:lang w:val="uk-UA"/>
        </w:rPr>
      </w:pPr>
      <w:r w:rsidRPr="00270A1C">
        <w:rPr>
          <w:rFonts w:eastAsia="Calibri"/>
          <w:sz w:val="27"/>
          <w:szCs w:val="27"/>
          <w:lang w:val="uk-UA"/>
        </w:rPr>
        <w:t xml:space="preserve">На розвиток освітньої </w:t>
      </w:r>
      <w:r w:rsidR="00612A5A" w:rsidRPr="00270A1C">
        <w:rPr>
          <w:rFonts w:eastAsia="Calibri"/>
          <w:sz w:val="27"/>
          <w:szCs w:val="27"/>
          <w:lang w:val="uk-UA"/>
        </w:rPr>
        <w:t xml:space="preserve">галузі </w:t>
      </w:r>
      <w:r w:rsidRPr="00270A1C">
        <w:rPr>
          <w:rFonts w:eastAsia="Calibri"/>
          <w:sz w:val="27"/>
          <w:szCs w:val="27"/>
          <w:lang w:val="uk-UA"/>
        </w:rPr>
        <w:t>з бюджету розвитку витрачено</w:t>
      </w:r>
      <w:r w:rsidR="002E4050">
        <w:rPr>
          <w:rFonts w:eastAsia="Calibri"/>
          <w:sz w:val="27"/>
          <w:szCs w:val="27"/>
          <w:lang w:val="uk-UA"/>
        </w:rPr>
        <w:t xml:space="preserve"> 60</w:t>
      </w:r>
      <w:r w:rsidR="00612A5A" w:rsidRPr="00270A1C">
        <w:rPr>
          <w:rFonts w:eastAsia="Calibri"/>
          <w:sz w:val="27"/>
          <w:szCs w:val="27"/>
          <w:lang w:val="uk-UA"/>
        </w:rPr>
        <w:t>,</w:t>
      </w:r>
      <w:r w:rsidR="002E4050">
        <w:rPr>
          <w:rFonts w:eastAsia="Calibri"/>
          <w:sz w:val="27"/>
          <w:szCs w:val="27"/>
          <w:lang w:val="uk-UA"/>
        </w:rPr>
        <w:t>8</w:t>
      </w:r>
      <w:r w:rsidR="00612A5A" w:rsidRPr="00270A1C">
        <w:rPr>
          <w:rFonts w:eastAsia="Calibri"/>
          <w:sz w:val="27"/>
          <w:szCs w:val="27"/>
          <w:lang w:val="uk-UA"/>
        </w:rPr>
        <w:t xml:space="preserve"> </w:t>
      </w:r>
      <w:proofErr w:type="spellStart"/>
      <w:r w:rsidR="00612A5A" w:rsidRPr="00270A1C">
        <w:rPr>
          <w:rFonts w:eastAsia="Calibri"/>
          <w:sz w:val="27"/>
          <w:szCs w:val="27"/>
          <w:lang w:val="uk-UA"/>
        </w:rPr>
        <w:t>млн.грн</w:t>
      </w:r>
      <w:proofErr w:type="spellEnd"/>
      <w:r w:rsidR="00612A5A" w:rsidRPr="00270A1C">
        <w:rPr>
          <w:rFonts w:eastAsia="Calibri"/>
          <w:sz w:val="27"/>
          <w:szCs w:val="27"/>
          <w:lang w:val="uk-UA"/>
        </w:rPr>
        <w:t xml:space="preserve">., в тому числі </w:t>
      </w:r>
      <w:r w:rsidR="00C86B19" w:rsidRPr="00270A1C">
        <w:rPr>
          <w:rFonts w:eastAsia="Calibri"/>
          <w:sz w:val="27"/>
          <w:szCs w:val="27"/>
          <w:lang w:val="uk-UA"/>
        </w:rPr>
        <w:t xml:space="preserve">на придбання обладнання та предметів довгострокового користування – </w:t>
      </w:r>
      <w:r w:rsidR="002E4050">
        <w:rPr>
          <w:rFonts w:eastAsia="Calibri"/>
          <w:sz w:val="27"/>
          <w:szCs w:val="27"/>
          <w:lang w:val="uk-UA"/>
        </w:rPr>
        <w:t>10</w:t>
      </w:r>
      <w:r w:rsidR="00C86B19" w:rsidRPr="00270A1C">
        <w:rPr>
          <w:rFonts w:eastAsia="Calibri"/>
          <w:sz w:val="27"/>
          <w:szCs w:val="27"/>
          <w:lang w:val="uk-UA"/>
        </w:rPr>
        <w:t>,0 </w:t>
      </w:r>
      <w:proofErr w:type="spellStart"/>
      <w:r w:rsidR="00C86B19" w:rsidRPr="00270A1C">
        <w:rPr>
          <w:rFonts w:eastAsia="Calibri"/>
          <w:sz w:val="27"/>
          <w:szCs w:val="27"/>
          <w:lang w:val="uk-UA"/>
        </w:rPr>
        <w:t>млн.грн</w:t>
      </w:r>
      <w:proofErr w:type="spellEnd"/>
      <w:r w:rsidR="00C86B19" w:rsidRPr="00270A1C">
        <w:rPr>
          <w:rFonts w:eastAsia="Calibri"/>
          <w:sz w:val="27"/>
          <w:szCs w:val="27"/>
          <w:lang w:val="uk-UA"/>
        </w:rPr>
        <w:t xml:space="preserve">., капітальні ремонти – </w:t>
      </w:r>
      <w:r w:rsidR="002E4050">
        <w:rPr>
          <w:rFonts w:eastAsia="Calibri"/>
          <w:sz w:val="27"/>
          <w:szCs w:val="27"/>
          <w:lang w:val="uk-UA"/>
        </w:rPr>
        <w:t>8</w:t>
      </w:r>
      <w:r w:rsidR="00C86B19" w:rsidRPr="00270A1C">
        <w:rPr>
          <w:rFonts w:eastAsia="Calibri"/>
          <w:sz w:val="27"/>
          <w:szCs w:val="27"/>
          <w:lang w:val="uk-UA"/>
        </w:rPr>
        <w:t>,</w:t>
      </w:r>
      <w:r w:rsidR="002E4050">
        <w:rPr>
          <w:rFonts w:eastAsia="Calibri"/>
          <w:sz w:val="27"/>
          <w:szCs w:val="27"/>
          <w:lang w:val="uk-UA"/>
        </w:rPr>
        <w:t>7</w:t>
      </w:r>
      <w:r w:rsidR="00C86B19" w:rsidRPr="00270A1C">
        <w:rPr>
          <w:rFonts w:eastAsia="Calibri"/>
          <w:sz w:val="27"/>
          <w:szCs w:val="27"/>
          <w:lang w:val="uk-UA"/>
        </w:rPr>
        <w:t> </w:t>
      </w:r>
      <w:proofErr w:type="spellStart"/>
      <w:r w:rsidR="00C86B19" w:rsidRPr="00270A1C">
        <w:rPr>
          <w:rFonts w:eastAsia="Calibri"/>
          <w:sz w:val="27"/>
          <w:szCs w:val="27"/>
          <w:lang w:val="uk-UA"/>
        </w:rPr>
        <w:t>млн.грн</w:t>
      </w:r>
      <w:proofErr w:type="spellEnd"/>
      <w:r w:rsidR="00C86B19" w:rsidRPr="00270A1C">
        <w:rPr>
          <w:rFonts w:eastAsia="Calibri"/>
          <w:sz w:val="27"/>
          <w:szCs w:val="27"/>
          <w:lang w:val="uk-UA"/>
        </w:rPr>
        <w:t xml:space="preserve">., </w:t>
      </w:r>
      <w:r w:rsidR="00612A5A" w:rsidRPr="00270A1C">
        <w:rPr>
          <w:rFonts w:eastAsia="Calibri"/>
          <w:sz w:val="27"/>
          <w:szCs w:val="27"/>
          <w:lang w:val="uk-UA"/>
        </w:rPr>
        <w:t>будівництво і реконструкці</w:t>
      </w:r>
      <w:r w:rsidR="00C86B19" w:rsidRPr="00270A1C">
        <w:rPr>
          <w:rFonts w:eastAsia="Calibri"/>
          <w:sz w:val="27"/>
          <w:szCs w:val="27"/>
          <w:lang w:val="uk-UA"/>
        </w:rPr>
        <w:t>ю</w:t>
      </w:r>
      <w:r w:rsidR="002E4050">
        <w:rPr>
          <w:rFonts w:eastAsia="Calibri"/>
          <w:sz w:val="27"/>
          <w:szCs w:val="27"/>
          <w:lang w:val="uk-UA"/>
        </w:rPr>
        <w:t xml:space="preserve"> – 42</w:t>
      </w:r>
      <w:r w:rsidR="00612A5A" w:rsidRPr="00270A1C">
        <w:rPr>
          <w:rFonts w:eastAsia="Calibri"/>
          <w:sz w:val="27"/>
          <w:szCs w:val="27"/>
          <w:lang w:val="uk-UA"/>
        </w:rPr>
        <w:t>,</w:t>
      </w:r>
      <w:r w:rsidR="002E4050">
        <w:rPr>
          <w:rFonts w:eastAsia="Calibri"/>
          <w:sz w:val="27"/>
          <w:szCs w:val="27"/>
          <w:lang w:val="uk-UA"/>
        </w:rPr>
        <w:t>2</w:t>
      </w:r>
      <w:r w:rsidR="00612A5A" w:rsidRPr="00270A1C">
        <w:rPr>
          <w:rFonts w:eastAsia="Calibri"/>
          <w:sz w:val="27"/>
          <w:szCs w:val="27"/>
          <w:lang w:val="uk-UA"/>
        </w:rPr>
        <w:t xml:space="preserve"> </w:t>
      </w:r>
      <w:proofErr w:type="spellStart"/>
      <w:r w:rsidR="00612A5A" w:rsidRPr="00270A1C">
        <w:rPr>
          <w:rFonts w:eastAsia="Calibri"/>
          <w:sz w:val="27"/>
          <w:szCs w:val="27"/>
          <w:lang w:val="uk-UA"/>
        </w:rPr>
        <w:t>млн.грн</w:t>
      </w:r>
      <w:proofErr w:type="spellEnd"/>
      <w:r w:rsidR="00612A5A" w:rsidRPr="00270A1C">
        <w:rPr>
          <w:rFonts w:eastAsia="Calibri"/>
          <w:sz w:val="27"/>
          <w:szCs w:val="27"/>
          <w:lang w:val="uk-UA"/>
        </w:rPr>
        <w:t xml:space="preserve">. </w:t>
      </w:r>
      <w:r w:rsidR="00646A7F" w:rsidRPr="003A1792">
        <w:rPr>
          <w:rFonts w:eastAsia="Calibri"/>
          <w:sz w:val="27"/>
          <w:szCs w:val="27"/>
          <w:lang w:val="uk-UA"/>
        </w:rPr>
        <w:t>Придбано 10 одиниць обладнання для відкриття дошкільного навчального закладу №100, 36 одиниць музичної апаратури для 12 закладів позашкільної освіти, встановлено 25 ті</w:t>
      </w:r>
      <w:r w:rsidR="00C07865">
        <w:rPr>
          <w:rFonts w:eastAsia="Calibri"/>
          <w:sz w:val="27"/>
          <w:szCs w:val="27"/>
          <w:lang w:val="uk-UA"/>
        </w:rPr>
        <w:t>ньових навісів</w:t>
      </w:r>
      <w:r w:rsidR="00646A7F" w:rsidRPr="003A1792">
        <w:rPr>
          <w:rFonts w:eastAsia="Calibri"/>
          <w:sz w:val="27"/>
          <w:szCs w:val="27"/>
          <w:lang w:val="uk-UA"/>
        </w:rPr>
        <w:t xml:space="preserve">, </w:t>
      </w:r>
      <w:r w:rsidR="00646A7F" w:rsidRPr="00025AA3">
        <w:rPr>
          <w:rFonts w:eastAsia="Calibri"/>
          <w:sz w:val="27"/>
          <w:szCs w:val="27"/>
          <w:lang w:val="uk-UA"/>
        </w:rPr>
        <w:t>проводились роботи з капітального ремонту в 12-ти дошкільних та 25-ти загальноосвітніх навчальних закладах, з реконструкції на 16-ти об’єктах. Зокрема закінчено будівельні роботи у 3 дошкільних</w:t>
      </w:r>
      <w:r w:rsidR="00957859">
        <w:rPr>
          <w:rFonts w:eastAsia="Calibri"/>
          <w:sz w:val="27"/>
          <w:szCs w:val="27"/>
          <w:lang w:val="uk-UA"/>
        </w:rPr>
        <w:t xml:space="preserve"> (ДНЗ №№ 155, 163, 186)</w:t>
      </w:r>
      <w:r w:rsidR="00646A7F" w:rsidRPr="00025AA3">
        <w:rPr>
          <w:rFonts w:eastAsia="Calibri"/>
          <w:sz w:val="27"/>
          <w:szCs w:val="27"/>
          <w:lang w:val="uk-UA"/>
        </w:rPr>
        <w:t>, 7</w:t>
      </w:r>
      <w:r w:rsidR="00957859">
        <w:rPr>
          <w:rFonts w:eastAsia="Calibri"/>
          <w:sz w:val="27"/>
          <w:szCs w:val="27"/>
          <w:lang w:val="uk-UA"/>
        </w:rPr>
        <w:t> </w:t>
      </w:r>
      <w:r w:rsidR="00646A7F" w:rsidRPr="00025AA3">
        <w:rPr>
          <w:rFonts w:eastAsia="Calibri"/>
          <w:sz w:val="27"/>
          <w:szCs w:val="27"/>
          <w:lang w:val="uk-UA"/>
        </w:rPr>
        <w:t>загальноосвітніх</w:t>
      </w:r>
      <w:r w:rsidR="00957859">
        <w:rPr>
          <w:rFonts w:eastAsia="Calibri"/>
          <w:sz w:val="27"/>
          <w:szCs w:val="27"/>
          <w:lang w:val="uk-UA"/>
        </w:rPr>
        <w:t xml:space="preserve"> (з яких ЗОШ №№ 80, 84, 18, ЗНВК № 19)</w:t>
      </w:r>
      <w:r w:rsidR="00646A7F" w:rsidRPr="00025AA3">
        <w:rPr>
          <w:rFonts w:eastAsia="Calibri"/>
          <w:sz w:val="27"/>
          <w:szCs w:val="27"/>
          <w:lang w:val="uk-UA"/>
        </w:rPr>
        <w:t xml:space="preserve"> та заклад</w:t>
      </w:r>
      <w:r w:rsidR="006B01E9">
        <w:rPr>
          <w:rFonts w:eastAsia="Calibri"/>
          <w:sz w:val="27"/>
          <w:szCs w:val="27"/>
          <w:lang w:val="uk-UA"/>
        </w:rPr>
        <w:t>у</w:t>
      </w:r>
      <w:r w:rsidR="00646A7F" w:rsidRPr="00025AA3">
        <w:rPr>
          <w:rFonts w:eastAsia="Calibri"/>
          <w:sz w:val="27"/>
          <w:szCs w:val="27"/>
          <w:lang w:val="uk-UA"/>
        </w:rPr>
        <w:t xml:space="preserve"> позашкільної освіти</w:t>
      </w:r>
      <w:r w:rsidR="006B01E9">
        <w:rPr>
          <w:rFonts w:eastAsia="Calibri"/>
          <w:sz w:val="27"/>
          <w:szCs w:val="27"/>
          <w:lang w:val="uk-UA"/>
        </w:rPr>
        <w:t xml:space="preserve"> (станція юних техніків)</w:t>
      </w:r>
      <w:r w:rsidR="00646A7F" w:rsidRPr="00025AA3">
        <w:rPr>
          <w:rFonts w:eastAsia="Calibri"/>
          <w:sz w:val="27"/>
          <w:szCs w:val="27"/>
          <w:lang w:val="uk-UA"/>
        </w:rPr>
        <w:t xml:space="preserve">. </w:t>
      </w:r>
      <w:r w:rsidR="006B01E9">
        <w:rPr>
          <w:rFonts w:eastAsia="Calibri"/>
          <w:sz w:val="27"/>
          <w:szCs w:val="27"/>
          <w:lang w:val="uk-UA"/>
        </w:rPr>
        <w:t>Виконані</w:t>
      </w:r>
      <w:r w:rsidR="00646A7F" w:rsidRPr="00025AA3">
        <w:rPr>
          <w:rFonts w:eastAsia="Calibri"/>
          <w:sz w:val="27"/>
          <w:szCs w:val="27"/>
          <w:lang w:val="uk-UA"/>
        </w:rPr>
        <w:t xml:space="preserve"> роботи з реконструкції спортивного майданчика в ЗНЗ №7</w:t>
      </w:r>
      <w:r w:rsidR="006B01E9">
        <w:rPr>
          <w:rFonts w:eastAsia="Calibri"/>
          <w:sz w:val="27"/>
          <w:szCs w:val="27"/>
          <w:lang w:val="uk-UA"/>
        </w:rPr>
        <w:t>, завершуються відповідні роботи по ЗНЗ №№ 71, 69/100</w:t>
      </w:r>
      <w:r w:rsidR="00646A7F" w:rsidRPr="00025AA3">
        <w:rPr>
          <w:rFonts w:eastAsia="Calibri"/>
          <w:sz w:val="27"/>
          <w:szCs w:val="27"/>
          <w:lang w:val="uk-UA"/>
        </w:rPr>
        <w:t>.</w:t>
      </w:r>
    </w:p>
    <w:p w:rsidR="00470E98" w:rsidRDefault="00470E98" w:rsidP="00072177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7"/>
          <w:szCs w:val="27"/>
          <w:lang w:val="uk-UA"/>
        </w:rPr>
      </w:pPr>
      <w:r>
        <w:rPr>
          <w:rFonts w:eastAsia="Calibri"/>
          <w:sz w:val="27"/>
          <w:szCs w:val="27"/>
          <w:lang w:val="uk-UA"/>
        </w:rPr>
        <w:t xml:space="preserve">По галузі «Культура і мистецтво» видатки бюджету розвитку </w:t>
      </w:r>
      <w:r w:rsidR="00072177">
        <w:rPr>
          <w:rFonts w:eastAsia="Calibri"/>
          <w:sz w:val="27"/>
          <w:szCs w:val="27"/>
          <w:lang w:val="uk-UA"/>
        </w:rPr>
        <w:t xml:space="preserve">проведені в сумі 2,6 </w:t>
      </w:r>
      <w:proofErr w:type="spellStart"/>
      <w:r w:rsidR="00072177">
        <w:rPr>
          <w:rFonts w:eastAsia="Calibri"/>
          <w:sz w:val="27"/>
          <w:szCs w:val="27"/>
          <w:lang w:val="uk-UA"/>
        </w:rPr>
        <w:t>млн.грн</w:t>
      </w:r>
      <w:proofErr w:type="spellEnd"/>
      <w:r w:rsidR="00072177">
        <w:rPr>
          <w:rFonts w:eastAsia="Calibri"/>
          <w:sz w:val="27"/>
          <w:szCs w:val="27"/>
          <w:lang w:val="uk-UA"/>
        </w:rPr>
        <w:t>., у тому числі на придбання обладнання та предметів довгострокового користування – 0,1 </w:t>
      </w:r>
      <w:proofErr w:type="spellStart"/>
      <w:r w:rsidR="00072177">
        <w:rPr>
          <w:rFonts w:eastAsia="Calibri"/>
          <w:sz w:val="27"/>
          <w:szCs w:val="27"/>
          <w:lang w:val="uk-UA"/>
        </w:rPr>
        <w:t>млн.грн</w:t>
      </w:r>
      <w:proofErr w:type="spellEnd"/>
      <w:r w:rsidR="00072177">
        <w:rPr>
          <w:rFonts w:eastAsia="Calibri"/>
          <w:sz w:val="27"/>
          <w:szCs w:val="27"/>
          <w:lang w:val="uk-UA"/>
        </w:rPr>
        <w:t>., капітальні ремонти – 2,4 </w:t>
      </w:r>
      <w:proofErr w:type="spellStart"/>
      <w:r w:rsidR="00072177">
        <w:rPr>
          <w:rFonts w:eastAsia="Calibri"/>
          <w:sz w:val="27"/>
          <w:szCs w:val="27"/>
          <w:lang w:val="uk-UA"/>
        </w:rPr>
        <w:t>млн.грн</w:t>
      </w:r>
      <w:proofErr w:type="spellEnd"/>
      <w:r w:rsidR="00072177">
        <w:rPr>
          <w:rFonts w:eastAsia="Calibri"/>
          <w:sz w:val="27"/>
          <w:szCs w:val="27"/>
          <w:lang w:val="uk-UA"/>
        </w:rPr>
        <w:t xml:space="preserve">., реконструкцію – 0,1 </w:t>
      </w:r>
      <w:proofErr w:type="spellStart"/>
      <w:r w:rsidR="00072177">
        <w:rPr>
          <w:rFonts w:eastAsia="Calibri"/>
          <w:sz w:val="27"/>
          <w:szCs w:val="27"/>
          <w:lang w:val="uk-UA"/>
        </w:rPr>
        <w:t>млн.грн</w:t>
      </w:r>
      <w:proofErr w:type="spellEnd"/>
      <w:r w:rsidR="00072177">
        <w:rPr>
          <w:rFonts w:eastAsia="Calibri"/>
          <w:sz w:val="27"/>
          <w:szCs w:val="27"/>
          <w:lang w:val="uk-UA"/>
        </w:rPr>
        <w:t xml:space="preserve">. За рахунок цих коштів проводились роботи з капітального ремонту у 5 закладах культури та з реконструкції будівлі </w:t>
      </w:r>
      <w:r w:rsidR="00072177">
        <w:rPr>
          <w:rFonts w:eastAsia="Calibri"/>
          <w:sz w:val="27"/>
          <w:szCs w:val="27"/>
          <w:lang w:val="uk-UA"/>
        </w:rPr>
        <w:lastRenderedPageBreak/>
        <w:t xml:space="preserve">комунального закладу «Палац культури «Орбіта». Зокрема закінчено будівельні роботи у 3-х закладах (бібліотека-філія №7 ЦБС </w:t>
      </w:r>
      <w:r w:rsidR="006B01E9">
        <w:rPr>
          <w:rFonts w:eastAsia="Calibri"/>
          <w:sz w:val="27"/>
          <w:szCs w:val="27"/>
          <w:lang w:val="uk-UA"/>
        </w:rPr>
        <w:t>для дорослого населення по вул. </w:t>
      </w:r>
      <w:proofErr w:type="spellStart"/>
      <w:r w:rsidR="00072177">
        <w:rPr>
          <w:rFonts w:eastAsia="Calibri"/>
          <w:sz w:val="27"/>
          <w:szCs w:val="27"/>
          <w:lang w:val="uk-UA"/>
        </w:rPr>
        <w:t>Тополіна</w:t>
      </w:r>
      <w:proofErr w:type="spellEnd"/>
      <w:r w:rsidR="00072177">
        <w:rPr>
          <w:rFonts w:eastAsia="Calibri"/>
          <w:sz w:val="27"/>
          <w:szCs w:val="27"/>
          <w:lang w:val="uk-UA"/>
        </w:rPr>
        <w:t xml:space="preserve">, 35, дитяча музична школа №4 по </w:t>
      </w:r>
      <w:proofErr w:type="spellStart"/>
      <w:r w:rsidR="00072177">
        <w:rPr>
          <w:rFonts w:eastAsia="Calibri"/>
          <w:sz w:val="27"/>
          <w:szCs w:val="27"/>
          <w:lang w:val="uk-UA"/>
        </w:rPr>
        <w:t>вул.Павлокічкаська</w:t>
      </w:r>
      <w:proofErr w:type="spellEnd"/>
      <w:r w:rsidR="00072177">
        <w:rPr>
          <w:rFonts w:eastAsia="Calibri"/>
          <w:sz w:val="27"/>
          <w:szCs w:val="27"/>
          <w:lang w:val="uk-UA"/>
        </w:rPr>
        <w:t xml:space="preserve">, 26 та дитяча музична школа №6 по </w:t>
      </w:r>
      <w:proofErr w:type="spellStart"/>
      <w:r w:rsidR="00072177">
        <w:rPr>
          <w:rFonts w:eastAsia="Calibri"/>
          <w:sz w:val="27"/>
          <w:szCs w:val="27"/>
          <w:lang w:val="uk-UA"/>
        </w:rPr>
        <w:t>вул.Омська</w:t>
      </w:r>
      <w:proofErr w:type="spellEnd"/>
      <w:r w:rsidR="00072177">
        <w:rPr>
          <w:rFonts w:eastAsia="Calibri"/>
          <w:sz w:val="27"/>
          <w:szCs w:val="27"/>
          <w:lang w:val="uk-UA"/>
        </w:rPr>
        <w:t xml:space="preserve">, 5а). </w:t>
      </w:r>
    </w:p>
    <w:p w:rsidR="00673798" w:rsidRDefault="00673798" w:rsidP="00673798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7"/>
          <w:szCs w:val="27"/>
          <w:lang w:val="uk-UA"/>
        </w:rPr>
      </w:pPr>
      <w:r>
        <w:rPr>
          <w:rFonts w:eastAsia="Calibri"/>
          <w:sz w:val="27"/>
          <w:szCs w:val="27"/>
          <w:lang w:val="uk-UA"/>
        </w:rPr>
        <w:t>На розвиток фізичної культури та спорту</w:t>
      </w:r>
      <w:r w:rsidRPr="00316394">
        <w:rPr>
          <w:rFonts w:eastAsia="Calibri"/>
          <w:sz w:val="27"/>
          <w:szCs w:val="27"/>
          <w:lang w:val="uk-UA"/>
        </w:rPr>
        <w:t xml:space="preserve"> </w:t>
      </w:r>
      <w:r>
        <w:rPr>
          <w:rFonts w:eastAsia="Calibri"/>
          <w:sz w:val="27"/>
          <w:szCs w:val="27"/>
          <w:lang w:val="uk-UA"/>
        </w:rPr>
        <w:t>з бюджету</w:t>
      </w:r>
      <w:r w:rsidRPr="00316394">
        <w:rPr>
          <w:rFonts w:eastAsia="Calibri"/>
          <w:sz w:val="27"/>
          <w:szCs w:val="27"/>
          <w:lang w:val="uk-UA"/>
        </w:rPr>
        <w:t xml:space="preserve"> розвитку </w:t>
      </w:r>
      <w:r>
        <w:rPr>
          <w:rFonts w:eastAsia="Calibri"/>
          <w:sz w:val="27"/>
          <w:szCs w:val="27"/>
          <w:lang w:val="uk-UA"/>
        </w:rPr>
        <w:t>виділено 3,9</w:t>
      </w:r>
      <w:r w:rsidRPr="00316394">
        <w:rPr>
          <w:rFonts w:eastAsia="Calibri"/>
          <w:sz w:val="27"/>
          <w:szCs w:val="27"/>
          <w:lang w:val="uk-UA"/>
        </w:rPr>
        <w:t> </w:t>
      </w:r>
      <w:proofErr w:type="spellStart"/>
      <w:r w:rsidRPr="00316394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316394">
        <w:rPr>
          <w:rFonts w:eastAsia="Calibri"/>
          <w:sz w:val="27"/>
          <w:szCs w:val="27"/>
          <w:lang w:val="uk-UA"/>
        </w:rPr>
        <w:t xml:space="preserve">, </w:t>
      </w:r>
      <w:r>
        <w:rPr>
          <w:rFonts w:eastAsia="Calibri"/>
          <w:sz w:val="27"/>
          <w:szCs w:val="27"/>
          <w:lang w:val="uk-UA"/>
        </w:rPr>
        <w:t xml:space="preserve">з яких 3,5 </w:t>
      </w:r>
      <w:proofErr w:type="spellStart"/>
      <w:r>
        <w:rPr>
          <w:rFonts w:eastAsia="Calibri"/>
          <w:sz w:val="27"/>
          <w:szCs w:val="27"/>
          <w:lang w:val="uk-UA"/>
        </w:rPr>
        <w:t>млн.грн</w:t>
      </w:r>
      <w:proofErr w:type="spellEnd"/>
      <w:r>
        <w:rPr>
          <w:rFonts w:eastAsia="Calibri"/>
          <w:sz w:val="27"/>
          <w:szCs w:val="27"/>
          <w:lang w:val="uk-UA"/>
        </w:rPr>
        <w:t>. спрямовані</w:t>
      </w:r>
      <w:r w:rsidRPr="00316394">
        <w:rPr>
          <w:rFonts w:eastAsia="Calibri"/>
          <w:sz w:val="27"/>
          <w:szCs w:val="27"/>
          <w:lang w:val="uk-UA"/>
        </w:rPr>
        <w:t xml:space="preserve"> на придбання обладнання та предметів довгострокового користування</w:t>
      </w:r>
      <w:r>
        <w:rPr>
          <w:rFonts w:eastAsia="Calibri"/>
          <w:sz w:val="27"/>
          <w:szCs w:val="27"/>
          <w:lang w:val="uk-UA"/>
        </w:rPr>
        <w:t xml:space="preserve"> для дитячо-юнацьких спортивних шкіл та міського спортивного клубу «Металург».</w:t>
      </w:r>
    </w:p>
    <w:p w:rsidR="003C2CFB" w:rsidRPr="00072177" w:rsidRDefault="00612A5A" w:rsidP="00F63C6C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497120">
        <w:rPr>
          <w:rFonts w:eastAsia="Calibri"/>
          <w:sz w:val="28"/>
          <w:szCs w:val="28"/>
          <w:lang w:val="uk-UA"/>
        </w:rPr>
        <w:t xml:space="preserve">Видатки на житлово-комунальне та дорожнє господарство склали </w:t>
      </w:r>
      <w:r w:rsidR="008C58EC">
        <w:rPr>
          <w:rFonts w:eastAsia="Calibri"/>
          <w:sz w:val="28"/>
          <w:szCs w:val="28"/>
          <w:lang w:val="uk-UA"/>
        </w:rPr>
        <w:t>974,2</w:t>
      </w:r>
      <w:r w:rsidRPr="00497120">
        <w:rPr>
          <w:rFonts w:eastAsia="Calibri"/>
          <w:sz w:val="28"/>
          <w:szCs w:val="28"/>
          <w:lang w:val="uk-UA"/>
        </w:rPr>
        <w:t> </w:t>
      </w:r>
      <w:proofErr w:type="spellStart"/>
      <w:r w:rsidRPr="00497120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497120">
        <w:rPr>
          <w:rFonts w:eastAsia="Calibri"/>
          <w:sz w:val="28"/>
          <w:szCs w:val="28"/>
          <w:lang w:val="uk-UA"/>
        </w:rPr>
        <w:t>., планові показники відповідного періоду виконані на 6</w:t>
      </w:r>
      <w:r>
        <w:rPr>
          <w:rFonts w:eastAsia="Calibri"/>
          <w:sz w:val="28"/>
          <w:szCs w:val="28"/>
          <w:lang w:val="uk-UA"/>
        </w:rPr>
        <w:t>7,0</w:t>
      </w:r>
      <w:r w:rsidRPr="00497120">
        <w:rPr>
          <w:rFonts w:eastAsia="Calibri"/>
          <w:sz w:val="28"/>
          <w:szCs w:val="28"/>
          <w:lang w:val="uk-UA"/>
        </w:rPr>
        <w:t>%.</w:t>
      </w:r>
    </w:p>
    <w:p w:rsidR="00612A5A" w:rsidRPr="00497120" w:rsidRDefault="00612A5A" w:rsidP="00F63C6C">
      <w:pPr>
        <w:pStyle w:val="justifyfull"/>
        <w:spacing w:before="0" w:beforeAutospacing="0" w:after="0" w:afterAutospacing="0"/>
        <w:ind w:left="709"/>
        <w:jc w:val="both"/>
        <w:rPr>
          <w:rFonts w:eastAsia="Calibri"/>
          <w:sz w:val="28"/>
          <w:szCs w:val="28"/>
          <w:lang w:val="uk-UA"/>
        </w:rPr>
      </w:pPr>
      <w:r w:rsidRPr="00497120">
        <w:rPr>
          <w:rFonts w:eastAsia="Calibri"/>
          <w:sz w:val="28"/>
          <w:szCs w:val="28"/>
          <w:lang w:val="uk-UA"/>
        </w:rPr>
        <w:t>Кошти спрямовані на реалізацію заходів наступних програм:</w:t>
      </w:r>
    </w:p>
    <w:p w:rsidR="00407CFE" w:rsidRPr="0093048F" w:rsidRDefault="00612A5A" w:rsidP="00407CFE">
      <w:pPr>
        <w:ind w:firstLine="708"/>
        <w:jc w:val="both"/>
        <w:rPr>
          <w:sz w:val="28"/>
          <w:szCs w:val="28"/>
          <w:lang w:val="uk-UA"/>
        </w:rPr>
      </w:pPr>
      <w:r w:rsidRPr="00497120">
        <w:rPr>
          <w:rFonts w:eastAsia="Calibri"/>
          <w:sz w:val="28"/>
          <w:szCs w:val="28"/>
          <w:lang w:val="uk-UA"/>
        </w:rPr>
        <w:t xml:space="preserve">- </w:t>
      </w:r>
      <w:r w:rsidR="00407CFE" w:rsidRPr="0093048F">
        <w:rPr>
          <w:i/>
          <w:sz w:val="28"/>
          <w:szCs w:val="28"/>
          <w:lang w:val="uk-UA"/>
        </w:rPr>
        <w:t xml:space="preserve">Програма розвитку та утримання житлово-комунального господарства </w:t>
      </w:r>
      <w:r w:rsidR="0021214E">
        <w:rPr>
          <w:sz w:val="28"/>
          <w:szCs w:val="28"/>
          <w:lang w:val="uk-UA"/>
        </w:rPr>
        <w:t>– 555</w:t>
      </w:r>
      <w:r w:rsidR="00407CFE" w:rsidRPr="0093048F">
        <w:rPr>
          <w:sz w:val="28"/>
          <w:szCs w:val="28"/>
          <w:lang w:val="uk-UA"/>
        </w:rPr>
        <w:t>,8 </w:t>
      </w:r>
      <w:proofErr w:type="spellStart"/>
      <w:r w:rsidR="00407CFE" w:rsidRPr="0093048F">
        <w:rPr>
          <w:sz w:val="28"/>
          <w:szCs w:val="28"/>
          <w:lang w:val="uk-UA"/>
        </w:rPr>
        <w:t>млн.грн</w:t>
      </w:r>
      <w:proofErr w:type="spellEnd"/>
      <w:r w:rsidR="00407CFE" w:rsidRPr="0093048F">
        <w:rPr>
          <w:sz w:val="28"/>
          <w:szCs w:val="28"/>
          <w:lang w:val="uk-UA"/>
        </w:rPr>
        <w:t>.</w:t>
      </w:r>
      <w:r w:rsidR="0021214E">
        <w:rPr>
          <w:sz w:val="28"/>
          <w:szCs w:val="28"/>
          <w:lang w:val="uk-UA"/>
        </w:rPr>
        <w:t xml:space="preserve"> або 72,6</w:t>
      </w:r>
      <w:r w:rsidR="00407CFE">
        <w:rPr>
          <w:sz w:val="28"/>
          <w:szCs w:val="28"/>
          <w:lang w:val="uk-UA"/>
        </w:rPr>
        <w:t>% до плану</w:t>
      </w:r>
      <w:r w:rsidR="00407CFE" w:rsidRPr="0093048F">
        <w:rPr>
          <w:rFonts w:eastAsia="Calibri"/>
          <w:sz w:val="28"/>
          <w:szCs w:val="28"/>
          <w:lang w:val="uk-UA"/>
        </w:rPr>
        <w:t xml:space="preserve">, з яких на </w:t>
      </w:r>
      <w:r w:rsidR="00407CFE" w:rsidRPr="0093048F">
        <w:rPr>
          <w:sz w:val="28"/>
          <w:szCs w:val="28"/>
          <w:lang w:val="uk-UA"/>
        </w:rPr>
        <w:t>фінансову підтримку комуна</w:t>
      </w:r>
      <w:r w:rsidR="0021214E">
        <w:rPr>
          <w:sz w:val="28"/>
          <w:szCs w:val="28"/>
          <w:lang w:val="uk-UA"/>
        </w:rPr>
        <w:t>льним підприємствам галузі – 307</w:t>
      </w:r>
      <w:r w:rsidR="00407CFE" w:rsidRPr="0093048F">
        <w:rPr>
          <w:sz w:val="28"/>
          <w:szCs w:val="28"/>
          <w:lang w:val="uk-UA"/>
        </w:rPr>
        <w:t>,0 </w:t>
      </w:r>
      <w:proofErr w:type="spellStart"/>
      <w:r w:rsidR="00407CFE" w:rsidRPr="0093048F">
        <w:rPr>
          <w:sz w:val="28"/>
          <w:szCs w:val="28"/>
          <w:lang w:val="uk-UA"/>
        </w:rPr>
        <w:t>млн.грн</w:t>
      </w:r>
      <w:proofErr w:type="spellEnd"/>
      <w:r w:rsidR="00407CFE" w:rsidRPr="0093048F">
        <w:rPr>
          <w:sz w:val="28"/>
          <w:szCs w:val="28"/>
          <w:lang w:val="uk-UA"/>
        </w:rPr>
        <w:t>., проведення капітального ремонту житлового фонду комунальної власності міста та об’єднань співвласникі</w:t>
      </w:r>
      <w:r w:rsidR="0021214E">
        <w:rPr>
          <w:sz w:val="28"/>
          <w:szCs w:val="28"/>
          <w:lang w:val="uk-UA"/>
        </w:rPr>
        <w:t>в багатоквартирних будинків – 177,9</w:t>
      </w:r>
      <w:r w:rsidR="00407CFE" w:rsidRPr="0093048F">
        <w:rPr>
          <w:sz w:val="28"/>
          <w:szCs w:val="28"/>
          <w:lang w:val="uk-UA"/>
        </w:rPr>
        <w:t> </w:t>
      </w:r>
      <w:proofErr w:type="spellStart"/>
      <w:r w:rsidR="00407CFE" w:rsidRPr="0093048F">
        <w:rPr>
          <w:sz w:val="28"/>
          <w:szCs w:val="28"/>
          <w:lang w:val="uk-UA"/>
        </w:rPr>
        <w:t>млн.грн</w:t>
      </w:r>
      <w:proofErr w:type="spellEnd"/>
      <w:r w:rsidR="00407CFE" w:rsidRPr="0093048F">
        <w:rPr>
          <w:sz w:val="28"/>
          <w:szCs w:val="28"/>
          <w:lang w:val="uk-UA"/>
        </w:rPr>
        <w:t>., встановлення прил</w:t>
      </w:r>
      <w:r w:rsidR="009B6D55">
        <w:rPr>
          <w:sz w:val="28"/>
          <w:szCs w:val="28"/>
          <w:lang w:val="uk-UA"/>
        </w:rPr>
        <w:t>адів обліку теплової енергії – 2,2</w:t>
      </w:r>
      <w:r w:rsidR="00407CFE" w:rsidRPr="0093048F">
        <w:rPr>
          <w:sz w:val="28"/>
          <w:szCs w:val="28"/>
          <w:lang w:val="uk-UA"/>
        </w:rPr>
        <w:t> </w:t>
      </w:r>
      <w:proofErr w:type="spellStart"/>
      <w:r w:rsidR="00407CFE" w:rsidRPr="0093048F">
        <w:rPr>
          <w:sz w:val="28"/>
          <w:szCs w:val="28"/>
          <w:lang w:val="uk-UA"/>
        </w:rPr>
        <w:t>млн.грн</w:t>
      </w:r>
      <w:proofErr w:type="spellEnd"/>
      <w:r w:rsidR="00407CFE" w:rsidRPr="0093048F">
        <w:rPr>
          <w:sz w:val="28"/>
          <w:szCs w:val="28"/>
          <w:lang w:val="uk-UA"/>
        </w:rPr>
        <w:t>., проведення реконструкції та будівництва об’єктів житлового фонду, водопровідних ме</w:t>
      </w:r>
      <w:r w:rsidR="00407CFE">
        <w:rPr>
          <w:sz w:val="28"/>
          <w:szCs w:val="28"/>
          <w:lang w:val="uk-UA"/>
        </w:rPr>
        <w:t>реж, каналізаційних колекторів</w:t>
      </w:r>
      <w:r w:rsidR="00407CFE" w:rsidRPr="0093048F">
        <w:rPr>
          <w:sz w:val="28"/>
          <w:szCs w:val="28"/>
          <w:lang w:val="uk-UA"/>
        </w:rPr>
        <w:t xml:space="preserve"> та насосних станцій – </w:t>
      </w:r>
      <w:r w:rsidR="009B6D55">
        <w:rPr>
          <w:sz w:val="28"/>
          <w:szCs w:val="28"/>
          <w:lang w:val="uk-UA"/>
        </w:rPr>
        <w:t>1</w:t>
      </w:r>
      <w:r w:rsidR="00407CFE" w:rsidRPr="0093048F">
        <w:rPr>
          <w:sz w:val="28"/>
          <w:szCs w:val="28"/>
          <w:lang w:val="uk-UA"/>
        </w:rPr>
        <w:t>6,</w:t>
      </w:r>
      <w:r w:rsidR="009B6D55">
        <w:rPr>
          <w:sz w:val="28"/>
          <w:szCs w:val="28"/>
          <w:lang w:val="uk-UA"/>
        </w:rPr>
        <w:t>2</w:t>
      </w:r>
      <w:r w:rsidR="00407CFE" w:rsidRPr="0093048F">
        <w:rPr>
          <w:sz w:val="28"/>
          <w:szCs w:val="28"/>
          <w:lang w:val="uk-UA"/>
        </w:rPr>
        <w:t> </w:t>
      </w:r>
      <w:proofErr w:type="spellStart"/>
      <w:r w:rsidR="00407CFE" w:rsidRPr="0093048F">
        <w:rPr>
          <w:sz w:val="28"/>
          <w:szCs w:val="28"/>
          <w:lang w:val="uk-UA"/>
        </w:rPr>
        <w:t>млн.грн</w:t>
      </w:r>
      <w:proofErr w:type="spellEnd"/>
      <w:r w:rsidR="00407CFE" w:rsidRPr="0093048F">
        <w:rPr>
          <w:sz w:val="28"/>
          <w:szCs w:val="28"/>
          <w:lang w:val="uk-UA"/>
        </w:rPr>
        <w:t>., житлово-експлуатаційн</w:t>
      </w:r>
      <w:r w:rsidR="00407CFE">
        <w:rPr>
          <w:sz w:val="28"/>
          <w:szCs w:val="28"/>
          <w:lang w:val="uk-UA"/>
        </w:rPr>
        <w:t>е</w:t>
      </w:r>
      <w:r w:rsidR="009B6D55">
        <w:rPr>
          <w:sz w:val="28"/>
          <w:szCs w:val="28"/>
          <w:lang w:val="uk-UA"/>
        </w:rPr>
        <w:t xml:space="preserve"> господарство – 34</w:t>
      </w:r>
      <w:r w:rsidR="00407CFE" w:rsidRPr="0093048F">
        <w:rPr>
          <w:sz w:val="28"/>
          <w:szCs w:val="28"/>
          <w:lang w:val="uk-UA"/>
        </w:rPr>
        <w:t>,</w:t>
      </w:r>
      <w:r w:rsidR="007868D7">
        <w:rPr>
          <w:sz w:val="28"/>
          <w:szCs w:val="28"/>
          <w:lang w:val="uk-UA"/>
        </w:rPr>
        <w:t>2</w:t>
      </w:r>
      <w:r w:rsidR="00407CFE" w:rsidRPr="0093048F">
        <w:rPr>
          <w:sz w:val="28"/>
          <w:szCs w:val="28"/>
          <w:lang w:val="uk-UA"/>
        </w:rPr>
        <w:t> </w:t>
      </w:r>
      <w:proofErr w:type="spellStart"/>
      <w:r w:rsidR="00407CFE" w:rsidRPr="0093048F">
        <w:rPr>
          <w:sz w:val="28"/>
          <w:szCs w:val="28"/>
          <w:lang w:val="uk-UA"/>
        </w:rPr>
        <w:t>млн.грн</w:t>
      </w:r>
      <w:proofErr w:type="spellEnd"/>
      <w:r w:rsidR="00407CFE" w:rsidRPr="0093048F">
        <w:rPr>
          <w:sz w:val="28"/>
          <w:szCs w:val="28"/>
          <w:lang w:val="uk-UA"/>
        </w:rPr>
        <w:t>. тощо.</w:t>
      </w:r>
    </w:p>
    <w:p w:rsidR="00125E71" w:rsidRDefault="00125E71" w:rsidP="00125E71">
      <w:pPr>
        <w:ind w:firstLine="709"/>
        <w:jc w:val="both"/>
        <w:rPr>
          <w:sz w:val="28"/>
          <w:szCs w:val="28"/>
          <w:lang w:val="uk-UA"/>
        </w:rPr>
      </w:pPr>
      <w:r w:rsidRPr="00DF13E7">
        <w:rPr>
          <w:sz w:val="28"/>
          <w:szCs w:val="28"/>
          <w:lang w:val="uk-UA"/>
        </w:rPr>
        <w:t xml:space="preserve">З метою утримання житлово-експлуатаційного господарства міста на належному рівні проведено відновлення асфальтного покриття прибудинкових територій та </w:t>
      </w:r>
      <w:proofErr w:type="spellStart"/>
      <w:r w:rsidRPr="00DF13E7">
        <w:rPr>
          <w:sz w:val="28"/>
          <w:szCs w:val="28"/>
          <w:lang w:val="uk-UA"/>
        </w:rPr>
        <w:t>внутрішньоквартальних</w:t>
      </w:r>
      <w:proofErr w:type="spellEnd"/>
      <w:r w:rsidRPr="00DF13E7">
        <w:rPr>
          <w:sz w:val="28"/>
          <w:szCs w:val="28"/>
          <w:lang w:val="uk-UA"/>
        </w:rPr>
        <w:t xml:space="preserve"> проїздів на площі 6</w:t>
      </w:r>
      <w:r>
        <w:rPr>
          <w:sz w:val="28"/>
          <w:szCs w:val="28"/>
          <w:lang w:val="uk-UA"/>
        </w:rPr>
        <w:t>7</w:t>
      </w:r>
      <w:r w:rsidRPr="00DF13E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</w:t>
      </w:r>
      <w:r w:rsidRPr="00DF13E7">
        <w:rPr>
          <w:sz w:val="28"/>
          <w:szCs w:val="28"/>
          <w:lang w:val="uk-UA"/>
        </w:rPr>
        <w:t> </w:t>
      </w:r>
      <w:proofErr w:type="spellStart"/>
      <w:r w:rsidRPr="00DF13E7">
        <w:rPr>
          <w:sz w:val="28"/>
          <w:szCs w:val="28"/>
          <w:lang w:val="uk-UA"/>
        </w:rPr>
        <w:t>тис.кв.м</w:t>
      </w:r>
      <w:proofErr w:type="spellEnd"/>
      <w:r w:rsidRPr="00DF13E7">
        <w:rPr>
          <w:sz w:val="28"/>
          <w:szCs w:val="28"/>
          <w:lang w:val="uk-UA"/>
        </w:rPr>
        <w:t xml:space="preserve">. на загальну суму 16,1 </w:t>
      </w:r>
      <w:proofErr w:type="spellStart"/>
      <w:r w:rsidRPr="00DF13E7">
        <w:rPr>
          <w:sz w:val="28"/>
          <w:szCs w:val="28"/>
          <w:lang w:val="uk-UA"/>
        </w:rPr>
        <w:t>млн.грн</w:t>
      </w:r>
      <w:proofErr w:type="spellEnd"/>
      <w:r w:rsidRPr="00610B26">
        <w:rPr>
          <w:sz w:val="28"/>
          <w:szCs w:val="28"/>
          <w:lang w:val="uk-UA"/>
        </w:rPr>
        <w:t>.,</w:t>
      </w:r>
      <w:r w:rsidRPr="00427A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подрібнення 44,2 </w:t>
      </w:r>
      <w:proofErr w:type="spellStart"/>
      <w:r>
        <w:rPr>
          <w:sz w:val="28"/>
          <w:szCs w:val="28"/>
          <w:lang w:val="uk-UA"/>
        </w:rPr>
        <w:t>тис.куб.м.опалого</w:t>
      </w:r>
      <w:proofErr w:type="spellEnd"/>
      <w:r>
        <w:rPr>
          <w:sz w:val="28"/>
          <w:szCs w:val="28"/>
          <w:lang w:val="uk-UA"/>
        </w:rPr>
        <w:t xml:space="preserve"> листя та гілля,</w:t>
      </w:r>
      <w:r w:rsidRPr="00610B26">
        <w:rPr>
          <w:sz w:val="28"/>
          <w:szCs w:val="28"/>
          <w:lang w:val="uk-UA"/>
        </w:rPr>
        <w:t xml:space="preserve"> санітарну обрізку та звалювання аварійних та сухостійних дерев 1,0 </w:t>
      </w:r>
      <w:proofErr w:type="spellStart"/>
      <w:r w:rsidRPr="00610B26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>дерев</w:t>
      </w:r>
      <w:proofErr w:type="spellEnd"/>
      <w:r>
        <w:rPr>
          <w:sz w:val="28"/>
          <w:szCs w:val="28"/>
          <w:lang w:val="uk-UA"/>
        </w:rPr>
        <w:t xml:space="preserve">, </w:t>
      </w:r>
      <w:r w:rsidRPr="00610B26">
        <w:rPr>
          <w:sz w:val="28"/>
          <w:szCs w:val="28"/>
          <w:lang w:val="uk-UA"/>
        </w:rPr>
        <w:t xml:space="preserve">покіс трави на площі </w:t>
      </w:r>
      <w:r>
        <w:rPr>
          <w:sz w:val="28"/>
          <w:szCs w:val="28"/>
          <w:lang w:val="uk-UA"/>
        </w:rPr>
        <w:t xml:space="preserve">2,5 </w:t>
      </w:r>
      <w:proofErr w:type="spellStart"/>
      <w:r w:rsidRPr="00610B26">
        <w:rPr>
          <w:sz w:val="28"/>
          <w:szCs w:val="28"/>
          <w:lang w:val="uk-UA"/>
        </w:rPr>
        <w:t>тис.кв.м</w:t>
      </w:r>
      <w:proofErr w:type="spellEnd"/>
      <w:r w:rsidRPr="00610B26">
        <w:rPr>
          <w:sz w:val="28"/>
          <w:szCs w:val="28"/>
          <w:lang w:val="uk-UA"/>
        </w:rPr>
        <w:t xml:space="preserve"> прибудинкових територій, дератизацію та дезінсекцію підвалів житлових будинків площею </w:t>
      </w:r>
      <w:r w:rsidRPr="00427AD4">
        <w:rPr>
          <w:sz w:val="28"/>
          <w:szCs w:val="28"/>
          <w:lang w:val="uk-UA"/>
        </w:rPr>
        <w:t xml:space="preserve">2 006,4 </w:t>
      </w:r>
      <w:proofErr w:type="spellStart"/>
      <w:r w:rsidRPr="00427AD4">
        <w:rPr>
          <w:sz w:val="28"/>
          <w:szCs w:val="28"/>
          <w:lang w:val="uk-UA"/>
        </w:rPr>
        <w:t>тис.кв.м</w:t>
      </w:r>
      <w:proofErr w:type="spellEnd"/>
      <w:r w:rsidRPr="00427AD4">
        <w:rPr>
          <w:sz w:val="28"/>
          <w:szCs w:val="28"/>
          <w:lang w:val="uk-UA"/>
        </w:rPr>
        <w:t>, повірку та ремон</w:t>
      </w:r>
      <w:r w:rsidRPr="00371B0E">
        <w:rPr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>36-ти</w:t>
      </w:r>
      <w:r w:rsidRPr="00427A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приладів</w:t>
      </w:r>
      <w:r w:rsidRPr="00371B0E">
        <w:rPr>
          <w:sz w:val="28"/>
          <w:szCs w:val="28"/>
          <w:lang w:val="uk-UA"/>
        </w:rPr>
        <w:t xml:space="preserve"> обліку теплової енергії.</w:t>
      </w:r>
    </w:p>
    <w:p w:rsidR="00125E71" w:rsidRDefault="00F63C6C" w:rsidP="00125E7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Здійснений</w:t>
      </w:r>
      <w:r w:rsidR="00125E71" w:rsidRPr="00371B0E">
        <w:rPr>
          <w:sz w:val="28"/>
          <w:szCs w:val="28"/>
          <w:lang w:val="uk-UA"/>
        </w:rPr>
        <w:t xml:space="preserve"> малий капітальний ремонт 153-х та модернізацію</w:t>
      </w:r>
      <w:r w:rsidR="00125E71">
        <w:rPr>
          <w:sz w:val="28"/>
          <w:szCs w:val="28"/>
          <w:lang w:val="uk-UA"/>
        </w:rPr>
        <w:t xml:space="preserve"> та заміну</w:t>
      </w:r>
      <w:r w:rsidR="00125E71" w:rsidRPr="00371B0E">
        <w:rPr>
          <w:sz w:val="28"/>
          <w:szCs w:val="28"/>
          <w:lang w:val="uk-UA"/>
        </w:rPr>
        <w:t xml:space="preserve"> </w:t>
      </w:r>
      <w:r w:rsidR="00125E71">
        <w:rPr>
          <w:sz w:val="28"/>
          <w:szCs w:val="28"/>
          <w:lang w:val="uk-UA"/>
        </w:rPr>
        <w:t>152 одиниць</w:t>
      </w:r>
      <w:r w:rsidR="00125E71" w:rsidRPr="00DE3775">
        <w:rPr>
          <w:sz w:val="28"/>
          <w:szCs w:val="28"/>
          <w:lang w:val="uk-UA"/>
        </w:rPr>
        <w:t xml:space="preserve"> ліфтів</w:t>
      </w:r>
      <w:r w:rsidR="00125E71" w:rsidRPr="00371B0E">
        <w:rPr>
          <w:sz w:val="28"/>
          <w:szCs w:val="28"/>
          <w:lang w:val="uk-UA"/>
        </w:rPr>
        <w:t xml:space="preserve">, в рамках виконання вибіркового капітального ремонту </w:t>
      </w:r>
      <w:r w:rsidR="00125E71" w:rsidRPr="00DE3775">
        <w:rPr>
          <w:sz w:val="28"/>
          <w:szCs w:val="28"/>
          <w:lang w:val="uk-UA"/>
        </w:rPr>
        <w:t xml:space="preserve">завершено роботи на </w:t>
      </w:r>
      <w:r w:rsidR="00125E71">
        <w:rPr>
          <w:sz w:val="28"/>
          <w:szCs w:val="28"/>
          <w:lang w:val="uk-UA"/>
        </w:rPr>
        <w:t>64</w:t>
      </w:r>
      <w:r w:rsidR="00125E71" w:rsidRPr="00DE3775">
        <w:rPr>
          <w:sz w:val="28"/>
          <w:szCs w:val="28"/>
          <w:lang w:val="uk-UA"/>
        </w:rPr>
        <w:t xml:space="preserve"> об</w:t>
      </w:r>
      <w:r w:rsidR="00125E71" w:rsidRPr="00DE3775">
        <w:rPr>
          <w:sz w:val="28"/>
          <w:szCs w:val="28"/>
        </w:rPr>
        <w:t>’</w:t>
      </w:r>
      <w:proofErr w:type="spellStart"/>
      <w:r w:rsidR="00125E71" w:rsidRPr="00DE3775">
        <w:rPr>
          <w:sz w:val="28"/>
          <w:szCs w:val="28"/>
          <w:lang w:val="uk-UA"/>
        </w:rPr>
        <w:t>єктах</w:t>
      </w:r>
      <w:proofErr w:type="spellEnd"/>
      <w:r w:rsidR="00125E71" w:rsidRPr="00DE3775">
        <w:rPr>
          <w:sz w:val="28"/>
          <w:szCs w:val="28"/>
          <w:lang w:val="uk-UA"/>
        </w:rPr>
        <w:t>,</w:t>
      </w:r>
      <w:r w:rsidR="00125E71">
        <w:rPr>
          <w:sz w:val="28"/>
          <w:szCs w:val="28"/>
          <w:lang w:val="uk-UA"/>
        </w:rPr>
        <w:t xml:space="preserve"> з яких у 2-х гуртожитках</w:t>
      </w:r>
      <w:r w:rsidR="00125E71" w:rsidRPr="00DE3775">
        <w:rPr>
          <w:sz w:val="28"/>
          <w:szCs w:val="28"/>
          <w:lang w:val="uk-UA"/>
        </w:rPr>
        <w:t xml:space="preserve"> про</w:t>
      </w:r>
      <w:proofErr w:type="spellStart"/>
      <w:r w:rsidR="00125E71" w:rsidRPr="00DE3775">
        <w:rPr>
          <w:sz w:val="28"/>
          <w:szCs w:val="28"/>
        </w:rPr>
        <w:t>ве</w:t>
      </w:r>
      <w:r w:rsidR="00125E71" w:rsidRPr="00DE3775">
        <w:rPr>
          <w:sz w:val="28"/>
          <w:szCs w:val="28"/>
          <w:lang w:val="uk-UA"/>
        </w:rPr>
        <w:t>дено</w:t>
      </w:r>
      <w:proofErr w:type="spellEnd"/>
      <w:r w:rsidR="00125E71" w:rsidRPr="00DE3775">
        <w:rPr>
          <w:sz w:val="28"/>
          <w:szCs w:val="28"/>
          <w:lang w:val="uk-UA"/>
        </w:rPr>
        <w:t xml:space="preserve"> заміну 51,</w:t>
      </w:r>
      <w:r w:rsidR="00125E71">
        <w:rPr>
          <w:sz w:val="28"/>
          <w:szCs w:val="28"/>
          <w:lang w:val="uk-UA"/>
        </w:rPr>
        <w:t>6</w:t>
      </w:r>
      <w:r w:rsidR="00125E71" w:rsidRPr="00DE3775">
        <w:rPr>
          <w:sz w:val="28"/>
          <w:szCs w:val="28"/>
          <w:lang w:val="uk-UA"/>
        </w:rPr>
        <w:t xml:space="preserve"> тис. погонних метрів мереж холодного та гарячого водопостачання, виконано роботи з ремонту 72,3 </w:t>
      </w:r>
      <w:proofErr w:type="spellStart"/>
      <w:r w:rsidR="00125E71" w:rsidRPr="00DE3775">
        <w:rPr>
          <w:sz w:val="28"/>
          <w:szCs w:val="28"/>
          <w:lang w:val="uk-UA"/>
        </w:rPr>
        <w:t>тис.кв.м</w:t>
      </w:r>
      <w:proofErr w:type="spellEnd"/>
      <w:r w:rsidR="00125E71" w:rsidRPr="00DE3775">
        <w:rPr>
          <w:sz w:val="28"/>
          <w:szCs w:val="28"/>
          <w:lang w:val="uk-UA"/>
        </w:rPr>
        <w:t xml:space="preserve"> покрівлі</w:t>
      </w:r>
      <w:r w:rsidR="00125E71" w:rsidRPr="004B741D">
        <w:rPr>
          <w:sz w:val="28"/>
          <w:szCs w:val="28"/>
          <w:lang w:val="uk-UA"/>
        </w:rPr>
        <w:t xml:space="preserve">, </w:t>
      </w:r>
      <w:r w:rsidR="00125E71" w:rsidRPr="00AA2DB3">
        <w:rPr>
          <w:sz w:val="28"/>
          <w:szCs w:val="28"/>
          <w:lang w:val="uk-UA"/>
        </w:rPr>
        <w:t>проведено моніторинг за деформаціями житлових будинків по усуненню</w:t>
      </w:r>
      <w:r>
        <w:rPr>
          <w:sz w:val="28"/>
          <w:szCs w:val="28"/>
          <w:lang w:val="uk-UA"/>
        </w:rPr>
        <w:t xml:space="preserve"> їх наднормативних кренів на 94 </w:t>
      </w:r>
      <w:r w:rsidR="00125E71" w:rsidRPr="00AA2DB3">
        <w:rPr>
          <w:sz w:val="28"/>
          <w:szCs w:val="28"/>
          <w:lang w:val="uk-UA"/>
        </w:rPr>
        <w:t>об’єктах</w:t>
      </w:r>
      <w:r w:rsidR="00125E71">
        <w:rPr>
          <w:sz w:val="28"/>
          <w:szCs w:val="28"/>
          <w:lang w:val="uk-UA"/>
        </w:rPr>
        <w:t xml:space="preserve"> та на 37-м</w:t>
      </w:r>
      <w:r w:rsidR="00125E71" w:rsidRPr="00AA2DB3">
        <w:rPr>
          <w:sz w:val="28"/>
          <w:szCs w:val="28"/>
          <w:lang w:val="uk-UA"/>
        </w:rPr>
        <w:t xml:space="preserve">и виконано проектні роботи. </w:t>
      </w:r>
      <w:r w:rsidR="008C2585">
        <w:rPr>
          <w:sz w:val="28"/>
          <w:szCs w:val="28"/>
          <w:lang w:val="uk-UA"/>
        </w:rPr>
        <w:t>Тривають роботи по капітальному ремонту в 89</w:t>
      </w:r>
      <w:r w:rsidR="00125E71">
        <w:rPr>
          <w:sz w:val="28"/>
          <w:szCs w:val="28"/>
          <w:lang w:val="uk-UA"/>
        </w:rPr>
        <w:t xml:space="preserve"> </w:t>
      </w:r>
      <w:r w:rsidR="00125E71" w:rsidRPr="004B741D">
        <w:rPr>
          <w:sz w:val="28"/>
          <w:szCs w:val="28"/>
          <w:lang w:val="uk-UA"/>
        </w:rPr>
        <w:t>будинках ОСББ.</w:t>
      </w:r>
    </w:p>
    <w:p w:rsidR="00407CFE" w:rsidRDefault="00407CFE" w:rsidP="00407C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відселення </w:t>
      </w:r>
      <w:r w:rsidR="00BE7321">
        <w:rPr>
          <w:sz w:val="28"/>
          <w:szCs w:val="28"/>
          <w:lang w:val="uk-UA"/>
        </w:rPr>
        <w:t>мешканців</w:t>
      </w:r>
      <w:r>
        <w:rPr>
          <w:sz w:val="28"/>
          <w:szCs w:val="28"/>
          <w:lang w:val="uk-UA"/>
        </w:rPr>
        <w:t xml:space="preserve"> з аварійного будинку придбано двокімнатну квартиру, на що спрямовано 0,6 млн.грн.</w:t>
      </w:r>
    </w:p>
    <w:p w:rsidR="007D314F" w:rsidRDefault="00407CFE" w:rsidP="007D31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</w:t>
      </w:r>
      <w:r w:rsidRPr="0093048F">
        <w:rPr>
          <w:sz w:val="28"/>
          <w:szCs w:val="28"/>
          <w:lang w:val="uk-UA"/>
        </w:rPr>
        <w:t xml:space="preserve">нески до статутних капіталів комунальних підприємств </w:t>
      </w:r>
      <w:r>
        <w:rPr>
          <w:sz w:val="28"/>
          <w:szCs w:val="28"/>
          <w:lang w:val="uk-UA"/>
        </w:rPr>
        <w:t>галузі</w:t>
      </w:r>
      <w:r w:rsidRPr="0093048F">
        <w:rPr>
          <w:sz w:val="28"/>
          <w:szCs w:val="28"/>
          <w:lang w:val="uk-UA"/>
        </w:rPr>
        <w:t xml:space="preserve"> на придбання спеціальної техніки </w:t>
      </w:r>
      <w:r>
        <w:rPr>
          <w:sz w:val="28"/>
          <w:szCs w:val="28"/>
          <w:lang w:val="uk-UA"/>
        </w:rPr>
        <w:t>витрачено</w:t>
      </w:r>
      <w:r w:rsidRPr="0093048F">
        <w:rPr>
          <w:sz w:val="28"/>
          <w:szCs w:val="28"/>
          <w:lang w:val="uk-UA"/>
        </w:rPr>
        <w:t xml:space="preserve"> </w:t>
      </w:r>
      <w:r w:rsidR="009B6D55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</w:t>
      </w:r>
      <w:r w:rsidR="009B6D55">
        <w:rPr>
          <w:sz w:val="28"/>
          <w:szCs w:val="28"/>
          <w:lang w:val="uk-UA"/>
        </w:rPr>
        <w:t>5</w:t>
      </w:r>
      <w:r w:rsidRPr="0093048F">
        <w:rPr>
          <w:sz w:val="28"/>
          <w:szCs w:val="28"/>
          <w:lang w:val="uk-UA"/>
        </w:rPr>
        <w:t> </w:t>
      </w:r>
      <w:proofErr w:type="spellStart"/>
      <w:r w:rsidRPr="0093048F">
        <w:rPr>
          <w:sz w:val="28"/>
          <w:szCs w:val="28"/>
          <w:lang w:val="uk-UA"/>
        </w:rPr>
        <w:t>млн.грн</w:t>
      </w:r>
      <w:proofErr w:type="spellEnd"/>
      <w:r>
        <w:rPr>
          <w:sz w:val="28"/>
          <w:szCs w:val="28"/>
          <w:lang w:val="uk-UA"/>
        </w:rPr>
        <w:t xml:space="preserve">. </w:t>
      </w:r>
      <w:r w:rsidR="007D314F" w:rsidRPr="004B741D">
        <w:rPr>
          <w:sz w:val="28"/>
          <w:szCs w:val="28"/>
          <w:lang w:val="uk-UA"/>
        </w:rPr>
        <w:t>Придбано 3 екскаватори-навантажув</w:t>
      </w:r>
      <w:r w:rsidR="003C2CFB">
        <w:rPr>
          <w:sz w:val="28"/>
          <w:szCs w:val="28"/>
          <w:lang w:val="uk-UA"/>
        </w:rPr>
        <w:t>ачі</w:t>
      </w:r>
      <w:r w:rsidR="007D314F" w:rsidRPr="004B741D">
        <w:rPr>
          <w:sz w:val="28"/>
          <w:szCs w:val="28"/>
          <w:lang w:val="uk-UA"/>
        </w:rPr>
        <w:t>, 1 спеціалізований автомобіль</w:t>
      </w:r>
      <w:r w:rsidR="007D314F">
        <w:rPr>
          <w:sz w:val="28"/>
          <w:szCs w:val="28"/>
          <w:lang w:val="uk-UA"/>
        </w:rPr>
        <w:t>,</w:t>
      </w:r>
      <w:r w:rsidR="007D314F" w:rsidRPr="004B741D">
        <w:rPr>
          <w:sz w:val="28"/>
          <w:szCs w:val="28"/>
          <w:lang w:val="uk-UA"/>
        </w:rPr>
        <w:t xml:space="preserve"> комп’ютерну техніку тощ</w:t>
      </w:r>
      <w:r w:rsidR="007D314F" w:rsidRPr="007D314F">
        <w:rPr>
          <w:sz w:val="28"/>
          <w:szCs w:val="28"/>
          <w:lang w:val="uk-UA"/>
        </w:rPr>
        <w:t>о.</w:t>
      </w:r>
    </w:p>
    <w:p w:rsidR="00612A5A" w:rsidRPr="009B6D55" w:rsidRDefault="00612A5A" w:rsidP="007D314F">
      <w:pPr>
        <w:ind w:firstLine="708"/>
        <w:jc w:val="both"/>
        <w:rPr>
          <w:rFonts w:eastAsia="Calibri"/>
          <w:sz w:val="28"/>
          <w:szCs w:val="28"/>
          <w:highlight w:val="darkCyan"/>
          <w:lang w:val="uk-UA"/>
        </w:rPr>
      </w:pPr>
      <w:r w:rsidRPr="00B42FAC">
        <w:rPr>
          <w:i/>
          <w:sz w:val="28"/>
          <w:szCs w:val="28"/>
          <w:lang w:val="uk-UA"/>
        </w:rPr>
        <w:t xml:space="preserve">Програма розвитку інфраструктури та комплексного благоустрою міста Запоріжжя </w:t>
      </w:r>
      <w:r w:rsidRPr="00B42FAC">
        <w:rPr>
          <w:sz w:val="28"/>
          <w:szCs w:val="28"/>
          <w:lang w:val="uk-UA"/>
        </w:rPr>
        <w:t xml:space="preserve">– </w:t>
      </w:r>
      <w:r w:rsidR="009B6D55">
        <w:rPr>
          <w:sz w:val="28"/>
          <w:szCs w:val="28"/>
          <w:lang w:val="uk-UA"/>
        </w:rPr>
        <w:t>379</w:t>
      </w:r>
      <w:r w:rsidRPr="00B42FAC">
        <w:rPr>
          <w:sz w:val="28"/>
          <w:szCs w:val="28"/>
          <w:lang w:val="uk-UA"/>
        </w:rPr>
        <w:t>,</w:t>
      </w:r>
      <w:r w:rsidR="009B6D55">
        <w:rPr>
          <w:sz w:val="28"/>
          <w:szCs w:val="28"/>
          <w:lang w:val="uk-UA"/>
        </w:rPr>
        <w:t>6 </w:t>
      </w:r>
      <w:proofErr w:type="spellStart"/>
      <w:r w:rsidR="009B6D55">
        <w:rPr>
          <w:sz w:val="28"/>
          <w:szCs w:val="28"/>
          <w:lang w:val="uk-UA"/>
        </w:rPr>
        <w:t>млн.грн</w:t>
      </w:r>
      <w:proofErr w:type="spellEnd"/>
      <w:r w:rsidR="009B6D55">
        <w:rPr>
          <w:sz w:val="28"/>
          <w:szCs w:val="28"/>
          <w:lang w:val="uk-UA"/>
        </w:rPr>
        <w:t>., що становить 61</w:t>
      </w:r>
      <w:r w:rsidRPr="00B42FAC">
        <w:rPr>
          <w:sz w:val="28"/>
          <w:szCs w:val="28"/>
          <w:lang w:val="uk-UA"/>
        </w:rPr>
        <w:t xml:space="preserve">,2% планових </w:t>
      </w:r>
      <w:r w:rsidRPr="007D314F">
        <w:rPr>
          <w:sz w:val="28"/>
          <w:szCs w:val="28"/>
          <w:lang w:val="uk-UA"/>
        </w:rPr>
        <w:t>показників</w:t>
      </w:r>
      <w:r w:rsidR="00415E02" w:rsidRPr="007D314F">
        <w:rPr>
          <w:sz w:val="28"/>
          <w:szCs w:val="28"/>
          <w:lang w:val="uk-UA"/>
        </w:rPr>
        <w:t>.</w:t>
      </w:r>
    </w:p>
    <w:p w:rsidR="00612A5A" w:rsidRPr="00497120" w:rsidRDefault="00612A5A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497120">
        <w:rPr>
          <w:rFonts w:eastAsia="Calibri"/>
          <w:sz w:val="28"/>
          <w:szCs w:val="28"/>
          <w:lang w:val="uk-UA"/>
        </w:rPr>
        <w:t xml:space="preserve">На заходи з </w:t>
      </w:r>
      <w:r w:rsidR="009B6D55">
        <w:rPr>
          <w:rFonts w:eastAsia="Calibri"/>
          <w:sz w:val="28"/>
          <w:szCs w:val="28"/>
          <w:lang w:val="uk-UA"/>
        </w:rPr>
        <w:t>благоустрою міста використано 107</w:t>
      </w:r>
      <w:r w:rsidRPr="00497120">
        <w:rPr>
          <w:rFonts w:eastAsia="Calibri"/>
          <w:sz w:val="28"/>
          <w:szCs w:val="28"/>
          <w:lang w:val="uk-UA"/>
        </w:rPr>
        <w:t>,1 </w:t>
      </w:r>
      <w:proofErr w:type="spellStart"/>
      <w:r w:rsidRPr="00497120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497120">
        <w:rPr>
          <w:rFonts w:eastAsia="Calibri"/>
          <w:sz w:val="28"/>
          <w:szCs w:val="28"/>
          <w:lang w:val="uk-UA"/>
        </w:rPr>
        <w:t xml:space="preserve">. та спрямовано на забезпечення зовнішнього освітлення міста, догляд за зеленими </w:t>
      </w:r>
      <w:r w:rsidRPr="00497120">
        <w:rPr>
          <w:rFonts w:eastAsia="Calibri"/>
          <w:sz w:val="28"/>
          <w:szCs w:val="28"/>
          <w:lang w:val="uk-UA"/>
        </w:rPr>
        <w:lastRenderedPageBreak/>
        <w:t>насадженнями, поточний ремонт та обслуговування фонтанів, енергопостачання парків, засобів регулювання дорожнього руху тощо.</w:t>
      </w:r>
      <w:r w:rsidRPr="00497120">
        <w:rPr>
          <w:rFonts w:eastAsia="Calibri"/>
          <w:color w:val="FF0000"/>
          <w:sz w:val="28"/>
          <w:szCs w:val="28"/>
          <w:lang w:val="uk-UA"/>
        </w:rPr>
        <w:t xml:space="preserve"> </w:t>
      </w:r>
    </w:p>
    <w:p w:rsidR="003C2CFB" w:rsidRDefault="00612A5A" w:rsidP="007D314F">
      <w:pPr>
        <w:tabs>
          <w:tab w:val="left" w:pos="284"/>
        </w:tabs>
        <w:ind w:firstLine="708"/>
        <w:jc w:val="both"/>
        <w:rPr>
          <w:rFonts w:eastAsia="Calibri"/>
          <w:sz w:val="28"/>
          <w:szCs w:val="28"/>
          <w:lang w:val="uk-UA"/>
        </w:rPr>
      </w:pPr>
      <w:r w:rsidRPr="0025079C">
        <w:rPr>
          <w:rFonts w:eastAsia="Calibri"/>
          <w:sz w:val="28"/>
          <w:szCs w:val="28"/>
          <w:lang w:val="uk-UA"/>
        </w:rPr>
        <w:t>На оплату робіт, пов’язаних із будівництвом, реконструкцією, ремонтом та утриманням автомобільних до</w:t>
      </w:r>
      <w:r w:rsidR="009B6D55">
        <w:rPr>
          <w:rFonts w:eastAsia="Calibri"/>
          <w:sz w:val="28"/>
          <w:szCs w:val="28"/>
          <w:lang w:val="uk-UA"/>
        </w:rPr>
        <w:t>ріг з бюджету міста витрачено 213,9</w:t>
      </w:r>
      <w:r w:rsidRPr="0025079C">
        <w:rPr>
          <w:rFonts w:eastAsia="Calibri"/>
          <w:sz w:val="28"/>
          <w:szCs w:val="28"/>
          <w:lang w:val="uk-UA"/>
        </w:rPr>
        <w:t> </w:t>
      </w:r>
      <w:proofErr w:type="spellStart"/>
      <w:r w:rsidRPr="0025079C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25079C">
        <w:rPr>
          <w:rFonts w:eastAsia="Calibri"/>
          <w:sz w:val="28"/>
          <w:szCs w:val="28"/>
          <w:lang w:val="uk-UA"/>
        </w:rPr>
        <w:t xml:space="preserve">., </w:t>
      </w:r>
      <w:r w:rsidR="007D314F" w:rsidRPr="005C3677">
        <w:rPr>
          <w:rFonts w:eastAsia="Calibri"/>
          <w:sz w:val="28"/>
          <w:szCs w:val="28"/>
          <w:lang w:val="uk-UA"/>
        </w:rPr>
        <w:t>з яких на утримання і експлуатацію доріг, мостів –57,5 </w:t>
      </w:r>
      <w:proofErr w:type="spellStart"/>
      <w:r w:rsidR="007D314F" w:rsidRPr="005C3677">
        <w:rPr>
          <w:rFonts w:eastAsia="Calibri"/>
          <w:sz w:val="28"/>
          <w:szCs w:val="28"/>
          <w:lang w:val="uk-UA"/>
        </w:rPr>
        <w:t>млн.грн</w:t>
      </w:r>
      <w:proofErr w:type="spellEnd"/>
      <w:r w:rsidR="007D314F" w:rsidRPr="005C3677">
        <w:rPr>
          <w:rFonts w:eastAsia="Calibri"/>
          <w:sz w:val="28"/>
          <w:szCs w:val="28"/>
          <w:lang w:val="uk-UA"/>
        </w:rPr>
        <w:t>., реконструкцію та ремонтні роботи – 151,</w:t>
      </w:r>
      <w:r w:rsidR="007D314F">
        <w:rPr>
          <w:rFonts w:eastAsia="Calibri"/>
          <w:sz w:val="28"/>
          <w:szCs w:val="28"/>
          <w:lang w:val="uk-UA"/>
        </w:rPr>
        <w:t>2</w:t>
      </w:r>
      <w:r w:rsidR="007D314F" w:rsidRPr="005C3677">
        <w:rPr>
          <w:rFonts w:eastAsia="Calibri"/>
          <w:sz w:val="28"/>
          <w:szCs w:val="28"/>
          <w:lang w:val="uk-UA"/>
        </w:rPr>
        <w:t> </w:t>
      </w:r>
      <w:proofErr w:type="spellStart"/>
      <w:r w:rsidR="007D314F" w:rsidRPr="005C3677">
        <w:rPr>
          <w:rFonts w:eastAsia="Calibri"/>
          <w:sz w:val="28"/>
          <w:szCs w:val="28"/>
          <w:lang w:val="uk-UA"/>
        </w:rPr>
        <w:t>млн.грн</w:t>
      </w:r>
      <w:proofErr w:type="spellEnd"/>
      <w:r w:rsidR="007D314F" w:rsidRPr="005C3677">
        <w:rPr>
          <w:rFonts w:eastAsia="Calibri"/>
          <w:sz w:val="28"/>
          <w:szCs w:val="28"/>
          <w:lang w:val="uk-UA"/>
        </w:rPr>
        <w:t xml:space="preserve">. </w:t>
      </w:r>
    </w:p>
    <w:p w:rsidR="008224F8" w:rsidRDefault="007D314F" w:rsidP="00470E98">
      <w:pPr>
        <w:tabs>
          <w:tab w:val="left" w:pos="284"/>
        </w:tabs>
        <w:ind w:firstLine="708"/>
        <w:jc w:val="both"/>
        <w:rPr>
          <w:rFonts w:eastAsia="Calibri"/>
          <w:sz w:val="28"/>
          <w:szCs w:val="28"/>
          <w:lang w:val="uk-UA"/>
        </w:rPr>
      </w:pPr>
      <w:r w:rsidRPr="005C3677">
        <w:rPr>
          <w:rFonts w:eastAsia="Calibri"/>
          <w:sz w:val="28"/>
          <w:szCs w:val="28"/>
          <w:lang w:val="uk-UA"/>
        </w:rPr>
        <w:t>Завершено</w:t>
      </w:r>
      <w:r w:rsidR="008224F8">
        <w:rPr>
          <w:rFonts w:eastAsia="Calibri"/>
          <w:sz w:val="28"/>
          <w:szCs w:val="28"/>
          <w:lang w:val="uk-UA"/>
        </w:rPr>
        <w:t xml:space="preserve"> капітальні</w:t>
      </w:r>
      <w:r w:rsidRPr="005C3677">
        <w:rPr>
          <w:rFonts w:eastAsia="Calibri"/>
          <w:sz w:val="28"/>
          <w:szCs w:val="28"/>
          <w:lang w:val="uk-UA"/>
        </w:rPr>
        <w:t xml:space="preserve"> </w:t>
      </w:r>
      <w:r w:rsidR="008224F8">
        <w:rPr>
          <w:rFonts w:eastAsia="Calibri"/>
          <w:sz w:val="28"/>
          <w:szCs w:val="28"/>
          <w:lang w:val="uk-UA"/>
        </w:rPr>
        <w:t>ремонти</w:t>
      </w:r>
      <w:r w:rsidRPr="005C3677">
        <w:rPr>
          <w:rFonts w:eastAsia="Calibri"/>
          <w:sz w:val="28"/>
          <w:szCs w:val="28"/>
          <w:lang w:val="uk-UA"/>
        </w:rPr>
        <w:t xml:space="preserve"> на ділянці дороги до аеропорту від траси Харків-Сімферополь-Алушта-Ялта до вул. </w:t>
      </w:r>
      <w:r>
        <w:rPr>
          <w:rFonts w:eastAsia="Calibri"/>
          <w:sz w:val="28"/>
          <w:szCs w:val="28"/>
          <w:lang w:val="uk-UA"/>
        </w:rPr>
        <w:t xml:space="preserve">Блакитної, </w:t>
      </w:r>
      <w:r w:rsidR="00F63C6C">
        <w:rPr>
          <w:rFonts w:eastAsia="Calibri"/>
          <w:sz w:val="28"/>
          <w:szCs w:val="28"/>
          <w:lang w:val="uk-UA"/>
        </w:rPr>
        <w:t xml:space="preserve">дамби Радіо в </w:t>
      </w:r>
      <w:proofErr w:type="spellStart"/>
      <w:r w:rsidR="00F63C6C">
        <w:rPr>
          <w:rFonts w:eastAsia="Calibri"/>
          <w:sz w:val="28"/>
          <w:szCs w:val="28"/>
          <w:lang w:val="uk-UA"/>
        </w:rPr>
        <w:t>м.</w:t>
      </w:r>
      <w:r w:rsidR="00470E98">
        <w:rPr>
          <w:rFonts w:eastAsia="Calibri"/>
          <w:sz w:val="28"/>
          <w:szCs w:val="28"/>
          <w:lang w:val="uk-UA"/>
        </w:rPr>
        <w:t>Запоріжжі</w:t>
      </w:r>
      <w:proofErr w:type="spellEnd"/>
      <w:r w:rsidR="00470E98">
        <w:rPr>
          <w:rFonts w:eastAsia="Calibri"/>
          <w:sz w:val="28"/>
          <w:szCs w:val="28"/>
          <w:lang w:val="uk-UA"/>
        </w:rPr>
        <w:t xml:space="preserve">, </w:t>
      </w:r>
      <w:r w:rsidR="00470E98" w:rsidRPr="005C3677">
        <w:rPr>
          <w:rFonts w:eastAsia="Calibri"/>
          <w:sz w:val="28"/>
          <w:szCs w:val="28"/>
          <w:lang w:val="uk-UA"/>
        </w:rPr>
        <w:t>дорожнього покриття трамвайного переїзду по вул. Дніпровська - вул. Олександрівська</w:t>
      </w:r>
      <w:r w:rsidR="008224F8">
        <w:rPr>
          <w:rFonts w:eastAsia="Calibri"/>
          <w:sz w:val="28"/>
          <w:szCs w:val="28"/>
          <w:lang w:val="uk-UA"/>
        </w:rPr>
        <w:t xml:space="preserve"> та</w:t>
      </w:r>
      <w:r w:rsidR="00470E98" w:rsidRPr="00470E98">
        <w:rPr>
          <w:rFonts w:eastAsia="Calibri"/>
          <w:sz w:val="28"/>
          <w:szCs w:val="28"/>
          <w:lang w:val="uk-UA"/>
        </w:rPr>
        <w:t xml:space="preserve"> </w:t>
      </w:r>
      <w:r w:rsidR="00470E98">
        <w:rPr>
          <w:rFonts w:eastAsia="Calibri"/>
          <w:sz w:val="28"/>
          <w:szCs w:val="28"/>
          <w:lang w:val="uk-UA"/>
        </w:rPr>
        <w:t xml:space="preserve">реконструкцію автодороги по пр. Штурманський. </w:t>
      </w:r>
      <w:r w:rsidR="008224F8">
        <w:rPr>
          <w:rFonts w:eastAsia="Calibri"/>
          <w:sz w:val="28"/>
          <w:szCs w:val="28"/>
          <w:lang w:val="uk-UA"/>
        </w:rPr>
        <w:t>Тривають</w:t>
      </w:r>
      <w:r w:rsidR="00470E98">
        <w:rPr>
          <w:rFonts w:eastAsia="Calibri"/>
          <w:sz w:val="28"/>
          <w:szCs w:val="28"/>
          <w:lang w:val="uk-UA"/>
        </w:rPr>
        <w:t xml:space="preserve"> роботи з капітального</w:t>
      </w:r>
      <w:r>
        <w:rPr>
          <w:rFonts w:eastAsia="Calibri"/>
          <w:sz w:val="28"/>
          <w:szCs w:val="28"/>
          <w:lang w:val="uk-UA"/>
        </w:rPr>
        <w:t xml:space="preserve"> ремонт</w:t>
      </w:r>
      <w:r w:rsidR="00470E98">
        <w:rPr>
          <w:rFonts w:eastAsia="Calibri"/>
          <w:sz w:val="28"/>
          <w:szCs w:val="28"/>
          <w:lang w:val="uk-UA"/>
        </w:rPr>
        <w:t>у</w:t>
      </w:r>
      <w:r>
        <w:rPr>
          <w:rFonts w:eastAsia="Calibri"/>
          <w:sz w:val="28"/>
          <w:szCs w:val="28"/>
          <w:lang w:val="uk-UA"/>
        </w:rPr>
        <w:t xml:space="preserve"> а</w:t>
      </w:r>
      <w:r w:rsidR="00F63C6C">
        <w:rPr>
          <w:rFonts w:eastAsia="Calibri"/>
          <w:sz w:val="28"/>
          <w:szCs w:val="28"/>
          <w:lang w:val="uk-UA"/>
        </w:rPr>
        <w:t>втодороги до аеропорту від вул. </w:t>
      </w:r>
      <w:r>
        <w:rPr>
          <w:rFonts w:eastAsia="Calibri"/>
          <w:sz w:val="28"/>
          <w:szCs w:val="28"/>
          <w:lang w:val="uk-UA"/>
        </w:rPr>
        <w:t>Блакитної д</w:t>
      </w:r>
      <w:r w:rsidR="00470E98">
        <w:rPr>
          <w:rFonts w:eastAsia="Calibri"/>
          <w:sz w:val="28"/>
          <w:szCs w:val="28"/>
          <w:lang w:val="uk-UA"/>
        </w:rPr>
        <w:t>о аеропорту в м. Запоріжжі</w:t>
      </w:r>
      <w:r>
        <w:rPr>
          <w:rFonts w:eastAsia="Calibri"/>
          <w:sz w:val="28"/>
          <w:szCs w:val="28"/>
          <w:lang w:val="uk-UA"/>
        </w:rPr>
        <w:t xml:space="preserve">. </w:t>
      </w:r>
    </w:p>
    <w:p w:rsidR="007D314F" w:rsidRPr="0025079C" w:rsidRDefault="007D314F" w:rsidP="00470E98">
      <w:pPr>
        <w:tabs>
          <w:tab w:val="left" w:pos="284"/>
        </w:tabs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Виконано в повному обсязі заплановані на 2017 рік роботи з реконструкції</w:t>
      </w:r>
      <w:r w:rsidRPr="000C4461">
        <w:rPr>
          <w:rFonts w:eastAsia="Calibri"/>
          <w:sz w:val="28"/>
          <w:szCs w:val="28"/>
          <w:lang w:val="uk-UA"/>
        </w:rPr>
        <w:t xml:space="preserve"> зовнішніх мереж водопостачання  та водовідведення на території ЦПК та В "Дубовий Гай" по вул. </w:t>
      </w:r>
      <w:proofErr w:type="spellStart"/>
      <w:r w:rsidRPr="000C4461">
        <w:rPr>
          <w:rFonts w:eastAsia="Calibri"/>
          <w:sz w:val="28"/>
          <w:szCs w:val="28"/>
          <w:lang w:val="uk-UA"/>
        </w:rPr>
        <w:t>Глісерна</w:t>
      </w:r>
      <w:proofErr w:type="spellEnd"/>
      <w:r w:rsidRPr="000C4461">
        <w:rPr>
          <w:rFonts w:eastAsia="Calibri"/>
          <w:sz w:val="28"/>
          <w:szCs w:val="28"/>
          <w:lang w:val="uk-UA"/>
        </w:rPr>
        <w:t xml:space="preserve">,1 з підключенням до існуючих мереж </w:t>
      </w:r>
      <w:proofErr w:type="spellStart"/>
      <w:r w:rsidRPr="000C4461">
        <w:rPr>
          <w:rFonts w:eastAsia="Calibri"/>
          <w:sz w:val="28"/>
          <w:szCs w:val="28"/>
          <w:lang w:val="uk-UA"/>
        </w:rPr>
        <w:t>Олександрівського</w:t>
      </w:r>
      <w:proofErr w:type="spellEnd"/>
      <w:r w:rsidRPr="000C4461">
        <w:rPr>
          <w:rFonts w:eastAsia="Calibri"/>
          <w:sz w:val="28"/>
          <w:szCs w:val="28"/>
          <w:lang w:val="uk-UA"/>
        </w:rPr>
        <w:t xml:space="preserve"> району </w:t>
      </w:r>
      <w:r w:rsidRPr="005C3677">
        <w:rPr>
          <w:rFonts w:eastAsia="Calibri"/>
          <w:sz w:val="28"/>
          <w:szCs w:val="28"/>
          <w:lang w:val="uk-UA"/>
        </w:rPr>
        <w:t xml:space="preserve">встановлено 3 засоби </w:t>
      </w:r>
      <w:r w:rsidR="003C2CFB">
        <w:rPr>
          <w:rFonts w:eastAsia="Calibri"/>
          <w:sz w:val="28"/>
          <w:szCs w:val="28"/>
          <w:lang w:val="uk-UA"/>
        </w:rPr>
        <w:t>примусового зниження швидкості.</w:t>
      </w:r>
      <w:r w:rsidRPr="005C3677">
        <w:rPr>
          <w:rFonts w:eastAsia="Calibri"/>
          <w:sz w:val="28"/>
          <w:szCs w:val="28"/>
          <w:lang w:val="uk-UA"/>
        </w:rPr>
        <w:t xml:space="preserve"> Для продовження робіт з будівництва автотранспортної магістралі через р. Дніпро з бюджету міста перераховано 5,2 </w:t>
      </w:r>
      <w:proofErr w:type="spellStart"/>
      <w:r w:rsidRPr="005C3677">
        <w:rPr>
          <w:rFonts w:eastAsia="Calibri"/>
          <w:sz w:val="28"/>
          <w:szCs w:val="28"/>
          <w:lang w:val="uk-UA"/>
        </w:rPr>
        <w:t>млн.</w:t>
      </w:r>
      <w:r w:rsidRPr="00A30360">
        <w:rPr>
          <w:rFonts w:eastAsia="Calibri"/>
          <w:sz w:val="28"/>
          <w:szCs w:val="28"/>
          <w:lang w:val="uk-UA"/>
        </w:rPr>
        <w:t>грн</w:t>
      </w:r>
      <w:proofErr w:type="spellEnd"/>
      <w:r w:rsidRPr="00A30360">
        <w:rPr>
          <w:rFonts w:eastAsia="Calibri"/>
          <w:sz w:val="28"/>
          <w:szCs w:val="28"/>
          <w:lang w:val="uk-UA"/>
        </w:rPr>
        <w:t>.</w:t>
      </w:r>
    </w:p>
    <w:p w:rsidR="007D314F" w:rsidRPr="0025079C" w:rsidRDefault="00612A5A" w:rsidP="007D314F">
      <w:pPr>
        <w:ind w:firstLine="708"/>
        <w:jc w:val="both"/>
        <w:rPr>
          <w:sz w:val="28"/>
          <w:szCs w:val="28"/>
          <w:lang w:val="uk-UA"/>
        </w:rPr>
      </w:pPr>
      <w:r w:rsidRPr="0025079C">
        <w:rPr>
          <w:sz w:val="28"/>
          <w:szCs w:val="28"/>
          <w:lang w:val="uk-UA"/>
        </w:rPr>
        <w:t>Видатки на будівництво та реконструкцію об’єктів комунальної інфраструктури проведені в с</w:t>
      </w:r>
      <w:r w:rsidR="009B6D55">
        <w:rPr>
          <w:sz w:val="28"/>
          <w:szCs w:val="28"/>
          <w:lang w:val="uk-UA"/>
        </w:rPr>
        <w:t>умі 4</w:t>
      </w:r>
      <w:r w:rsidRPr="0025079C">
        <w:rPr>
          <w:sz w:val="28"/>
          <w:szCs w:val="28"/>
          <w:lang w:val="uk-UA"/>
        </w:rPr>
        <w:t>1,</w:t>
      </w:r>
      <w:r w:rsidR="009B6D55">
        <w:rPr>
          <w:sz w:val="28"/>
          <w:szCs w:val="28"/>
          <w:lang w:val="uk-UA"/>
        </w:rPr>
        <w:t>9</w:t>
      </w:r>
      <w:r w:rsidRPr="0025079C">
        <w:rPr>
          <w:sz w:val="28"/>
          <w:szCs w:val="28"/>
          <w:lang w:val="uk-UA"/>
        </w:rPr>
        <w:t> </w:t>
      </w:r>
      <w:proofErr w:type="spellStart"/>
      <w:r w:rsidRPr="0025079C">
        <w:rPr>
          <w:sz w:val="28"/>
          <w:szCs w:val="28"/>
          <w:lang w:val="uk-UA"/>
        </w:rPr>
        <w:t>млн.грн</w:t>
      </w:r>
      <w:proofErr w:type="spellEnd"/>
      <w:r w:rsidRPr="0025079C">
        <w:rPr>
          <w:sz w:val="28"/>
          <w:szCs w:val="28"/>
          <w:lang w:val="uk-UA"/>
        </w:rPr>
        <w:t xml:space="preserve">., </w:t>
      </w:r>
      <w:r w:rsidR="007D314F" w:rsidRPr="006D3737">
        <w:rPr>
          <w:sz w:val="28"/>
          <w:szCs w:val="28"/>
          <w:lang w:val="uk-UA"/>
        </w:rPr>
        <w:t>в тому числі мереж зовнішнього освітлення – 16,6 </w:t>
      </w:r>
      <w:proofErr w:type="spellStart"/>
      <w:r w:rsidR="007D314F" w:rsidRPr="006D3737">
        <w:rPr>
          <w:sz w:val="28"/>
          <w:szCs w:val="28"/>
          <w:lang w:val="uk-UA"/>
        </w:rPr>
        <w:t>млн.грн</w:t>
      </w:r>
      <w:proofErr w:type="spellEnd"/>
      <w:r w:rsidR="007D314F" w:rsidRPr="006D3737">
        <w:rPr>
          <w:sz w:val="28"/>
          <w:szCs w:val="28"/>
          <w:lang w:val="uk-UA"/>
        </w:rPr>
        <w:t>., скверів, парків, майданів та площ міста, пляжів – 12,4 </w:t>
      </w:r>
      <w:proofErr w:type="spellStart"/>
      <w:r w:rsidR="007D314F" w:rsidRPr="006D3737">
        <w:rPr>
          <w:sz w:val="28"/>
          <w:szCs w:val="28"/>
          <w:lang w:val="uk-UA"/>
        </w:rPr>
        <w:t>млн.грн</w:t>
      </w:r>
      <w:proofErr w:type="spellEnd"/>
      <w:r w:rsidR="007D314F" w:rsidRPr="006D3737">
        <w:rPr>
          <w:sz w:val="28"/>
          <w:szCs w:val="28"/>
          <w:lang w:val="uk-UA"/>
        </w:rPr>
        <w:t xml:space="preserve">., зливової каналізації, вулиць, тротуарів, </w:t>
      </w:r>
      <w:proofErr w:type="spellStart"/>
      <w:r w:rsidR="007D314F" w:rsidRPr="006D3737">
        <w:rPr>
          <w:sz w:val="28"/>
          <w:szCs w:val="28"/>
          <w:lang w:val="uk-UA"/>
        </w:rPr>
        <w:t>водопропусків</w:t>
      </w:r>
      <w:proofErr w:type="spellEnd"/>
      <w:r w:rsidR="007D314F" w:rsidRPr="006D3737">
        <w:rPr>
          <w:sz w:val="28"/>
          <w:szCs w:val="28"/>
          <w:lang w:val="uk-UA"/>
        </w:rPr>
        <w:t xml:space="preserve"> та мостових переходів – 6,9 </w:t>
      </w:r>
      <w:proofErr w:type="spellStart"/>
      <w:r w:rsidR="007D314F" w:rsidRPr="006D3737">
        <w:rPr>
          <w:sz w:val="28"/>
          <w:szCs w:val="28"/>
          <w:lang w:val="uk-UA"/>
        </w:rPr>
        <w:t>млн.грн</w:t>
      </w:r>
      <w:proofErr w:type="spellEnd"/>
      <w:r w:rsidR="007D314F" w:rsidRPr="006D3737">
        <w:rPr>
          <w:sz w:val="28"/>
          <w:szCs w:val="28"/>
          <w:lang w:val="uk-UA"/>
        </w:rPr>
        <w:t>., полігону твердих побутових відходів – 4,2 </w:t>
      </w:r>
      <w:proofErr w:type="spellStart"/>
      <w:r w:rsidR="007D314F" w:rsidRPr="006D3737">
        <w:rPr>
          <w:sz w:val="28"/>
          <w:szCs w:val="28"/>
          <w:lang w:val="uk-UA"/>
        </w:rPr>
        <w:t>млн.грн</w:t>
      </w:r>
      <w:proofErr w:type="spellEnd"/>
      <w:r w:rsidR="007D314F" w:rsidRPr="006D3737">
        <w:rPr>
          <w:sz w:val="28"/>
          <w:szCs w:val="28"/>
          <w:lang w:val="uk-UA"/>
        </w:rPr>
        <w:t>., інших об’єктів – 1,8 </w:t>
      </w:r>
      <w:proofErr w:type="spellStart"/>
      <w:r w:rsidR="007D314F" w:rsidRPr="006D3737">
        <w:rPr>
          <w:sz w:val="28"/>
          <w:szCs w:val="28"/>
          <w:lang w:val="uk-UA"/>
        </w:rPr>
        <w:t>млн.грн</w:t>
      </w:r>
      <w:proofErr w:type="spellEnd"/>
      <w:r w:rsidR="007D314F" w:rsidRPr="006D3737">
        <w:rPr>
          <w:sz w:val="28"/>
          <w:szCs w:val="28"/>
          <w:lang w:val="uk-UA"/>
        </w:rPr>
        <w:t>.</w:t>
      </w:r>
    </w:p>
    <w:p w:rsidR="00612A5A" w:rsidRPr="0093048F" w:rsidRDefault="003C2CFB" w:rsidP="007D314F">
      <w:pPr>
        <w:tabs>
          <w:tab w:val="left" w:pos="28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Здійснено в</w:t>
      </w:r>
      <w:r w:rsidR="00612A5A" w:rsidRPr="0093048F">
        <w:rPr>
          <w:sz w:val="28"/>
          <w:szCs w:val="28"/>
          <w:lang w:val="uk-UA"/>
        </w:rPr>
        <w:t>неск</w:t>
      </w:r>
      <w:r>
        <w:rPr>
          <w:sz w:val="28"/>
          <w:szCs w:val="28"/>
          <w:lang w:val="uk-UA"/>
        </w:rPr>
        <w:t>ів</w:t>
      </w:r>
      <w:r w:rsidR="00612A5A" w:rsidRPr="0093048F">
        <w:rPr>
          <w:sz w:val="28"/>
          <w:szCs w:val="28"/>
          <w:lang w:val="uk-UA"/>
        </w:rPr>
        <w:t xml:space="preserve"> до статутних капіталів комунальних підприємств галузі на </w:t>
      </w:r>
      <w:r>
        <w:rPr>
          <w:sz w:val="28"/>
          <w:szCs w:val="28"/>
          <w:lang w:val="uk-UA"/>
        </w:rPr>
        <w:t xml:space="preserve">суму 15,5 </w:t>
      </w:r>
      <w:proofErr w:type="spellStart"/>
      <w:r>
        <w:rPr>
          <w:sz w:val="28"/>
          <w:szCs w:val="28"/>
          <w:lang w:val="uk-UA"/>
        </w:rPr>
        <w:t>млн.грн</w:t>
      </w:r>
      <w:proofErr w:type="spellEnd"/>
      <w:r>
        <w:rPr>
          <w:sz w:val="28"/>
          <w:szCs w:val="28"/>
          <w:lang w:val="uk-UA"/>
        </w:rPr>
        <w:t>. Придбан</w:t>
      </w:r>
      <w:r w:rsidR="00957859">
        <w:rPr>
          <w:sz w:val="28"/>
          <w:szCs w:val="28"/>
          <w:lang w:val="uk-UA"/>
        </w:rPr>
        <w:t>о</w:t>
      </w:r>
      <w:r w:rsidR="00612A5A" w:rsidRPr="00930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екскаватор-навантажувач</w:t>
      </w:r>
      <w:r w:rsidR="006100D3">
        <w:rPr>
          <w:sz w:val="28"/>
          <w:szCs w:val="28"/>
          <w:lang w:val="uk-UA"/>
        </w:rPr>
        <w:t>,</w:t>
      </w:r>
      <w:r w:rsidR="007D314F" w:rsidRPr="007D31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машина</w:t>
      </w:r>
      <w:r w:rsidR="007D314F" w:rsidRPr="006D3737">
        <w:rPr>
          <w:sz w:val="28"/>
          <w:szCs w:val="28"/>
          <w:lang w:val="uk-UA"/>
        </w:rPr>
        <w:t xml:space="preserve"> для ямкового ремонту</w:t>
      </w:r>
      <w:r>
        <w:rPr>
          <w:sz w:val="28"/>
          <w:szCs w:val="28"/>
          <w:lang w:val="uk-UA"/>
        </w:rPr>
        <w:t>, 2</w:t>
      </w:r>
      <w:r w:rsidR="008C2585">
        <w:rPr>
          <w:sz w:val="28"/>
          <w:szCs w:val="28"/>
          <w:lang w:val="uk-UA"/>
        </w:rPr>
        <w:t xml:space="preserve"> підмітально-вакуумн</w:t>
      </w:r>
      <w:r>
        <w:rPr>
          <w:sz w:val="28"/>
          <w:szCs w:val="28"/>
          <w:lang w:val="uk-UA"/>
        </w:rPr>
        <w:t>і</w:t>
      </w:r>
      <w:r w:rsidR="008C2585">
        <w:rPr>
          <w:sz w:val="28"/>
          <w:szCs w:val="28"/>
          <w:lang w:val="uk-UA"/>
        </w:rPr>
        <w:t xml:space="preserve"> машин</w:t>
      </w:r>
      <w:r>
        <w:rPr>
          <w:sz w:val="28"/>
          <w:szCs w:val="28"/>
          <w:lang w:val="uk-UA"/>
        </w:rPr>
        <w:t xml:space="preserve">и для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«ЕЛУАШ», самоскид</w:t>
      </w:r>
      <w:r w:rsidR="006100D3">
        <w:rPr>
          <w:sz w:val="28"/>
          <w:szCs w:val="28"/>
          <w:lang w:val="uk-UA"/>
        </w:rPr>
        <w:t xml:space="preserve"> для СКП «Запорізька ритуальна служба» тощо</w:t>
      </w:r>
      <w:r>
        <w:rPr>
          <w:sz w:val="28"/>
          <w:szCs w:val="28"/>
          <w:lang w:val="uk-UA"/>
        </w:rPr>
        <w:t>.</w:t>
      </w:r>
      <w:r w:rsidR="006100D3">
        <w:rPr>
          <w:sz w:val="28"/>
          <w:szCs w:val="28"/>
          <w:lang w:val="uk-UA"/>
        </w:rPr>
        <w:t xml:space="preserve"> </w:t>
      </w:r>
    </w:p>
    <w:p w:rsidR="00612A5A" w:rsidRPr="004F3E7A" w:rsidRDefault="00407CFE" w:rsidP="00612A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12A5A" w:rsidRPr="004F3E7A">
        <w:rPr>
          <w:sz w:val="28"/>
          <w:szCs w:val="28"/>
          <w:lang w:val="uk-UA"/>
        </w:rPr>
        <w:t xml:space="preserve"> </w:t>
      </w:r>
      <w:r w:rsidR="00C84700" w:rsidRPr="0058193D">
        <w:rPr>
          <w:i/>
          <w:sz w:val="28"/>
          <w:szCs w:val="28"/>
          <w:lang w:val="uk-UA"/>
        </w:rPr>
        <w:t>Програма "Муніципальної аварійної служби та служби технічного обслуговування систем диспетчери</w:t>
      </w:r>
      <w:r w:rsidR="0058193D">
        <w:rPr>
          <w:i/>
          <w:sz w:val="28"/>
          <w:szCs w:val="28"/>
          <w:lang w:val="uk-UA"/>
        </w:rPr>
        <w:t>зації ліфтів</w:t>
      </w:r>
      <w:r w:rsidR="00C84700" w:rsidRPr="0058193D">
        <w:rPr>
          <w:i/>
          <w:sz w:val="28"/>
          <w:szCs w:val="28"/>
          <w:lang w:val="uk-UA"/>
        </w:rPr>
        <w:t>"</w:t>
      </w:r>
      <w:r w:rsidR="0058193D">
        <w:rPr>
          <w:sz w:val="28"/>
          <w:szCs w:val="28"/>
          <w:lang w:val="uk-UA"/>
        </w:rPr>
        <w:t xml:space="preserve"> - </w:t>
      </w:r>
      <w:r w:rsidR="009B6D55">
        <w:rPr>
          <w:sz w:val="28"/>
          <w:szCs w:val="28"/>
          <w:lang w:val="uk-UA"/>
        </w:rPr>
        <w:t>38,2</w:t>
      </w:r>
      <w:r w:rsidR="00612A5A" w:rsidRPr="004F3E7A">
        <w:rPr>
          <w:sz w:val="28"/>
          <w:szCs w:val="28"/>
          <w:lang w:val="uk-UA"/>
        </w:rPr>
        <w:t> </w:t>
      </w:r>
      <w:proofErr w:type="spellStart"/>
      <w:r w:rsidR="00612A5A" w:rsidRPr="004F3E7A">
        <w:rPr>
          <w:sz w:val="28"/>
          <w:szCs w:val="28"/>
          <w:lang w:val="uk-UA"/>
        </w:rPr>
        <w:t>млн.грн</w:t>
      </w:r>
      <w:proofErr w:type="spellEnd"/>
      <w:r w:rsidR="00612A5A" w:rsidRPr="004F3E7A">
        <w:rPr>
          <w:sz w:val="28"/>
          <w:szCs w:val="28"/>
          <w:lang w:val="uk-UA"/>
        </w:rPr>
        <w:t>.</w:t>
      </w:r>
      <w:r w:rsidR="009B6D55">
        <w:rPr>
          <w:sz w:val="28"/>
          <w:szCs w:val="28"/>
          <w:lang w:val="uk-UA"/>
        </w:rPr>
        <w:t xml:space="preserve"> або 80,8</w:t>
      </w:r>
      <w:r w:rsidR="00AB4CDC">
        <w:rPr>
          <w:sz w:val="28"/>
          <w:szCs w:val="28"/>
          <w:lang w:val="uk-UA"/>
        </w:rPr>
        <w:t>% до плану.</w:t>
      </w:r>
    </w:p>
    <w:p w:rsidR="00612A5A" w:rsidRDefault="00612A5A" w:rsidP="00612A5A">
      <w:pPr>
        <w:ind w:firstLine="708"/>
        <w:jc w:val="both"/>
        <w:rPr>
          <w:sz w:val="28"/>
          <w:szCs w:val="28"/>
          <w:lang w:val="uk-UA"/>
        </w:rPr>
      </w:pPr>
      <w:r w:rsidRPr="004F3E7A">
        <w:rPr>
          <w:sz w:val="28"/>
          <w:szCs w:val="28"/>
          <w:lang w:val="uk-UA"/>
        </w:rPr>
        <w:t xml:space="preserve">- </w:t>
      </w:r>
      <w:r w:rsidRPr="004F3E7A">
        <w:rPr>
          <w:i/>
          <w:sz w:val="28"/>
          <w:szCs w:val="28"/>
          <w:lang w:val="uk-UA"/>
        </w:rPr>
        <w:t xml:space="preserve">Програма відшкодування відсоткових ставок за залученими в кредитно-фінансових установах короткостроковими кредитами, що надаються об"єднанням співвласників багатоквартирних будинків та житлово-будівельним кооперативам на реалізацію енергозберігаючих та </w:t>
      </w:r>
      <w:proofErr w:type="spellStart"/>
      <w:r w:rsidRPr="004F3E7A">
        <w:rPr>
          <w:i/>
          <w:sz w:val="28"/>
          <w:szCs w:val="28"/>
          <w:lang w:val="uk-UA"/>
        </w:rPr>
        <w:t>енергоефективних</w:t>
      </w:r>
      <w:proofErr w:type="spellEnd"/>
      <w:r w:rsidRPr="004F3E7A">
        <w:rPr>
          <w:i/>
          <w:sz w:val="28"/>
          <w:szCs w:val="28"/>
          <w:lang w:val="uk-UA"/>
        </w:rPr>
        <w:t xml:space="preserve"> проектів в житлово-комунальному господарстві – </w:t>
      </w:r>
      <w:r w:rsidR="009B6D55">
        <w:rPr>
          <w:sz w:val="28"/>
          <w:szCs w:val="28"/>
          <w:lang w:val="uk-UA"/>
        </w:rPr>
        <w:t>0,6 </w:t>
      </w:r>
      <w:proofErr w:type="spellStart"/>
      <w:r w:rsidR="009B6D55">
        <w:rPr>
          <w:sz w:val="28"/>
          <w:szCs w:val="28"/>
          <w:lang w:val="uk-UA"/>
        </w:rPr>
        <w:t>млн.грн</w:t>
      </w:r>
      <w:proofErr w:type="spellEnd"/>
      <w:r w:rsidR="009B6D55">
        <w:rPr>
          <w:sz w:val="28"/>
          <w:szCs w:val="28"/>
          <w:lang w:val="uk-UA"/>
        </w:rPr>
        <w:t>. або 68,9</w:t>
      </w:r>
      <w:r w:rsidRPr="004F3E7A">
        <w:rPr>
          <w:sz w:val="28"/>
          <w:szCs w:val="28"/>
          <w:lang w:val="uk-UA"/>
        </w:rPr>
        <w:t>% планових показників на відповідний період.</w:t>
      </w:r>
    </w:p>
    <w:p w:rsidR="00612A5A" w:rsidRPr="00957859" w:rsidRDefault="00612A5A" w:rsidP="00957859">
      <w:pPr>
        <w:pStyle w:val="213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57859">
        <w:rPr>
          <w:sz w:val="28"/>
          <w:szCs w:val="28"/>
        </w:rPr>
        <w:t xml:space="preserve">На розвиток транспортної галузі спрямовано </w:t>
      </w:r>
      <w:r w:rsidR="00AF57BF" w:rsidRPr="00957859">
        <w:rPr>
          <w:sz w:val="28"/>
          <w:szCs w:val="28"/>
        </w:rPr>
        <w:t>121,4 </w:t>
      </w:r>
      <w:proofErr w:type="spellStart"/>
      <w:r w:rsidR="00AF57BF" w:rsidRPr="00957859">
        <w:rPr>
          <w:sz w:val="28"/>
          <w:szCs w:val="28"/>
        </w:rPr>
        <w:t>млн.грн</w:t>
      </w:r>
      <w:proofErr w:type="spellEnd"/>
      <w:r w:rsidR="00AF57BF" w:rsidRPr="00957859">
        <w:rPr>
          <w:sz w:val="28"/>
          <w:szCs w:val="28"/>
        </w:rPr>
        <w:t>. (51</w:t>
      </w:r>
      <w:r w:rsidRPr="00957859">
        <w:rPr>
          <w:sz w:val="28"/>
          <w:szCs w:val="28"/>
        </w:rPr>
        <w:t>,</w:t>
      </w:r>
      <w:r w:rsidR="00AF57BF" w:rsidRPr="00957859">
        <w:rPr>
          <w:sz w:val="28"/>
          <w:szCs w:val="28"/>
        </w:rPr>
        <w:t>6</w:t>
      </w:r>
      <w:r w:rsidRPr="00957859">
        <w:rPr>
          <w:sz w:val="28"/>
          <w:szCs w:val="28"/>
        </w:rPr>
        <w:t xml:space="preserve">% планових призначень), в тому числі на реконструкцію огородження та системи технічного нагляду і контролю доступу по периметру охоронної зони обмеженого доступу </w:t>
      </w:r>
      <w:proofErr w:type="spellStart"/>
      <w:r w:rsidRPr="00957859">
        <w:rPr>
          <w:sz w:val="28"/>
          <w:szCs w:val="28"/>
        </w:rPr>
        <w:t>КП</w:t>
      </w:r>
      <w:proofErr w:type="spellEnd"/>
      <w:r w:rsidRPr="00957859">
        <w:rPr>
          <w:sz w:val="28"/>
          <w:szCs w:val="28"/>
        </w:rPr>
        <w:t xml:space="preserve"> "Міжна</w:t>
      </w:r>
      <w:r w:rsidR="00AF57BF" w:rsidRPr="00957859">
        <w:rPr>
          <w:sz w:val="28"/>
          <w:szCs w:val="28"/>
        </w:rPr>
        <w:t>родний аеропорт Запоріжжя" – 5,</w:t>
      </w:r>
      <w:r w:rsidR="00DE3DBB" w:rsidRPr="00957859">
        <w:rPr>
          <w:sz w:val="28"/>
          <w:szCs w:val="28"/>
        </w:rPr>
        <w:t>0</w:t>
      </w:r>
      <w:r w:rsidRPr="00957859">
        <w:rPr>
          <w:sz w:val="28"/>
          <w:szCs w:val="28"/>
        </w:rPr>
        <w:t> </w:t>
      </w:r>
      <w:proofErr w:type="spellStart"/>
      <w:r w:rsidRPr="00957859">
        <w:rPr>
          <w:sz w:val="28"/>
          <w:szCs w:val="28"/>
        </w:rPr>
        <w:t>млн.грн</w:t>
      </w:r>
      <w:proofErr w:type="spellEnd"/>
      <w:r w:rsidRPr="00957859">
        <w:rPr>
          <w:sz w:val="28"/>
          <w:szCs w:val="28"/>
        </w:rPr>
        <w:t xml:space="preserve">. капітальний ремонт </w:t>
      </w:r>
      <w:proofErr w:type="spellStart"/>
      <w:r w:rsidRPr="00957859">
        <w:rPr>
          <w:sz w:val="28"/>
          <w:szCs w:val="28"/>
        </w:rPr>
        <w:t>взлітно-п</w:t>
      </w:r>
      <w:r w:rsidR="003C2CFB" w:rsidRPr="00957859">
        <w:rPr>
          <w:sz w:val="28"/>
          <w:szCs w:val="28"/>
        </w:rPr>
        <w:t>осадкової</w:t>
      </w:r>
      <w:proofErr w:type="spellEnd"/>
      <w:r w:rsidR="003C2CFB" w:rsidRPr="00957859">
        <w:rPr>
          <w:sz w:val="28"/>
          <w:szCs w:val="28"/>
        </w:rPr>
        <w:t xml:space="preserve"> смуги</w:t>
      </w:r>
      <w:r w:rsidR="008224F8" w:rsidRPr="00957859">
        <w:rPr>
          <w:sz w:val="28"/>
          <w:szCs w:val="28"/>
        </w:rPr>
        <w:t xml:space="preserve"> та будівлі Запорізького </w:t>
      </w:r>
      <w:r w:rsidR="00843737" w:rsidRPr="00957859">
        <w:rPr>
          <w:sz w:val="28"/>
          <w:szCs w:val="28"/>
        </w:rPr>
        <w:t>аеровокзалу</w:t>
      </w:r>
      <w:r w:rsidR="003C2CFB" w:rsidRPr="00957859">
        <w:rPr>
          <w:sz w:val="28"/>
          <w:szCs w:val="28"/>
        </w:rPr>
        <w:t xml:space="preserve"> – 26</w:t>
      </w:r>
      <w:r w:rsidR="00AF57BF" w:rsidRPr="00957859">
        <w:rPr>
          <w:sz w:val="28"/>
          <w:szCs w:val="28"/>
        </w:rPr>
        <w:t>,1</w:t>
      </w:r>
      <w:r w:rsidRPr="00957859">
        <w:rPr>
          <w:sz w:val="28"/>
          <w:szCs w:val="28"/>
        </w:rPr>
        <w:t xml:space="preserve"> </w:t>
      </w:r>
      <w:proofErr w:type="spellStart"/>
      <w:r w:rsidRPr="00957859">
        <w:rPr>
          <w:sz w:val="28"/>
          <w:szCs w:val="28"/>
        </w:rPr>
        <w:t>млн.грн</w:t>
      </w:r>
      <w:proofErr w:type="spellEnd"/>
      <w:r w:rsidRPr="00957859">
        <w:rPr>
          <w:sz w:val="28"/>
          <w:szCs w:val="28"/>
        </w:rPr>
        <w:t xml:space="preserve">., реконструкцію </w:t>
      </w:r>
      <w:r w:rsidR="00DE3DBB" w:rsidRPr="00957859">
        <w:rPr>
          <w:sz w:val="28"/>
          <w:szCs w:val="28"/>
        </w:rPr>
        <w:t>контактної мережі тролейбусу – 2,0</w:t>
      </w:r>
      <w:r w:rsidRPr="00957859">
        <w:rPr>
          <w:sz w:val="28"/>
          <w:szCs w:val="28"/>
        </w:rPr>
        <w:t> </w:t>
      </w:r>
      <w:proofErr w:type="spellStart"/>
      <w:r w:rsidRPr="00957859">
        <w:rPr>
          <w:sz w:val="28"/>
          <w:szCs w:val="28"/>
        </w:rPr>
        <w:t>млн.грн</w:t>
      </w:r>
      <w:proofErr w:type="spellEnd"/>
      <w:r w:rsidRPr="00957859">
        <w:rPr>
          <w:sz w:val="28"/>
          <w:szCs w:val="28"/>
        </w:rPr>
        <w:t>, капітальний ремонт трамваїв</w:t>
      </w:r>
      <w:r w:rsidR="00843737" w:rsidRPr="00957859">
        <w:rPr>
          <w:sz w:val="28"/>
          <w:szCs w:val="28"/>
        </w:rPr>
        <w:t xml:space="preserve"> та облаштування системою моніторингу </w:t>
      </w:r>
      <w:r w:rsidR="00DE6561" w:rsidRPr="00957859">
        <w:rPr>
          <w:sz w:val="28"/>
          <w:szCs w:val="28"/>
        </w:rPr>
        <w:t xml:space="preserve">і захисту тягової мережі 2-х підстанцій </w:t>
      </w:r>
      <w:r w:rsidR="00DE3DBB" w:rsidRPr="00957859">
        <w:rPr>
          <w:sz w:val="28"/>
          <w:szCs w:val="28"/>
        </w:rPr>
        <w:t>– 19,</w:t>
      </w:r>
      <w:r w:rsidR="00DE6561" w:rsidRPr="00957859">
        <w:rPr>
          <w:sz w:val="28"/>
          <w:szCs w:val="28"/>
        </w:rPr>
        <w:t>7</w:t>
      </w:r>
      <w:r w:rsidR="00843737" w:rsidRPr="00957859">
        <w:rPr>
          <w:sz w:val="28"/>
          <w:szCs w:val="28"/>
        </w:rPr>
        <w:t> </w:t>
      </w:r>
      <w:proofErr w:type="spellStart"/>
      <w:r w:rsidRPr="00957859">
        <w:rPr>
          <w:sz w:val="28"/>
          <w:szCs w:val="28"/>
        </w:rPr>
        <w:t>млн.грн</w:t>
      </w:r>
      <w:proofErr w:type="spellEnd"/>
      <w:r w:rsidRPr="00957859">
        <w:rPr>
          <w:sz w:val="28"/>
          <w:szCs w:val="28"/>
        </w:rPr>
        <w:t>. тощо.</w:t>
      </w:r>
    </w:p>
    <w:p w:rsidR="00612A5A" w:rsidRDefault="00612A5A" w:rsidP="00957859">
      <w:pPr>
        <w:pStyle w:val="21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рахунок коштів бюджету міста п</w:t>
      </w:r>
      <w:r w:rsidRPr="003E4D1E">
        <w:rPr>
          <w:sz w:val="28"/>
          <w:szCs w:val="28"/>
        </w:rPr>
        <w:t>роведен</w:t>
      </w:r>
      <w:r>
        <w:rPr>
          <w:sz w:val="28"/>
          <w:szCs w:val="28"/>
        </w:rPr>
        <w:t>о</w:t>
      </w:r>
      <w:r w:rsidRPr="003E4D1E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е</w:t>
      </w:r>
      <w:r w:rsidRPr="003E4D1E">
        <w:rPr>
          <w:sz w:val="28"/>
          <w:szCs w:val="28"/>
        </w:rPr>
        <w:t xml:space="preserve"> обстеження пасажиропотоків на маршрутах міського пасажирського тра</w:t>
      </w:r>
      <w:r>
        <w:rPr>
          <w:sz w:val="28"/>
          <w:szCs w:val="28"/>
        </w:rPr>
        <w:t>нспорту загального к</w:t>
      </w:r>
      <w:r w:rsidR="00AF57BF">
        <w:rPr>
          <w:sz w:val="28"/>
          <w:szCs w:val="28"/>
        </w:rPr>
        <w:t>ористування, на що витрачено 0,6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млн.грн</w:t>
      </w:r>
      <w:proofErr w:type="spellEnd"/>
      <w:r>
        <w:rPr>
          <w:sz w:val="28"/>
          <w:szCs w:val="28"/>
        </w:rPr>
        <w:t>.</w:t>
      </w:r>
    </w:p>
    <w:p w:rsidR="007C4472" w:rsidRDefault="007C4472" w:rsidP="007C4472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</w:t>
      </w:r>
      <w:r w:rsidRPr="00497120">
        <w:rPr>
          <w:rFonts w:eastAsia="Calibri"/>
          <w:sz w:val="28"/>
          <w:szCs w:val="28"/>
          <w:lang w:val="uk-UA"/>
        </w:rPr>
        <w:t xml:space="preserve"> метою забезпечення належної та безперебійної роботи ЗКП МЕТ «</w:t>
      </w:r>
      <w:proofErr w:type="spellStart"/>
      <w:r w:rsidRPr="00497120">
        <w:rPr>
          <w:rFonts w:eastAsia="Calibri"/>
          <w:sz w:val="28"/>
          <w:szCs w:val="28"/>
          <w:lang w:val="uk-UA"/>
        </w:rPr>
        <w:t>Запоріжелектротранс</w:t>
      </w:r>
      <w:proofErr w:type="spellEnd"/>
      <w:r w:rsidRPr="00497120">
        <w:rPr>
          <w:rFonts w:eastAsia="Calibri"/>
          <w:sz w:val="28"/>
          <w:szCs w:val="28"/>
          <w:lang w:val="uk-UA"/>
        </w:rPr>
        <w:t xml:space="preserve">» надано фінансової підтримки </w:t>
      </w:r>
      <w:r>
        <w:rPr>
          <w:rFonts w:eastAsia="Calibri"/>
          <w:sz w:val="28"/>
          <w:szCs w:val="28"/>
          <w:lang w:val="uk-UA"/>
        </w:rPr>
        <w:t xml:space="preserve">підприємству </w:t>
      </w:r>
      <w:r w:rsidR="00AF57BF">
        <w:rPr>
          <w:rFonts w:eastAsia="Calibri"/>
          <w:sz w:val="28"/>
          <w:szCs w:val="28"/>
          <w:lang w:val="uk-UA"/>
        </w:rPr>
        <w:t>на суму 66,</w:t>
      </w:r>
      <w:r w:rsidR="003C2CFB">
        <w:rPr>
          <w:rFonts w:eastAsia="Calibri"/>
          <w:sz w:val="28"/>
          <w:szCs w:val="28"/>
          <w:lang w:val="uk-UA"/>
        </w:rPr>
        <w:t>5</w:t>
      </w:r>
      <w:r w:rsidRPr="00497120">
        <w:rPr>
          <w:rFonts w:eastAsia="Calibri"/>
          <w:sz w:val="28"/>
          <w:szCs w:val="28"/>
          <w:lang w:val="uk-UA"/>
        </w:rPr>
        <w:t> </w:t>
      </w:r>
      <w:proofErr w:type="spellStart"/>
      <w:r w:rsidRPr="00497120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497120">
        <w:rPr>
          <w:rFonts w:eastAsia="Calibri"/>
          <w:sz w:val="28"/>
          <w:szCs w:val="28"/>
          <w:lang w:val="uk-UA"/>
        </w:rPr>
        <w:t>.</w:t>
      </w:r>
    </w:p>
    <w:p w:rsidR="00C70067" w:rsidRPr="003C2CFB" w:rsidRDefault="00C70067" w:rsidP="00957859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C2CFB">
        <w:rPr>
          <w:rFonts w:eastAsia="Calibri"/>
          <w:sz w:val="28"/>
          <w:szCs w:val="28"/>
          <w:lang w:val="uk-UA"/>
        </w:rPr>
        <w:t>Видатки на виконання заходів з охорони навколишньог</w:t>
      </w:r>
      <w:r w:rsidR="00AF57BF" w:rsidRPr="003C2CFB">
        <w:rPr>
          <w:rFonts w:eastAsia="Calibri"/>
          <w:sz w:val="28"/>
          <w:szCs w:val="28"/>
          <w:lang w:val="uk-UA"/>
        </w:rPr>
        <w:t>о природного середовища склали 8,4</w:t>
      </w:r>
      <w:r w:rsidRPr="003C2CFB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3C2CFB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3C2CFB">
        <w:rPr>
          <w:rFonts w:eastAsia="Calibri"/>
          <w:sz w:val="28"/>
          <w:szCs w:val="28"/>
          <w:lang w:val="uk-UA"/>
        </w:rPr>
        <w:t>.</w:t>
      </w:r>
    </w:p>
    <w:p w:rsidR="00727948" w:rsidRDefault="000C6D80" w:rsidP="000C6D80">
      <w:pPr>
        <w:pStyle w:val="213"/>
        <w:spacing w:after="0" w:line="240" w:lineRule="auto"/>
        <w:ind w:firstLine="709"/>
        <w:jc w:val="both"/>
        <w:rPr>
          <w:sz w:val="28"/>
          <w:szCs w:val="28"/>
        </w:rPr>
      </w:pPr>
      <w:r w:rsidRPr="004448E7">
        <w:rPr>
          <w:sz w:val="28"/>
          <w:szCs w:val="28"/>
        </w:rPr>
        <w:t xml:space="preserve">За рахунок зазначених коштів з метою поліпшення екологічного стану міста висаджено 1053 дерев, 3976 чагарників та посіяно 1,0 </w:t>
      </w:r>
      <w:proofErr w:type="spellStart"/>
      <w:r w:rsidRPr="004448E7">
        <w:rPr>
          <w:sz w:val="28"/>
          <w:szCs w:val="28"/>
        </w:rPr>
        <w:t>тис.кв.м</w:t>
      </w:r>
      <w:proofErr w:type="spellEnd"/>
      <w:r w:rsidRPr="004448E7">
        <w:rPr>
          <w:sz w:val="28"/>
          <w:szCs w:val="28"/>
        </w:rPr>
        <w:t xml:space="preserve"> газону та придбано декоративні насадження для </w:t>
      </w:r>
      <w:r w:rsidR="00BE7321">
        <w:rPr>
          <w:sz w:val="28"/>
          <w:szCs w:val="28"/>
        </w:rPr>
        <w:t xml:space="preserve">дитячого </w:t>
      </w:r>
      <w:r w:rsidR="00727948">
        <w:rPr>
          <w:sz w:val="28"/>
          <w:szCs w:val="28"/>
        </w:rPr>
        <w:t>ботанічн</w:t>
      </w:r>
      <w:r w:rsidR="00BE7321">
        <w:rPr>
          <w:sz w:val="28"/>
          <w:szCs w:val="28"/>
        </w:rPr>
        <w:t>ого парку</w:t>
      </w:r>
      <w:r w:rsidR="00727948">
        <w:rPr>
          <w:sz w:val="28"/>
          <w:szCs w:val="28"/>
        </w:rPr>
        <w:t>.</w:t>
      </w:r>
    </w:p>
    <w:p w:rsidR="000C6D80" w:rsidRPr="004448E7" w:rsidRDefault="00727948" w:rsidP="000C6D80">
      <w:pPr>
        <w:pStyle w:val="21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6D80" w:rsidRPr="004448E7">
        <w:rPr>
          <w:sz w:val="28"/>
          <w:szCs w:val="28"/>
        </w:rPr>
        <w:t>едуться роботи</w:t>
      </w:r>
      <w:r>
        <w:rPr>
          <w:sz w:val="28"/>
          <w:szCs w:val="28"/>
        </w:rPr>
        <w:t xml:space="preserve"> з будівництва л</w:t>
      </w:r>
      <w:r w:rsidR="000C6D80" w:rsidRPr="004448E7">
        <w:rPr>
          <w:sz w:val="28"/>
          <w:szCs w:val="28"/>
        </w:rPr>
        <w:t>андшафтн</w:t>
      </w:r>
      <w:r>
        <w:rPr>
          <w:sz w:val="28"/>
          <w:szCs w:val="28"/>
        </w:rPr>
        <w:t>ого</w:t>
      </w:r>
      <w:r w:rsidR="000C6D80" w:rsidRPr="004448E7">
        <w:rPr>
          <w:sz w:val="28"/>
          <w:szCs w:val="28"/>
        </w:rPr>
        <w:t xml:space="preserve"> парк</w:t>
      </w:r>
      <w:r>
        <w:rPr>
          <w:sz w:val="28"/>
          <w:szCs w:val="28"/>
        </w:rPr>
        <w:t>у</w:t>
      </w:r>
      <w:r w:rsidR="000C6D80" w:rsidRPr="004448E7">
        <w:rPr>
          <w:sz w:val="28"/>
          <w:szCs w:val="28"/>
        </w:rPr>
        <w:t xml:space="preserve"> вздовж Прибережної магістралі</w:t>
      </w:r>
      <w:r>
        <w:rPr>
          <w:sz w:val="28"/>
          <w:szCs w:val="28"/>
        </w:rPr>
        <w:t xml:space="preserve">, </w:t>
      </w:r>
      <w:r w:rsidRPr="004448E7">
        <w:rPr>
          <w:sz w:val="28"/>
          <w:szCs w:val="28"/>
        </w:rPr>
        <w:t>реконструкції теплиці позашкільного навчального закладу «Дитячий парк «Запорізький міський ботанічний сад</w:t>
      </w:r>
      <w:r>
        <w:rPr>
          <w:sz w:val="28"/>
          <w:szCs w:val="28"/>
        </w:rPr>
        <w:t xml:space="preserve">», </w:t>
      </w:r>
      <w:r w:rsidRPr="004448E7">
        <w:rPr>
          <w:sz w:val="28"/>
          <w:szCs w:val="28"/>
        </w:rPr>
        <w:t>розчистки русла р. Верхня Хортиця в районі вул. </w:t>
      </w:r>
      <w:proofErr w:type="spellStart"/>
      <w:r w:rsidRPr="004448E7">
        <w:rPr>
          <w:sz w:val="28"/>
          <w:szCs w:val="28"/>
        </w:rPr>
        <w:t>Шушенської</w:t>
      </w:r>
      <w:proofErr w:type="spellEnd"/>
      <w:r w:rsidRPr="004448E7">
        <w:rPr>
          <w:sz w:val="28"/>
          <w:szCs w:val="28"/>
        </w:rPr>
        <w:t xml:space="preserve">, </w:t>
      </w:r>
      <w:proofErr w:type="spellStart"/>
      <w:r w:rsidRPr="004448E7">
        <w:rPr>
          <w:sz w:val="28"/>
          <w:szCs w:val="28"/>
        </w:rPr>
        <w:t>Зачиняєва</w:t>
      </w:r>
      <w:proofErr w:type="spellEnd"/>
      <w:r w:rsidRPr="004448E7">
        <w:rPr>
          <w:sz w:val="28"/>
          <w:szCs w:val="28"/>
        </w:rPr>
        <w:t>, Істоміна, поліпшення технічного стану та благоустр</w:t>
      </w:r>
      <w:r w:rsidR="00BE7321">
        <w:rPr>
          <w:sz w:val="28"/>
          <w:szCs w:val="28"/>
        </w:rPr>
        <w:t>ою</w:t>
      </w:r>
      <w:r w:rsidRPr="004448E7">
        <w:rPr>
          <w:sz w:val="28"/>
          <w:szCs w:val="28"/>
        </w:rPr>
        <w:t xml:space="preserve"> великої водойми </w:t>
      </w:r>
      <w:proofErr w:type="spellStart"/>
      <w:r w:rsidRPr="004448E7">
        <w:rPr>
          <w:sz w:val="28"/>
          <w:szCs w:val="28"/>
        </w:rPr>
        <w:t>ЦПКтаВ</w:t>
      </w:r>
      <w:proofErr w:type="spellEnd"/>
      <w:r w:rsidRPr="004448E7">
        <w:rPr>
          <w:sz w:val="28"/>
          <w:szCs w:val="28"/>
        </w:rPr>
        <w:t xml:space="preserve"> «Дубовий гай</w:t>
      </w:r>
      <w:r>
        <w:rPr>
          <w:sz w:val="28"/>
          <w:szCs w:val="28"/>
        </w:rPr>
        <w:t>».</w:t>
      </w:r>
    </w:p>
    <w:p w:rsidR="000C6D80" w:rsidRPr="004448E7" w:rsidRDefault="000C6D80" w:rsidP="000C6D80">
      <w:pPr>
        <w:pStyle w:val="213"/>
        <w:spacing w:after="0" w:line="240" w:lineRule="auto"/>
        <w:ind w:firstLine="709"/>
        <w:jc w:val="both"/>
        <w:rPr>
          <w:sz w:val="28"/>
          <w:szCs w:val="28"/>
        </w:rPr>
      </w:pPr>
      <w:r w:rsidRPr="004448E7">
        <w:rPr>
          <w:sz w:val="28"/>
          <w:szCs w:val="28"/>
        </w:rPr>
        <w:t>Виконано роботи з будівництва каналізаційного колектору від вул. Кремлівської до вул. Істоміна»</w:t>
      </w:r>
      <w:r w:rsidR="00DE6561">
        <w:rPr>
          <w:sz w:val="28"/>
          <w:szCs w:val="28"/>
        </w:rPr>
        <w:t>.</w:t>
      </w:r>
    </w:p>
    <w:p w:rsidR="00EE0044" w:rsidRPr="000C6D80" w:rsidRDefault="00EE0044" w:rsidP="003C2CFB">
      <w:pPr>
        <w:pStyle w:val="213"/>
        <w:spacing w:after="0" w:line="240" w:lineRule="auto"/>
        <w:ind w:firstLine="709"/>
        <w:jc w:val="both"/>
        <w:rPr>
          <w:sz w:val="28"/>
          <w:szCs w:val="28"/>
        </w:rPr>
      </w:pPr>
      <w:r w:rsidRPr="00AB099E">
        <w:rPr>
          <w:sz w:val="28"/>
          <w:szCs w:val="28"/>
        </w:rPr>
        <w:t>В рамках міської цільової програми забезпечення молоді житлом надано кредити 7</w:t>
      </w:r>
      <w:r>
        <w:rPr>
          <w:sz w:val="28"/>
          <w:szCs w:val="28"/>
        </w:rPr>
        <w:t>-ми</w:t>
      </w:r>
      <w:r w:rsidRPr="00AB099E">
        <w:rPr>
          <w:sz w:val="28"/>
          <w:szCs w:val="28"/>
        </w:rPr>
        <w:t xml:space="preserve"> </w:t>
      </w:r>
      <w:r w:rsidR="00AF57BF">
        <w:rPr>
          <w:sz w:val="28"/>
          <w:szCs w:val="28"/>
        </w:rPr>
        <w:t>позичальникам на загальну суму 6,3</w:t>
      </w:r>
      <w:r w:rsidRPr="00AB099E">
        <w:rPr>
          <w:sz w:val="28"/>
          <w:szCs w:val="28"/>
        </w:rPr>
        <w:t xml:space="preserve"> млн.грн. </w:t>
      </w:r>
      <w:r w:rsidRPr="000C6D80">
        <w:rPr>
          <w:sz w:val="28"/>
          <w:szCs w:val="28"/>
        </w:rPr>
        <w:t xml:space="preserve">на придбання житла загальною площею </w:t>
      </w:r>
      <w:r w:rsidR="000C6D80" w:rsidRPr="000C6D80">
        <w:rPr>
          <w:sz w:val="28"/>
          <w:szCs w:val="28"/>
        </w:rPr>
        <w:t>612</w:t>
      </w:r>
      <w:r w:rsidRPr="000C6D80">
        <w:rPr>
          <w:sz w:val="28"/>
          <w:szCs w:val="28"/>
        </w:rPr>
        <w:t>,7 </w:t>
      </w:r>
      <w:proofErr w:type="spellStart"/>
      <w:r w:rsidRPr="000C6D80">
        <w:rPr>
          <w:sz w:val="28"/>
          <w:szCs w:val="28"/>
        </w:rPr>
        <w:t>кв.м</w:t>
      </w:r>
      <w:proofErr w:type="spellEnd"/>
      <w:r w:rsidRPr="000C6D80">
        <w:rPr>
          <w:sz w:val="28"/>
          <w:szCs w:val="28"/>
        </w:rPr>
        <w:t xml:space="preserve">. </w:t>
      </w:r>
    </w:p>
    <w:p w:rsidR="00393789" w:rsidRPr="00497120" w:rsidRDefault="00393789" w:rsidP="00541B47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225447" w:rsidRPr="00497120" w:rsidRDefault="00225447" w:rsidP="00541B47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sectPr w:rsidR="00225447" w:rsidRPr="00497120" w:rsidSect="00484700">
      <w:headerReference w:type="even" r:id="rId13"/>
      <w:headerReference w:type="default" r:id="rId14"/>
      <w:pgSz w:w="11906" w:h="16838"/>
      <w:pgMar w:top="851" w:right="567" w:bottom="709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1E" w:rsidRDefault="00FA0E1E">
      <w:r>
        <w:separator/>
      </w:r>
    </w:p>
  </w:endnote>
  <w:endnote w:type="continuationSeparator" w:id="0">
    <w:p w:rsidR="00FA0E1E" w:rsidRDefault="00FA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1E" w:rsidRDefault="00FA0E1E">
      <w:r>
        <w:separator/>
      </w:r>
    </w:p>
  </w:footnote>
  <w:footnote w:type="continuationSeparator" w:id="0">
    <w:p w:rsidR="00FA0E1E" w:rsidRDefault="00FA0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8D" w:rsidRDefault="001557C2" w:rsidP="009A08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668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668D" w:rsidRDefault="009166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8D" w:rsidRDefault="001557C2" w:rsidP="009A08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668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796C">
      <w:rPr>
        <w:rStyle w:val="aa"/>
        <w:noProof/>
      </w:rPr>
      <w:t>9</w:t>
    </w:r>
    <w:r>
      <w:rPr>
        <w:rStyle w:val="aa"/>
      </w:rPr>
      <w:fldChar w:fldCharType="end"/>
    </w:r>
  </w:p>
  <w:p w:rsidR="0091668D" w:rsidRDefault="009166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227"/>
    <w:multiLevelType w:val="hybridMultilevel"/>
    <w:tmpl w:val="9A9CCFAC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41264CF"/>
    <w:multiLevelType w:val="hybridMultilevel"/>
    <w:tmpl w:val="0DBAED3E"/>
    <w:lvl w:ilvl="0" w:tplc="7A2A2A8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8FF5C17"/>
    <w:multiLevelType w:val="hybridMultilevel"/>
    <w:tmpl w:val="E0CED3B4"/>
    <w:lvl w:ilvl="0" w:tplc="1A3014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0AA6423D"/>
    <w:multiLevelType w:val="hybridMultilevel"/>
    <w:tmpl w:val="B364A078"/>
    <w:lvl w:ilvl="0" w:tplc="D1E85DB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E6210"/>
    <w:multiLevelType w:val="hybridMultilevel"/>
    <w:tmpl w:val="9AB45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92BF9"/>
    <w:multiLevelType w:val="hybridMultilevel"/>
    <w:tmpl w:val="04521904"/>
    <w:lvl w:ilvl="0" w:tplc="8DC8AAC6">
      <w:start w:val="2011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D7A07F8"/>
    <w:multiLevelType w:val="hybridMultilevel"/>
    <w:tmpl w:val="C6880C36"/>
    <w:lvl w:ilvl="0" w:tplc="46FC9F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EAA0803"/>
    <w:multiLevelType w:val="hybridMultilevel"/>
    <w:tmpl w:val="F9DE5E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0F1E85"/>
    <w:multiLevelType w:val="hybridMultilevel"/>
    <w:tmpl w:val="CE32F24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1E6769"/>
    <w:multiLevelType w:val="hybridMultilevel"/>
    <w:tmpl w:val="6E0059D8"/>
    <w:lvl w:ilvl="0" w:tplc="3100512C">
      <w:start w:val="20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A30D42"/>
    <w:multiLevelType w:val="hybridMultilevel"/>
    <w:tmpl w:val="D19E37C0"/>
    <w:lvl w:ilvl="0" w:tplc="604245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1A603B"/>
    <w:multiLevelType w:val="hybridMultilevel"/>
    <w:tmpl w:val="67A0FDEE"/>
    <w:lvl w:ilvl="0" w:tplc="B1D600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82334B"/>
    <w:multiLevelType w:val="hybridMultilevel"/>
    <w:tmpl w:val="F814B89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63761A"/>
    <w:multiLevelType w:val="hybridMultilevel"/>
    <w:tmpl w:val="9AB808B2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8683177"/>
    <w:multiLevelType w:val="hybridMultilevel"/>
    <w:tmpl w:val="338E5926"/>
    <w:lvl w:ilvl="0" w:tplc="993C3E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A9E747F"/>
    <w:multiLevelType w:val="hybridMultilevel"/>
    <w:tmpl w:val="DEBA2A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6">
    <w:nsid w:val="6E24273A"/>
    <w:multiLevelType w:val="hybridMultilevel"/>
    <w:tmpl w:val="F7CAABCC"/>
    <w:lvl w:ilvl="0" w:tplc="FD7ADB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0B52B7B"/>
    <w:multiLevelType w:val="hybridMultilevel"/>
    <w:tmpl w:val="B712C54C"/>
    <w:lvl w:ilvl="0" w:tplc="FD7AD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E0E24"/>
    <w:multiLevelType w:val="hybridMultilevel"/>
    <w:tmpl w:val="8068922E"/>
    <w:lvl w:ilvl="0" w:tplc="4C9A42E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7A4A4E72"/>
    <w:multiLevelType w:val="hybridMultilevel"/>
    <w:tmpl w:val="3C50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AC32DD"/>
    <w:multiLevelType w:val="hybridMultilevel"/>
    <w:tmpl w:val="FF2CFA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18"/>
  </w:num>
  <w:num w:numId="8">
    <w:abstractNumId w:val="10"/>
  </w:num>
  <w:num w:numId="9">
    <w:abstractNumId w:val="6"/>
  </w:num>
  <w:num w:numId="10">
    <w:abstractNumId w:val="1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4"/>
  </w:num>
  <w:num w:numId="18">
    <w:abstractNumId w:val="0"/>
  </w:num>
  <w:num w:numId="19">
    <w:abstractNumId w:val="7"/>
  </w:num>
  <w:num w:numId="20">
    <w:abstractNumId w:val="1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229"/>
    <w:rsid w:val="0000139B"/>
    <w:rsid w:val="00002C3E"/>
    <w:rsid w:val="0000461B"/>
    <w:rsid w:val="00004AD9"/>
    <w:rsid w:val="00004CDB"/>
    <w:rsid w:val="00012F00"/>
    <w:rsid w:val="00013EE8"/>
    <w:rsid w:val="000140BC"/>
    <w:rsid w:val="00014909"/>
    <w:rsid w:val="00014D8E"/>
    <w:rsid w:val="000175C6"/>
    <w:rsid w:val="00017686"/>
    <w:rsid w:val="00021459"/>
    <w:rsid w:val="00021D45"/>
    <w:rsid w:val="00022CD2"/>
    <w:rsid w:val="00024092"/>
    <w:rsid w:val="00026492"/>
    <w:rsid w:val="000300B0"/>
    <w:rsid w:val="000315AB"/>
    <w:rsid w:val="0003412C"/>
    <w:rsid w:val="00034638"/>
    <w:rsid w:val="0003703B"/>
    <w:rsid w:val="0004031D"/>
    <w:rsid w:val="000422F9"/>
    <w:rsid w:val="00046A7B"/>
    <w:rsid w:val="00050D58"/>
    <w:rsid w:val="00050F60"/>
    <w:rsid w:val="000527BF"/>
    <w:rsid w:val="00052E69"/>
    <w:rsid w:val="00055598"/>
    <w:rsid w:val="00055898"/>
    <w:rsid w:val="000565D4"/>
    <w:rsid w:val="000566F5"/>
    <w:rsid w:val="000569B4"/>
    <w:rsid w:val="00057602"/>
    <w:rsid w:val="000602F8"/>
    <w:rsid w:val="0006283D"/>
    <w:rsid w:val="00063C53"/>
    <w:rsid w:val="00063F5B"/>
    <w:rsid w:val="00064255"/>
    <w:rsid w:val="0006426B"/>
    <w:rsid w:val="00065FB2"/>
    <w:rsid w:val="00067497"/>
    <w:rsid w:val="000674F0"/>
    <w:rsid w:val="00067734"/>
    <w:rsid w:val="00067838"/>
    <w:rsid w:val="00067979"/>
    <w:rsid w:val="00072177"/>
    <w:rsid w:val="00083D58"/>
    <w:rsid w:val="0008476C"/>
    <w:rsid w:val="0008595D"/>
    <w:rsid w:val="00090662"/>
    <w:rsid w:val="00090E8B"/>
    <w:rsid w:val="00091373"/>
    <w:rsid w:val="00091DF0"/>
    <w:rsid w:val="00092D44"/>
    <w:rsid w:val="00093FD8"/>
    <w:rsid w:val="000A1309"/>
    <w:rsid w:val="000A30DB"/>
    <w:rsid w:val="000A352B"/>
    <w:rsid w:val="000A364F"/>
    <w:rsid w:val="000B2A00"/>
    <w:rsid w:val="000B42F8"/>
    <w:rsid w:val="000B4B65"/>
    <w:rsid w:val="000B527C"/>
    <w:rsid w:val="000B5BF8"/>
    <w:rsid w:val="000B5D0D"/>
    <w:rsid w:val="000B6E27"/>
    <w:rsid w:val="000C36E7"/>
    <w:rsid w:val="000C45CF"/>
    <w:rsid w:val="000C507A"/>
    <w:rsid w:val="000C50CA"/>
    <w:rsid w:val="000C5129"/>
    <w:rsid w:val="000C56E1"/>
    <w:rsid w:val="000C651B"/>
    <w:rsid w:val="000C6D80"/>
    <w:rsid w:val="000D08D3"/>
    <w:rsid w:val="000D165E"/>
    <w:rsid w:val="000D2BED"/>
    <w:rsid w:val="000D538C"/>
    <w:rsid w:val="000E186A"/>
    <w:rsid w:val="000E1BAE"/>
    <w:rsid w:val="000E20AE"/>
    <w:rsid w:val="000E23CF"/>
    <w:rsid w:val="000E4D11"/>
    <w:rsid w:val="000F23BA"/>
    <w:rsid w:val="000F2AF0"/>
    <w:rsid w:val="000F4103"/>
    <w:rsid w:val="000F50B3"/>
    <w:rsid w:val="000F54FD"/>
    <w:rsid w:val="000F7427"/>
    <w:rsid w:val="000F7944"/>
    <w:rsid w:val="000F7C74"/>
    <w:rsid w:val="00101267"/>
    <w:rsid w:val="00104165"/>
    <w:rsid w:val="001048F7"/>
    <w:rsid w:val="0010591A"/>
    <w:rsid w:val="001077D8"/>
    <w:rsid w:val="00107C3B"/>
    <w:rsid w:val="001103EE"/>
    <w:rsid w:val="00110868"/>
    <w:rsid w:val="00111615"/>
    <w:rsid w:val="00111EC8"/>
    <w:rsid w:val="00112745"/>
    <w:rsid w:val="00113740"/>
    <w:rsid w:val="00113D5D"/>
    <w:rsid w:val="001144F8"/>
    <w:rsid w:val="001173C5"/>
    <w:rsid w:val="001174D4"/>
    <w:rsid w:val="00117DF8"/>
    <w:rsid w:val="001200F8"/>
    <w:rsid w:val="00120CBE"/>
    <w:rsid w:val="0012165D"/>
    <w:rsid w:val="00123372"/>
    <w:rsid w:val="00125E71"/>
    <w:rsid w:val="00126736"/>
    <w:rsid w:val="00126C9E"/>
    <w:rsid w:val="001304BA"/>
    <w:rsid w:val="00130997"/>
    <w:rsid w:val="001329DB"/>
    <w:rsid w:val="00132C4E"/>
    <w:rsid w:val="00132F2A"/>
    <w:rsid w:val="0013319E"/>
    <w:rsid w:val="00135F68"/>
    <w:rsid w:val="001361B2"/>
    <w:rsid w:val="001412CB"/>
    <w:rsid w:val="00142DF8"/>
    <w:rsid w:val="00142F65"/>
    <w:rsid w:val="0014601B"/>
    <w:rsid w:val="00147891"/>
    <w:rsid w:val="0014796C"/>
    <w:rsid w:val="001501D9"/>
    <w:rsid w:val="00150E9B"/>
    <w:rsid w:val="00150EBA"/>
    <w:rsid w:val="00151A72"/>
    <w:rsid w:val="00154DCD"/>
    <w:rsid w:val="001557C2"/>
    <w:rsid w:val="00155BD9"/>
    <w:rsid w:val="001568DD"/>
    <w:rsid w:val="001621E3"/>
    <w:rsid w:val="0016267A"/>
    <w:rsid w:val="0016343E"/>
    <w:rsid w:val="00165238"/>
    <w:rsid w:val="00165A80"/>
    <w:rsid w:val="00165BAF"/>
    <w:rsid w:val="0017178C"/>
    <w:rsid w:val="00180467"/>
    <w:rsid w:val="001812AC"/>
    <w:rsid w:val="00181753"/>
    <w:rsid w:val="00183AD5"/>
    <w:rsid w:val="00185319"/>
    <w:rsid w:val="001866CD"/>
    <w:rsid w:val="00186EDF"/>
    <w:rsid w:val="001879F4"/>
    <w:rsid w:val="00187FC3"/>
    <w:rsid w:val="001902E2"/>
    <w:rsid w:val="0019049D"/>
    <w:rsid w:val="001916B4"/>
    <w:rsid w:val="00192E49"/>
    <w:rsid w:val="001955A5"/>
    <w:rsid w:val="001957BE"/>
    <w:rsid w:val="001A0E81"/>
    <w:rsid w:val="001A254E"/>
    <w:rsid w:val="001A6E20"/>
    <w:rsid w:val="001A79AF"/>
    <w:rsid w:val="001B17DE"/>
    <w:rsid w:val="001B1AA0"/>
    <w:rsid w:val="001B1C6D"/>
    <w:rsid w:val="001B236A"/>
    <w:rsid w:val="001B4539"/>
    <w:rsid w:val="001B5D4F"/>
    <w:rsid w:val="001B63E2"/>
    <w:rsid w:val="001C0752"/>
    <w:rsid w:val="001C17EE"/>
    <w:rsid w:val="001C5126"/>
    <w:rsid w:val="001C52B3"/>
    <w:rsid w:val="001D35D3"/>
    <w:rsid w:val="001D5B2E"/>
    <w:rsid w:val="001D6070"/>
    <w:rsid w:val="001D6681"/>
    <w:rsid w:val="001D7990"/>
    <w:rsid w:val="001E03DA"/>
    <w:rsid w:val="001E3AB5"/>
    <w:rsid w:val="001E3D1D"/>
    <w:rsid w:val="001E557C"/>
    <w:rsid w:val="001E5E8E"/>
    <w:rsid w:val="001E6CAC"/>
    <w:rsid w:val="001F049C"/>
    <w:rsid w:val="001F33E8"/>
    <w:rsid w:val="001F41C8"/>
    <w:rsid w:val="001F433D"/>
    <w:rsid w:val="001F6EF4"/>
    <w:rsid w:val="001F7125"/>
    <w:rsid w:val="001F7293"/>
    <w:rsid w:val="00202F90"/>
    <w:rsid w:val="00204BF7"/>
    <w:rsid w:val="00205000"/>
    <w:rsid w:val="002051C6"/>
    <w:rsid w:val="002053D6"/>
    <w:rsid w:val="00205BE2"/>
    <w:rsid w:val="002069AC"/>
    <w:rsid w:val="00207728"/>
    <w:rsid w:val="00207CAE"/>
    <w:rsid w:val="0021214E"/>
    <w:rsid w:val="00213A50"/>
    <w:rsid w:val="0021481F"/>
    <w:rsid w:val="00215A9D"/>
    <w:rsid w:val="00215CD5"/>
    <w:rsid w:val="00215F19"/>
    <w:rsid w:val="00217327"/>
    <w:rsid w:val="002200BA"/>
    <w:rsid w:val="002202DE"/>
    <w:rsid w:val="00221CD0"/>
    <w:rsid w:val="00225447"/>
    <w:rsid w:val="00227ECA"/>
    <w:rsid w:val="00233D9A"/>
    <w:rsid w:val="0023464A"/>
    <w:rsid w:val="00235B33"/>
    <w:rsid w:val="00237192"/>
    <w:rsid w:val="00242EE0"/>
    <w:rsid w:val="002448DC"/>
    <w:rsid w:val="00247826"/>
    <w:rsid w:val="00250252"/>
    <w:rsid w:val="00252C87"/>
    <w:rsid w:val="00253ED8"/>
    <w:rsid w:val="00256974"/>
    <w:rsid w:val="00256FB1"/>
    <w:rsid w:val="00262008"/>
    <w:rsid w:val="00263E02"/>
    <w:rsid w:val="00264854"/>
    <w:rsid w:val="002656E3"/>
    <w:rsid w:val="00267A09"/>
    <w:rsid w:val="00267AAB"/>
    <w:rsid w:val="00270A1C"/>
    <w:rsid w:val="0027258A"/>
    <w:rsid w:val="00274030"/>
    <w:rsid w:val="002764B5"/>
    <w:rsid w:val="002770DD"/>
    <w:rsid w:val="00277783"/>
    <w:rsid w:val="002778DF"/>
    <w:rsid w:val="002815A5"/>
    <w:rsid w:val="00281E6E"/>
    <w:rsid w:val="002820F8"/>
    <w:rsid w:val="00283BE3"/>
    <w:rsid w:val="00284899"/>
    <w:rsid w:val="00284B1C"/>
    <w:rsid w:val="0028630D"/>
    <w:rsid w:val="0028722C"/>
    <w:rsid w:val="002901AD"/>
    <w:rsid w:val="00293EA3"/>
    <w:rsid w:val="002941F6"/>
    <w:rsid w:val="002A0C83"/>
    <w:rsid w:val="002A1970"/>
    <w:rsid w:val="002A2088"/>
    <w:rsid w:val="002A2933"/>
    <w:rsid w:val="002A2F26"/>
    <w:rsid w:val="002A3C03"/>
    <w:rsid w:val="002A54DC"/>
    <w:rsid w:val="002A5571"/>
    <w:rsid w:val="002A59A1"/>
    <w:rsid w:val="002A6FBF"/>
    <w:rsid w:val="002B0AB4"/>
    <w:rsid w:val="002B1095"/>
    <w:rsid w:val="002B1A5A"/>
    <w:rsid w:val="002B21D0"/>
    <w:rsid w:val="002B2964"/>
    <w:rsid w:val="002B38AE"/>
    <w:rsid w:val="002B4391"/>
    <w:rsid w:val="002B5985"/>
    <w:rsid w:val="002B5BA6"/>
    <w:rsid w:val="002B62DA"/>
    <w:rsid w:val="002C0105"/>
    <w:rsid w:val="002C0F8E"/>
    <w:rsid w:val="002C3462"/>
    <w:rsid w:val="002C473D"/>
    <w:rsid w:val="002C47AA"/>
    <w:rsid w:val="002C48F3"/>
    <w:rsid w:val="002C54EB"/>
    <w:rsid w:val="002C5650"/>
    <w:rsid w:val="002C5668"/>
    <w:rsid w:val="002C6817"/>
    <w:rsid w:val="002D0431"/>
    <w:rsid w:val="002D23F4"/>
    <w:rsid w:val="002D3225"/>
    <w:rsid w:val="002D3398"/>
    <w:rsid w:val="002D415D"/>
    <w:rsid w:val="002D56D5"/>
    <w:rsid w:val="002E2FA5"/>
    <w:rsid w:val="002E37B3"/>
    <w:rsid w:val="002E3D08"/>
    <w:rsid w:val="002E4050"/>
    <w:rsid w:val="002E536E"/>
    <w:rsid w:val="002E5FA8"/>
    <w:rsid w:val="002E5FC9"/>
    <w:rsid w:val="002E6032"/>
    <w:rsid w:val="002E6724"/>
    <w:rsid w:val="002F280D"/>
    <w:rsid w:val="002F3873"/>
    <w:rsid w:val="002F7315"/>
    <w:rsid w:val="00300E5D"/>
    <w:rsid w:val="0030127A"/>
    <w:rsid w:val="0030139C"/>
    <w:rsid w:val="00301E31"/>
    <w:rsid w:val="003100CB"/>
    <w:rsid w:val="00310EAF"/>
    <w:rsid w:val="00312874"/>
    <w:rsid w:val="003153D1"/>
    <w:rsid w:val="00315626"/>
    <w:rsid w:val="00315772"/>
    <w:rsid w:val="00324123"/>
    <w:rsid w:val="003241E9"/>
    <w:rsid w:val="00326067"/>
    <w:rsid w:val="00326FEB"/>
    <w:rsid w:val="00330378"/>
    <w:rsid w:val="003314DF"/>
    <w:rsid w:val="003318A0"/>
    <w:rsid w:val="00331A1B"/>
    <w:rsid w:val="0033351E"/>
    <w:rsid w:val="0033553D"/>
    <w:rsid w:val="00336AFC"/>
    <w:rsid w:val="00337811"/>
    <w:rsid w:val="00337C1F"/>
    <w:rsid w:val="00340F9E"/>
    <w:rsid w:val="00341053"/>
    <w:rsid w:val="00341D3C"/>
    <w:rsid w:val="00344A38"/>
    <w:rsid w:val="00345E08"/>
    <w:rsid w:val="003465EC"/>
    <w:rsid w:val="00346B95"/>
    <w:rsid w:val="003504FD"/>
    <w:rsid w:val="00351118"/>
    <w:rsid w:val="00351CDA"/>
    <w:rsid w:val="0035243D"/>
    <w:rsid w:val="00355069"/>
    <w:rsid w:val="00355907"/>
    <w:rsid w:val="00360C75"/>
    <w:rsid w:val="00364928"/>
    <w:rsid w:val="00364DFC"/>
    <w:rsid w:val="00365005"/>
    <w:rsid w:val="00367632"/>
    <w:rsid w:val="00367C87"/>
    <w:rsid w:val="00370602"/>
    <w:rsid w:val="00370A0F"/>
    <w:rsid w:val="00371094"/>
    <w:rsid w:val="003806C0"/>
    <w:rsid w:val="00382104"/>
    <w:rsid w:val="003847C7"/>
    <w:rsid w:val="00385309"/>
    <w:rsid w:val="003868C2"/>
    <w:rsid w:val="00386B42"/>
    <w:rsid w:val="00386FC8"/>
    <w:rsid w:val="00387522"/>
    <w:rsid w:val="003875D6"/>
    <w:rsid w:val="00387DB5"/>
    <w:rsid w:val="00391F30"/>
    <w:rsid w:val="003921B7"/>
    <w:rsid w:val="00393789"/>
    <w:rsid w:val="00394572"/>
    <w:rsid w:val="0039478B"/>
    <w:rsid w:val="00395C97"/>
    <w:rsid w:val="00395CF5"/>
    <w:rsid w:val="00395DAD"/>
    <w:rsid w:val="0039714D"/>
    <w:rsid w:val="003A19FB"/>
    <w:rsid w:val="003A28F3"/>
    <w:rsid w:val="003A2A0F"/>
    <w:rsid w:val="003A508F"/>
    <w:rsid w:val="003A579E"/>
    <w:rsid w:val="003A5E27"/>
    <w:rsid w:val="003A7124"/>
    <w:rsid w:val="003A76E0"/>
    <w:rsid w:val="003B3CB3"/>
    <w:rsid w:val="003B469A"/>
    <w:rsid w:val="003B4710"/>
    <w:rsid w:val="003B500A"/>
    <w:rsid w:val="003B7657"/>
    <w:rsid w:val="003C2CFB"/>
    <w:rsid w:val="003C4C67"/>
    <w:rsid w:val="003C51F4"/>
    <w:rsid w:val="003C6E4A"/>
    <w:rsid w:val="003C772D"/>
    <w:rsid w:val="003D0228"/>
    <w:rsid w:val="003D1B33"/>
    <w:rsid w:val="003D24CB"/>
    <w:rsid w:val="003D27EE"/>
    <w:rsid w:val="003D53C3"/>
    <w:rsid w:val="003D7168"/>
    <w:rsid w:val="003E0E40"/>
    <w:rsid w:val="003E1A77"/>
    <w:rsid w:val="003E258E"/>
    <w:rsid w:val="003E4075"/>
    <w:rsid w:val="003E6806"/>
    <w:rsid w:val="003E6E52"/>
    <w:rsid w:val="003E6EDD"/>
    <w:rsid w:val="003F0B08"/>
    <w:rsid w:val="003F48A4"/>
    <w:rsid w:val="003F4EB8"/>
    <w:rsid w:val="003F5013"/>
    <w:rsid w:val="003F7453"/>
    <w:rsid w:val="00401CBB"/>
    <w:rsid w:val="00402C46"/>
    <w:rsid w:val="004030F8"/>
    <w:rsid w:val="004031B5"/>
    <w:rsid w:val="00403C04"/>
    <w:rsid w:val="004052F8"/>
    <w:rsid w:val="00405B10"/>
    <w:rsid w:val="00406156"/>
    <w:rsid w:val="00407CFE"/>
    <w:rsid w:val="00410291"/>
    <w:rsid w:val="00411268"/>
    <w:rsid w:val="004112C3"/>
    <w:rsid w:val="00413EAC"/>
    <w:rsid w:val="00415E02"/>
    <w:rsid w:val="0041678D"/>
    <w:rsid w:val="004176D6"/>
    <w:rsid w:val="00417AFC"/>
    <w:rsid w:val="0042129C"/>
    <w:rsid w:val="0042163A"/>
    <w:rsid w:val="0042223B"/>
    <w:rsid w:val="00423348"/>
    <w:rsid w:val="00424910"/>
    <w:rsid w:val="00427253"/>
    <w:rsid w:val="00427285"/>
    <w:rsid w:val="00430ADA"/>
    <w:rsid w:val="00430B97"/>
    <w:rsid w:val="0043146A"/>
    <w:rsid w:val="00434076"/>
    <w:rsid w:val="00435A08"/>
    <w:rsid w:val="00436075"/>
    <w:rsid w:val="00441E85"/>
    <w:rsid w:val="0044309A"/>
    <w:rsid w:val="00445205"/>
    <w:rsid w:val="00445EC6"/>
    <w:rsid w:val="00451DC3"/>
    <w:rsid w:val="004520B8"/>
    <w:rsid w:val="004547EF"/>
    <w:rsid w:val="0045503E"/>
    <w:rsid w:val="0045665E"/>
    <w:rsid w:val="00457D83"/>
    <w:rsid w:val="0046163D"/>
    <w:rsid w:val="004616E1"/>
    <w:rsid w:val="004646BB"/>
    <w:rsid w:val="0046498E"/>
    <w:rsid w:val="00464DBE"/>
    <w:rsid w:val="004666C8"/>
    <w:rsid w:val="0047039B"/>
    <w:rsid w:val="00470E98"/>
    <w:rsid w:val="004710E4"/>
    <w:rsid w:val="004717DF"/>
    <w:rsid w:val="004719D4"/>
    <w:rsid w:val="00472B4A"/>
    <w:rsid w:val="00473140"/>
    <w:rsid w:val="004753E3"/>
    <w:rsid w:val="00477DF7"/>
    <w:rsid w:val="00481117"/>
    <w:rsid w:val="004812E5"/>
    <w:rsid w:val="00481756"/>
    <w:rsid w:val="00482D23"/>
    <w:rsid w:val="00482ED4"/>
    <w:rsid w:val="00483D76"/>
    <w:rsid w:val="00483E34"/>
    <w:rsid w:val="00484700"/>
    <w:rsid w:val="0048506E"/>
    <w:rsid w:val="004854C1"/>
    <w:rsid w:val="00487596"/>
    <w:rsid w:val="0049054F"/>
    <w:rsid w:val="00491D7A"/>
    <w:rsid w:val="00491F77"/>
    <w:rsid w:val="00492268"/>
    <w:rsid w:val="004935A6"/>
    <w:rsid w:val="00493E5E"/>
    <w:rsid w:val="00495122"/>
    <w:rsid w:val="0049658B"/>
    <w:rsid w:val="00496D89"/>
    <w:rsid w:val="00496E73"/>
    <w:rsid w:val="00497120"/>
    <w:rsid w:val="00497892"/>
    <w:rsid w:val="004A09DB"/>
    <w:rsid w:val="004A0FDE"/>
    <w:rsid w:val="004A1D18"/>
    <w:rsid w:val="004A28AB"/>
    <w:rsid w:val="004A5E9D"/>
    <w:rsid w:val="004A63EF"/>
    <w:rsid w:val="004A7685"/>
    <w:rsid w:val="004A76B0"/>
    <w:rsid w:val="004B01EE"/>
    <w:rsid w:val="004B2831"/>
    <w:rsid w:val="004B5BE2"/>
    <w:rsid w:val="004B7913"/>
    <w:rsid w:val="004C38FC"/>
    <w:rsid w:val="004C406E"/>
    <w:rsid w:val="004C4602"/>
    <w:rsid w:val="004C590F"/>
    <w:rsid w:val="004C601E"/>
    <w:rsid w:val="004D0F70"/>
    <w:rsid w:val="004D249A"/>
    <w:rsid w:val="004D722E"/>
    <w:rsid w:val="004E0189"/>
    <w:rsid w:val="004E28C0"/>
    <w:rsid w:val="004E2D2E"/>
    <w:rsid w:val="004E43FC"/>
    <w:rsid w:val="004E5C6D"/>
    <w:rsid w:val="004E5DDD"/>
    <w:rsid w:val="004E7272"/>
    <w:rsid w:val="004E75EB"/>
    <w:rsid w:val="004F2073"/>
    <w:rsid w:val="004F3053"/>
    <w:rsid w:val="004F36E4"/>
    <w:rsid w:val="004F585B"/>
    <w:rsid w:val="004F6F1A"/>
    <w:rsid w:val="004F72CF"/>
    <w:rsid w:val="004F7F71"/>
    <w:rsid w:val="00500A96"/>
    <w:rsid w:val="00506441"/>
    <w:rsid w:val="00506652"/>
    <w:rsid w:val="005068D2"/>
    <w:rsid w:val="00507846"/>
    <w:rsid w:val="00510DD2"/>
    <w:rsid w:val="00510FEF"/>
    <w:rsid w:val="00513B18"/>
    <w:rsid w:val="005203A3"/>
    <w:rsid w:val="0052063F"/>
    <w:rsid w:val="00522707"/>
    <w:rsid w:val="0052407A"/>
    <w:rsid w:val="0052460D"/>
    <w:rsid w:val="0052527C"/>
    <w:rsid w:val="00525CAE"/>
    <w:rsid w:val="00530328"/>
    <w:rsid w:val="00531023"/>
    <w:rsid w:val="00534B08"/>
    <w:rsid w:val="00537689"/>
    <w:rsid w:val="00541B47"/>
    <w:rsid w:val="00541BE7"/>
    <w:rsid w:val="00543647"/>
    <w:rsid w:val="00547A4A"/>
    <w:rsid w:val="00553689"/>
    <w:rsid w:val="005536D1"/>
    <w:rsid w:val="00556BEE"/>
    <w:rsid w:val="005575F6"/>
    <w:rsid w:val="00562952"/>
    <w:rsid w:val="00565559"/>
    <w:rsid w:val="00567EF3"/>
    <w:rsid w:val="00573873"/>
    <w:rsid w:val="00573EAD"/>
    <w:rsid w:val="00574729"/>
    <w:rsid w:val="00576B2D"/>
    <w:rsid w:val="00577F00"/>
    <w:rsid w:val="005802F3"/>
    <w:rsid w:val="00580333"/>
    <w:rsid w:val="0058193D"/>
    <w:rsid w:val="00581D9F"/>
    <w:rsid w:val="00585462"/>
    <w:rsid w:val="00586A1E"/>
    <w:rsid w:val="005874AC"/>
    <w:rsid w:val="00591F88"/>
    <w:rsid w:val="0059238E"/>
    <w:rsid w:val="0059469D"/>
    <w:rsid w:val="005953A2"/>
    <w:rsid w:val="0059632C"/>
    <w:rsid w:val="0059790E"/>
    <w:rsid w:val="005979B7"/>
    <w:rsid w:val="005A031F"/>
    <w:rsid w:val="005A067B"/>
    <w:rsid w:val="005A5EB2"/>
    <w:rsid w:val="005B39EE"/>
    <w:rsid w:val="005B3B3A"/>
    <w:rsid w:val="005B3F31"/>
    <w:rsid w:val="005B6B75"/>
    <w:rsid w:val="005B7FAF"/>
    <w:rsid w:val="005C00CD"/>
    <w:rsid w:val="005C2246"/>
    <w:rsid w:val="005C2B77"/>
    <w:rsid w:val="005C73A0"/>
    <w:rsid w:val="005C7A49"/>
    <w:rsid w:val="005D0FC3"/>
    <w:rsid w:val="005D2015"/>
    <w:rsid w:val="005D2319"/>
    <w:rsid w:val="005D2594"/>
    <w:rsid w:val="005D5F71"/>
    <w:rsid w:val="005D6F84"/>
    <w:rsid w:val="005D78FB"/>
    <w:rsid w:val="005E1514"/>
    <w:rsid w:val="005E2A49"/>
    <w:rsid w:val="005E3D0F"/>
    <w:rsid w:val="005E3F70"/>
    <w:rsid w:val="005E406D"/>
    <w:rsid w:val="005E643F"/>
    <w:rsid w:val="005E7618"/>
    <w:rsid w:val="005F2878"/>
    <w:rsid w:val="005F2CB2"/>
    <w:rsid w:val="005F3723"/>
    <w:rsid w:val="005F38B7"/>
    <w:rsid w:val="005F4164"/>
    <w:rsid w:val="005F5BED"/>
    <w:rsid w:val="005F62F8"/>
    <w:rsid w:val="005F6941"/>
    <w:rsid w:val="005F6E1C"/>
    <w:rsid w:val="005F71F1"/>
    <w:rsid w:val="005F7F99"/>
    <w:rsid w:val="00600382"/>
    <w:rsid w:val="00601224"/>
    <w:rsid w:val="00601A3A"/>
    <w:rsid w:val="00602ED9"/>
    <w:rsid w:val="00605E57"/>
    <w:rsid w:val="00610020"/>
    <w:rsid w:val="006100D3"/>
    <w:rsid w:val="00612A5A"/>
    <w:rsid w:val="00612F70"/>
    <w:rsid w:val="00614930"/>
    <w:rsid w:val="00615534"/>
    <w:rsid w:val="00621585"/>
    <w:rsid w:val="00622D75"/>
    <w:rsid w:val="00623229"/>
    <w:rsid w:val="0062337F"/>
    <w:rsid w:val="00625041"/>
    <w:rsid w:val="0062551A"/>
    <w:rsid w:val="006266EF"/>
    <w:rsid w:val="006312BB"/>
    <w:rsid w:val="006317AB"/>
    <w:rsid w:val="006321C7"/>
    <w:rsid w:val="00632B95"/>
    <w:rsid w:val="006401DF"/>
    <w:rsid w:val="006423E0"/>
    <w:rsid w:val="006440B8"/>
    <w:rsid w:val="00645E0E"/>
    <w:rsid w:val="00646A7F"/>
    <w:rsid w:val="00646E28"/>
    <w:rsid w:val="00647C21"/>
    <w:rsid w:val="00654F58"/>
    <w:rsid w:val="00660788"/>
    <w:rsid w:val="00664480"/>
    <w:rsid w:val="00665589"/>
    <w:rsid w:val="00666645"/>
    <w:rsid w:val="00666956"/>
    <w:rsid w:val="00666A05"/>
    <w:rsid w:val="0067146F"/>
    <w:rsid w:val="00673798"/>
    <w:rsid w:val="00673A08"/>
    <w:rsid w:val="00673B0F"/>
    <w:rsid w:val="006748A7"/>
    <w:rsid w:val="00675437"/>
    <w:rsid w:val="00675531"/>
    <w:rsid w:val="00675C14"/>
    <w:rsid w:val="006765EF"/>
    <w:rsid w:val="006769F4"/>
    <w:rsid w:val="00677E0F"/>
    <w:rsid w:val="0068172E"/>
    <w:rsid w:val="00684438"/>
    <w:rsid w:val="00685704"/>
    <w:rsid w:val="00691E05"/>
    <w:rsid w:val="006944E2"/>
    <w:rsid w:val="00695A43"/>
    <w:rsid w:val="00697F57"/>
    <w:rsid w:val="006A0AE3"/>
    <w:rsid w:val="006A670D"/>
    <w:rsid w:val="006B01E9"/>
    <w:rsid w:val="006B435D"/>
    <w:rsid w:val="006B5A70"/>
    <w:rsid w:val="006B6B3A"/>
    <w:rsid w:val="006B7A57"/>
    <w:rsid w:val="006C0EDC"/>
    <w:rsid w:val="006C1A4B"/>
    <w:rsid w:val="006C34D8"/>
    <w:rsid w:val="006C5186"/>
    <w:rsid w:val="006D0E65"/>
    <w:rsid w:val="006D0F60"/>
    <w:rsid w:val="006D1689"/>
    <w:rsid w:val="006D1CD5"/>
    <w:rsid w:val="006D5A4A"/>
    <w:rsid w:val="006E3C0A"/>
    <w:rsid w:val="006E51E7"/>
    <w:rsid w:val="006E56E4"/>
    <w:rsid w:val="006E603B"/>
    <w:rsid w:val="006E61CF"/>
    <w:rsid w:val="006E63A4"/>
    <w:rsid w:val="006E669B"/>
    <w:rsid w:val="006E761F"/>
    <w:rsid w:val="006F059A"/>
    <w:rsid w:val="006F2CF8"/>
    <w:rsid w:val="006F3AFF"/>
    <w:rsid w:val="006F783D"/>
    <w:rsid w:val="006F790E"/>
    <w:rsid w:val="00700271"/>
    <w:rsid w:val="00703224"/>
    <w:rsid w:val="00705094"/>
    <w:rsid w:val="007069C9"/>
    <w:rsid w:val="00706DBF"/>
    <w:rsid w:val="00710510"/>
    <w:rsid w:val="0071177E"/>
    <w:rsid w:val="0071315B"/>
    <w:rsid w:val="00713C0C"/>
    <w:rsid w:val="00717481"/>
    <w:rsid w:val="00717670"/>
    <w:rsid w:val="00717F20"/>
    <w:rsid w:val="007225C6"/>
    <w:rsid w:val="00722B10"/>
    <w:rsid w:val="00722D49"/>
    <w:rsid w:val="00722DB8"/>
    <w:rsid w:val="00727948"/>
    <w:rsid w:val="00727B08"/>
    <w:rsid w:val="007314CA"/>
    <w:rsid w:val="00734621"/>
    <w:rsid w:val="007362A1"/>
    <w:rsid w:val="00740B2D"/>
    <w:rsid w:val="00741AE6"/>
    <w:rsid w:val="00742545"/>
    <w:rsid w:val="007432E8"/>
    <w:rsid w:val="00745EB2"/>
    <w:rsid w:val="00746D96"/>
    <w:rsid w:val="00751BB7"/>
    <w:rsid w:val="0075241F"/>
    <w:rsid w:val="00752678"/>
    <w:rsid w:val="00753D91"/>
    <w:rsid w:val="007543EF"/>
    <w:rsid w:val="00756540"/>
    <w:rsid w:val="00757BD6"/>
    <w:rsid w:val="00760E37"/>
    <w:rsid w:val="00760F9F"/>
    <w:rsid w:val="00766BF0"/>
    <w:rsid w:val="00772A68"/>
    <w:rsid w:val="0077436A"/>
    <w:rsid w:val="00774709"/>
    <w:rsid w:val="00774747"/>
    <w:rsid w:val="007778A1"/>
    <w:rsid w:val="00777CED"/>
    <w:rsid w:val="007800C5"/>
    <w:rsid w:val="00780327"/>
    <w:rsid w:val="00781580"/>
    <w:rsid w:val="007817DF"/>
    <w:rsid w:val="007839D7"/>
    <w:rsid w:val="00785E4B"/>
    <w:rsid w:val="007866CB"/>
    <w:rsid w:val="007868D7"/>
    <w:rsid w:val="00786FE3"/>
    <w:rsid w:val="00790AFC"/>
    <w:rsid w:val="0079187B"/>
    <w:rsid w:val="00792907"/>
    <w:rsid w:val="00793D1D"/>
    <w:rsid w:val="00795F51"/>
    <w:rsid w:val="00796AA2"/>
    <w:rsid w:val="007A0EC2"/>
    <w:rsid w:val="007A1324"/>
    <w:rsid w:val="007A18B9"/>
    <w:rsid w:val="007A309D"/>
    <w:rsid w:val="007A397A"/>
    <w:rsid w:val="007A56BC"/>
    <w:rsid w:val="007A7C8F"/>
    <w:rsid w:val="007A7FF6"/>
    <w:rsid w:val="007B0B49"/>
    <w:rsid w:val="007B2259"/>
    <w:rsid w:val="007B264D"/>
    <w:rsid w:val="007B3922"/>
    <w:rsid w:val="007B4430"/>
    <w:rsid w:val="007B5AC6"/>
    <w:rsid w:val="007C00DA"/>
    <w:rsid w:val="007C0896"/>
    <w:rsid w:val="007C1316"/>
    <w:rsid w:val="007C4472"/>
    <w:rsid w:val="007C5448"/>
    <w:rsid w:val="007C5993"/>
    <w:rsid w:val="007C6037"/>
    <w:rsid w:val="007C730F"/>
    <w:rsid w:val="007C7881"/>
    <w:rsid w:val="007D0073"/>
    <w:rsid w:val="007D1F45"/>
    <w:rsid w:val="007D206A"/>
    <w:rsid w:val="007D267D"/>
    <w:rsid w:val="007D314F"/>
    <w:rsid w:val="007D34A1"/>
    <w:rsid w:val="007D4FBE"/>
    <w:rsid w:val="007D7030"/>
    <w:rsid w:val="007D790B"/>
    <w:rsid w:val="007E0BF6"/>
    <w:rsid w:val="007E1C85"/>
    <w:rsid w:val="007E2709"/>
    <w:rsid w:val="007E2748"/>
    <w:rsid w:val="007E3769"/>
    <w:rsid w:val="007E37BA"/>
    <w:rsid w:val="007E5CBC"/>
    <w:rsid w:val="007E6BFE"/>
    <w:rsid w:val="007E6F85"/>
    <w:rsid w:val="007E7E41"/>
    <w:rsid w:val="007F0249"/>
    <w:rsid w:val="007F2070"/>
    <w:rsid w:val="007F7B32"/>
    <w:rsid w:val="007F7EBA"/>
    <w:rsid w:val="008022B8"/>
    <w:rsid w:val="00806F91"/>
    <w:rsid w:val="00807257"/>
    <w:rsid w:val="0081314E"/>
    <w:rsid w:val="00822031"/>
    <w:rsid w:val="008224F8"/>
    <w:rsid w:val="00824E10"/>
    <w:rsid w:val="0082573A"/>
    <w:rsid w:val="00826597"/>
    <w:rsid w:val="00834328"/>
    <w:rsid w:val="0083532E"/>
    <w:rsid w:val="00835D8E"/>
    <w:rsid w:val="00837B68"/>
    <w:rsid w:val="00842E1B"/>
    <w:rsid w:val="00843737"/>
    <w:rsid w:val="00843A20"/>
    <w:rsid w:val="008455ED"/>
    <w:rsid w:val="00845F82"/>
    <w:rsid w:val="00846606"/>
    <w:rsid w:val="00850564"/>
    <w:rsid w:val="00853A13"/>
    <w:rsid w:val="00854101"/>
    <w:rsid w:val="00856498"/>
    <w:rsid w:val="0085716D"/>
    <w:rsid w:val="00860B84"/>
    <w:rsid w:val="00863277"/>
    <w:rsid w:val="00863E33"/>
    <w:rsid w:val="008652B7"/>
    <w:rsid w:val="008657AA"/>
    <w:rsid w:val="0087019A"/>
    <w:rsid w:val="00870FDB"/>
    <w:rsid w:val="008741B3"/>
    <w:rsid w:val="00874E9E"/>
    <w:rsid w:val="008750B1"/>
    <w:rsid w:val="00875163"/>
    <w:rsid w:val="0087538E"/>
    <w:rsid w:val="008756A3"/>
    <w:rsid w:val="00877B7C"/>
    <w:rsid w:val="00877C82"/>
    <w:rsid w:val="00880052"/>
    <w:rsid w:val="00880B67"/>
    <w:rsid w:val="008813F4"/>
    <w:rsid w:val="008839E5"/>
    <w:rsid w:val="00884C5E"/>
    <w:rsid w:val="00884FA3"/>
    <w:rsid w:val="00884FEF"/>
    <w:rsid w:val="008878A0"/>
    <w:rsid w:val="00893C57"/>
    <w:rsid w:val="008954FF"/>
    <w:rsid w:val="00895D4A"/>
    <w:rsid w:val="0089601D"/>
    <w:rsid w:val="008A242F"/>
    <w:rsid w:val="008A2D22"/>
    <w:rsid w:val="008A38B3"/>
    <w:rsid w:val="008A5200"/>
    <w:rsid w:val="008A7F48"/>
    <w:rsid w:val="008B234D"/>
    <w:rsid w:val="008B2397"/>
    <w:rsid w:val="008B2465"/>
    <w:rsid w:val="008B3279"/>
    <w:rsid w:val="008B47F8"/>
    <w:rsid w:val="008B4D8E"/>
    <w:rsid w:val="008B5CB0"/>
    <w:rsid w:val="008C1F9B"/>
    <w:rsid w:val="008C20FF"/>
    <w:rsid w:val="008C24EB"/>
    <w:rsid w:val="008C2585"/>
    <w:rsid w:val="008C524B"/>
    <w:rsid w:val="008C540D"/>
    <w:rsid w:val="008C58EC"/>
    <w:rsid w:val="008C5FAF"/>
    <w:rsid w:val="008C63F4"/>
    <w:rsid w:val="008C683B"/>
    <w:rsid w:val="008D0CCE"/>
    <w:rsid w:val="008D1C9B"/>
    <w:rsid w:val="008D38E7"/>
    <w:rsid w:val="008D53DB"/>
    <w:rsid w:val="008D7903"/>
    <w:rsid w:val="008E0434"/>
    <w:rsid w:val="008E27A0"/>
    <w:rsid w:val="008E3585"/>
    <w:rsid w:val="008E70EB"/>
    <w:rsid w:val="008F239D"/>
    <w:rsid w:val="008F24D5"/>
    <w:rsid w:val="008F2D69"/>
    <w:rsid w:val="008F45D8"/>
    <w:rsid w:val="008F62F3"/>
    <w:rsid w:val="008F663C"/>
    <w:rsid w:val="008F7387"/>
    <w:rsid w:val="008F7667"/>
    <w:rsid w:val="00900AE3"/>
    <w:rsid w:val="00903787"/>
    <w:rsid w:val="00903CF4"/>
    <w:rsid w:val="00904989"/>
    <w:rsid w:val="0090763D"/>
    <w:rsid w:val="00907E6F"/>
    <w:rsid w:val="00911028"/>
    <w:rsid w:val="00914FDF"/>
    <w:rsid w:val="00915241"/>
    <w:rsid w:val="00916547"/>
    <w:rsid w:val="0091668D"/>
    <w:rsid w:val="009169BB"/>
    <w:rsid w:val="00920513"/>
    <w:rsid w:val="00921D94"/>
    <w:rsid w:val="00921FC0"/>
    <w:rsid w:val="009240AA"/>
    <w:rsid w:val="00924825"/>
    <w:rsid w:val="00924E0B"/>
    <w:rsid w:val="009255B3"/>
    <w:rsid w:val="00926719"/>
    <w:rsid w:val="0092793B"/>
    <w:rsid w:val="00931806"/>
    <w:rsid w:val="00931DC6"/>
    <w:rsid w:val="00932896"/>
    <w:rsid w:val="00935213"/>
    <w:rsid w:val="009367A4"/>
    <w:rsid w:val="00937926"/>
    <w:rsid w:val="00942FAA"/>
    <w:rsid w:val="00946711"/>
    <w:rsid w:val="00946E27"/>
    <w:rsid w:val="009477FD"/>
    <w:rsid w:val="00950883"/>
    <w:rsid w:val="00950D99"/>
    <w:rsid w:val="00951592"/>
    <w:rsid w:val="00951B1A"/>
    <w:rsid w:val="009524E9"/>
    <w:rsid w:val="00952DD1"/>
    <w:rsid w:val="009533CB"/>
    <w:rsid w:val="00953787"/>
    <w:rsid w:val="00953BA8"/>
    <w:rsid w:val="009543FF"/>
    <w:rsid w:val="00954A98"/>
    <w:rsid w:val="00956275"/>
    <w:rsid w:val="00957859"/>
    <w:rsid w:val="00957E39"/>
    <w:rsid w:val="0096289C"/>
    <w:rsid w:val="0096461C"/>
    <w:rsid w:val="00965A53"/>
    <w:rsid w:val="00965C36"/>
    <w:rsid w:val="00967E22"/>
    <w:rsid w:val="00971F58"/>
    <w:rsid w:val="009752E0"/>
    <w:rsid w:val="00975F3D"/>
    <w:rsid w:val="00976693"/>
    <w:rsid w:val="009801C2"/>
    <w:rsid w:val="00980926"/>
    <w:rsid w:val="009815F4"/>
    <w:rsid w:val="009817FB"/>
    <w:rsid w:val="0098383C"/>
    <w:rsid w:val="00984276"/>
    <w:rsid w:val="00985415"/>
    <w:rsid w:val="009861E7"/>
    <w:rsid w:val="009861FD"/>
    <w:rsid w:val="00986FB0"/>
    <w:rsid w:val="0098727F"/>
    <w:rsid w:val="0099021B"/>
    <w:rsid w:val="009903E1"/>
    <w:rsid w:val="0099082F"/>
    <w:rsid w:val="009909FB"/>
    <w:rsid w:val="00991181"/>
    <w:rsid w:val="00991313"/>
    <w:rsid w:val="009918BD"/>
    <w:rsid w:val="00991903"/>
    <w:rsid w:val="0099272F"/>
    <w:rsid w:val="00994CE0"/>
    <w:rsid w:val="00994FDB"/>
    <w:rsid w:val="00995065"/>
    <w:rsid w:val="009955A7"/>
    <w:rsid w:val="009A06FC"/>
    <w:rsid w:val="009A0811"/>
    <w:rsid w:val="009A0DDC"/>
    <w:rsid w:val="009A41D8"/>
    <w:rsid w:val="009A5F72"/>
    <w:rsid w:val="009A7A4E"/>
    <w:rsid w:val="009A7B88"/>
    <w:rsid w:val="009A7F01"/>
    <w:rsid w:val="009B0A4A"/>
    <w:rsid w:val="009B2C20"/>
    <w:rsid w:val="009B32DC"/>
    <w:rsid w:val="009B3888"/>
    <w:rsid w:val="009B3959"/>
    <w:rsid w:val="009B6B55"/>
    <w:rsid w:val="009B6D55"/>
    <w:rsid w:val="009B7C2A"/>
    <w:rsid w:val="009C0324"/>
    <w:rsid w:val="009C25C0"/>
    <w:rsid w:val="009C4FF2"/>
    <w:rsid w:val="009C5D0E"/>
    <w:rsid w:val="009C7F18"/>
    <w:rsid w:val="009D05FE"/>
    <w:rsid w:val="009D2E5B"/>
    <w:rsid w:val="009D3A58"/>
    <w:rsid w:val="009D490E"/>
    <w:rsid w:val="009D4F67"/>
    <w:rsid w:val="009D5973"/>
    <w:rsid w:val="009D7924"/>
    <w:rsid w:val="009E00CE"/>
    <w:rsid w:val="009E0569"/>
    <w:rsid w:val="009E0AE8"/>
    <w:rsid w:val="009E18BF"/>
    <w:rsid w:val="009E1B70"/>
    <w:rsid w:val="009E2DBB"/>
    <w:rsid w:val="009E5E54"/>
    <w:rsid w:val="009E6011"/>
    <w:rsid w:val="009F1DCB"/>
    <w:rsid w:val="009F30F9"/>
    <w:rsid w:val="009F4500"/>
    <w:rsid w:val="009F4992"/>
    <w:rsid w:val="009F6601"/>
    <w:rsid w:val="009F6CEF"/>
    <w:rsid w:val="009F7EC8"/>
    <w:rsid w:val="00A01C5D"/>
    <w:rsid w:val="00A02D81"/>
    <w:rsid w:val="00A103C8"/>
    <w:rsid w:val="00A11780"/>
    <w:rsid w:val="00A13328"/>
    <w:rsid w:val="00A134F6"/>
    <w:rsid w:val="00A146CA"/>
    <w:rsid w:val="00A14974"/>
    <w:rsid w:val="00A1542A"/>
    <w:rsid w:val="00A20246"/>
    <w:rsid w:val="00A203B5"/>
    <w:rsid w:val="00A20E75"/>
    <w:rsid w:val="00A2233B"/>
    <w:rsid w:val="00A23580"/>
    <w:rsid w:val="00A2712E"/>
    <w:rsid w:val="00A275D5"/>
    <w:rsid w:val="00A318E8"/>
    <w:rsid w:val="00A320A7"/>
    <w:rsid w:val="00A32441"/>
    <w:rsid w:val="00A332FE"/>
    <w:rsid w:val="00A33F83"/>
    <w:rsid w:val="00A34239"/>
    <w:rsid w:val="00A371D4"/>
    <w:rsid w:val="00A40D28"/>
    <w:rsid w:val="00A41009"/>
    <w:rsid w:val="00A41471"/>
    <w:rsid w:val="00A4203C"/>
    <w:rsid w:val="00A42350"/>
    <w:rsid w:val="00A42C73"/>
    <w:rsid w:val="00A42EC7"/>
    <w:rsid w:val="00A4395E"/>
    <w:rsid w:val="00A4741B"/>
    <w:rsid w:val="00A506FC"/>
    <w:rsid w:val="00A50D96"/>
    <w:rsid w:val="00A5113D"/>
    <w:rsid w:val="00A51B2B"/>
    <w:rsid w:val="00A540E7"/>
    <w:rsid w:val="00A540FA"/>
    <w:rsid w:val="00A56436"/>
    <w:rsid w:val="00A61114"/>
    <w:rsid w:val="00A620DE"/>
    <w:rsid w:val="00A620F4"/>
    <w:rsid w:val="00A63557"/>
    <w:rsid w:val="00A64A2A"/>
    <w:rsid w:val="00A65E57"/>
    <w:rsid w:val="00A664AD"/>
    <w:rsid w:val="00A6738B"/>
    <w:rsid w:val="00A67A6B"/>
    <w:rsid w:val="00A67FDF"/>
    <w:rsid w:val="00A71098"/>
    <w:rsid w:val="00A71C28"/>
    <w:rsid w:val="00A7261F"/>
    <w:rsid w:val="00A72A45"/>
    <w:rsid w:val="00A73590"/>
    <w:rsid w:val="00A7384B"/>
    <w:rsid w:val="00A757D9"/>
    <w:rsid w:val="00A8133E"/>
    <w:rsid w:val="00A81CD9"/>
    <w:rsid w:val="00A82A63"/>
    <w:rsid w:val="00A8763B"/>
    <w:rsid w:val="00A90160"/>
    <w:rsid w:val="00A916F7"/>
    <w:rsid w:val="00A91A9A"/>
    <w:rsid w:val="00A9343F"/>
    <w:rsid w:val="00A974E9"/>
    <w:rsid w:val="00AA109B"/>
    <w:rsid w:val="00AA3134"/>
    <w:rsid w:val="00AA3867"/>
    <w:rsid w:val="00AA4FB5"/>
    <w:rsid w:val="00AB3441"/>
    <w:rsid w:val="00AB4ACC"/>
    <w:rsid w:val="00AB4CDC"/>
    <w:rsid w:val="00AB4D2C"/>
    <w:rsid w:val="00AB718A"/>
    <w:rsid w:val="00AC23EB"/>
    <w:rsid w:val="00AC36D3"/>
    <w:rsid w:val="00AC48DF"/>
    <w:rsid w:val="00AC58F3"/>
    <w:rsid w:val="00AC6504"/>
    <w:rsid w:val="00AC6C50"/>
    <w:rsid w:val="00AD0965"/>
    <w:rsid w:val="00AD355F"/>
    <w:rsid w:val="00AD3B6A"/>
    <w:rsid w:val="00AD4E5F"/>
    <w:rsid w:val="00AD5D23"/>
    <w:rsid w:val="00AD7F2F"/>
    <w:rsid w:val="00AE1464"/>
    <w:rsid w:val="00AE1FBE"/>
    <w:rsid w:val="00AE4991"/>
    <w:rsid w:val="00AE509B"/>
    <w:rsid w:val="00AE67A8"/>
    <w:rsid w:val="00AE6EC3"/>
    <w:rsid w:val="00AE734C"/>
    <w:rsid w:val="00AF0B66"/>
    <w:rsid w:val="00AF2C68"/>
    <w:rsid w:val="00AF3150"/>
    <w:rsid w:val="00AF46CF"/>
    <w:rsid w:val="00AF50DB"/>
    <w:rsid w:val="00AF553D"/>
    <w:rsid w:val="00AF57BF"/>
    <w:rsid w:val="00AF6A6D"/>
    <w:rsid w:val="00AF6A81"/>
    <w:rsid w:val="00AF6FB1"/>
    <w:rsid w:val="00AF7D95"/>
    <w:rsid w:val="00B00030"/>
    <w:rsid w:val="00B01451"/>
    <w:rsid w:val="00B028E1"/>
    <w:rsid w:val="00B031F2"/>
    <w:rsid w:val="00B054CE"/>
    <w:rsid w:val="00B07760"/>
    <w:rsid w:val="00B1014D"/>
    <w:rsid w:val="00B1158D"/>
    <w:rsid w:val="00B11873"/>
    <w:rsid w:val="00B124C5"/>
    <w:rsid w:val="00B125AC"/>
    <w:rsid w:val="00B12603"/>
    <w:rsid w:val="00B129E0"/>
    <w:rsid w:val="00B130D6"/>
    <w:rsid w:val="00B133F8"/>
    <w:rsid w:val="00B1422F"/>
    <w:rsid w:val="00B1466F"/>
    <w:rsid w:val="00B21040"/>
    <w:rsid w:val="00B21D72"/>
    <w:rsid w:val="00B21F9B"/>
    <w:rsid w:val="00B22163"/>
    <w:rsid w:val="00B23450"/>
    <w:rsid w:val="00B23BC4"/>
    <w:rsid w:val="00B30613"/>
    <w:rsid w:val="00B33010"/>
    <w:rsid w:val="00B330BA"/>
    <w:rsid w:val="00B34621"/>
    <w:rsid w:val="00B347C9"/>
    <w:rsid w:val="00B36B10"/>
    <w:rsid w:val="00B42FAC"/>
    <w:rsid w:val="00B4332F"/>
    <w:rsid w:val="00B43F7F"/>
    <w:rsid w:val="00B469DC"/>
    <w:rsid w:val="00B47163"/>
    <w:rsid w:val="00B50CD3"/>
    <w:rsid w:val="00B60BF0"/>
    <w:rsid w:val="00B61813"/>
    <w:rsid w:val="00B62767"/>
    <w:rsid w:val="00B629D3"/>
    <w:rsid w:val="00B62B02"/>
    <w:rsid w:val="00B65A04"/>
    <w:rsid w:val="00B6604F"/>
    <w:rsid w:val="00B70601"/>
    <w:rsid w:val="00B71441"/>
    <w:rsid w:val="00B72139"/>
    <w:rsid w:val="00B73013"/>
    <w:rsid w:val="00B74228"/>
    <w:rsid w:val="00B7440C"/>
    <w:rsid w:val="00B74A1B"/>
    <w:rsid w:val="00B75F63"/>
    <w:rsid w:val="00B7602B"/>
    <w:rsid w:val="00B7674F"/>
    <w:rsid w:val="00B77F06"/>
    <w:rsid w:val="00B80669"/>
    <w:rsid w:val="00B82C99"/>
    <w:rsid w:val="00B82D57"/>
    <w:rsid w:val="00B83BEA"/>
    <w:rsid w:val="00B83D03"/>
    <w:rsid w:val="00B84257"/>
    <w:rsid w:val="00B84F6F"/>
    <w:rsid w:val="00B8502E"/>
    <w:rsid w:val="00B85AA3"/>
    <w:rsid w:val="00B8712E"/>
    <w:rsid w:val="00B87184"/>
    <w:rsid w:val="00B921C6"/>
    <w:rsid w:val="00B9220F"/>
    <w:rsid w:val="00B9228E"/>
    <w:rsid w:val="00B928E7"/>
    <w:rsid w:val="00B93491"/>
    <w:rsid w:val="00B96B64"/>
    <w:rsid w:val="00B973EF"/>
    <w:rsid w:val="00BA054D"/>
    <w:rsid w:val="00BA2791"/>
    <w:rsid w:val="00BA3460"/>
    <w:rsid w:val="00BA4491"/>
    <w:rsid w:val="00BA54A7"/>
    <w:rsid w:val="00BB381D"/>
    <w:rsid w:val="00BB5D89"/>
    <w:rsid w:val="00BB6765"/>
    <w:rsid w:val="00BC20FB"/>
    <w:rsid w:val="00BC26B7"/>
    <w:rsid w:val="00BC2CB5"/>
    <w:rsid w:val="00BC58CB"/>
    <w:rsid w:val="00BD31FB"/>
    <w:rsid w:val="00BD3E8B"/>
    <w:rsid w:val="00BD4663"/>
    <w:rsid w:val="00BD4A34"/>
    <w:rsid w:val="00BD79CD"/>
    <w:rsid w:val="00BE16A6"/>
    <w:rsid w:val="00BE1836"/>
    <w:rsid w:val="00BE1A6A"/>
    <w:rsid w:val="00BE1ABE"/>
    <w:rsid w:val="00BE378A"/>
    <w:rsid w:val="00BE40ED"/>
    <w:rsid w:val="00BE4CCE"/>
    <w:rsid w:val="00BE4CF1"/>
    <w:rsid w:val="00BE5229"/>
    <w:rsid w:val="00BE55F1"/>
    <w:rsid w:val="00BE6A61"/>
    <w:rsid w:val="00BE71E9"/>
    <w:rsid w:val="00BE7321"/>
    <w:rsid w:val="00BE786E"/>
    <w:rsid w:val="00BE797A"/>
    <w:rsid w:val="00BF3371"/>
    <w:rsid w:val="00BF412B"/>
    <w:rsid w:val="00BF57DE"/>
    <w:rsid w:val="00BF71D4"/>
    <w:rsid w:val="00BF722F"/>
    <w:rsid w:val="00C0283D"/>
    <w:rsid w:val="00C0296E"/>
    <w:rsid w:val="00C04D21"/>
    <w:rsid w:val="00C05307"/>
    <w:rsid w:val="00C0550D"/>
    <w:rsid w:val="00C05BE2"/>
    <w:rsid w:val="00C071C9"/>
    <w:rsid w:val="00C07799"/>
    <w:rsid w:val="00C07865"/>
    <w:rsid w:val="00C10A12"/>
    <w:rsid w:val="00C10FAB"/>
    <w:rsid w:val="00C111B6"/>
    <w:rsid w:val="00C111D8"/>
    <w:rsid w:val="00C12134"/>
    <w:rsid w:val="00C156D8"/>
    <w:rsid w:val="00C15F0D"/>
    <w:rsid w:val="00C16636"/>
    <w:rsid w:val="00C167E9"/>
    <w:rsid w:val="00C17997"/>
    <w:rsid w:val="00C20078"/>
    <w:rsid w:val="00C202E2"/>
    <w:rsid w:val="00C246F6"/>
    <w:rsid w:val="00C26338"/>
    <w:rsid w:val="00C26360"/>
    <w:rsid w:val="00C26F3F"/>
    <w:rsid w:val="00C275FF"/>
    <w:rsid w:val="00C32E7C"/>
    <w:rsid w:val="00C371A8"/>
    <w:rsid w:val="00C379A7"/>
    <w:rsid w:val="00C43638"/>
    <w:rsid w:val="00C43CEF"/>
    <w:rsid w:val="00C44116"/>
    <w:rsid w:val="00C506CE"/>
    <w:rsid w:val="00C50A87"/>
    <w:rsid w:val="00C51CE1"/>
    <w:rsid w:val="00C52E1B"/>
    <w:rsid w:val="00C53838"/>
    <w:rsid w:val="00C53E25"/>
    <w:rsid w:val="00C53FD0"/>
    <w:rsid w:val="00C5428D"/>
    <w:rsid w:val="00C549C1"/>
    <w:rsid w:val="00C56F7B"/>
    <w:rsid w:val="00C57BE5"/>
    <w:rsid w:val="00C6003C"/>
    <w:rsid w:val="00C609E3"/>
    <w:rsid w:val="00C613F7"/>
    <w:rsid w:val="00C623F8"/>
    <w:rsid w:val="00C658C5"/>
    <w:rsid w:val="00C70067"/>
    <w:rsid w:val="00C70BBE"/>
    <w:rsid w:val="00C71AE1"/>
    <w:rsid w:val="00C71B5A"/>
    <w:rsid w:val="00C72B3F"/>
    <w:rsid w:val="00C730C5"/>
    <w:rsid w:val="00C73574"/>
    <w:rsid w:val="00C73E3D"/>
    <w:rsid w:val="00C74A26"/>
    <w:rsid w:val="00C74D67"/>
    <w:rsid w:val="00C751F6"/>
    <w:rsid w:val="00C7663C"/>
    <w:rsid w:val="00C77040"/>
    <w:rsid w:val="00C7730E"/>
    <w:rsid w:val="00C80D11"/>
    <w:rsid w:val="00C80D66"/>
    <w:rsid w:val="00C82E2D"/>
    <w:rsid w:val="00C8353F"/>
    <w:rsid w:val="00C838A6"/>
    <w:rsid w:val="00C84700"/>
    <w:rsid w:val="00C85603"/>
    <w:rsid w:val="00C86AF6"/>
    <w:rsid w:val="00C86B19"/>
    <w:rsid w:val="00C901DE"/>
    <w:rsid w:val="00C902B3"/>
    <w:rsid w:val="00C9036B"/>
    <w:rsid w:val="00C91C58"/>
    <w:rsid w:val="00C92CE6"/>
    <w:rsid w:val="00C9302A"/>
    <w:rsid w:val="00C93556"/>
    <w:rsid w:val="00C93D38"/>
    <w:rsid w:val="00C958FD"/>
    <w:rsid w:val="00C95A1D"/>
    <w:rsid w:val="00C960AB"/>
    <w:rsid w:val="00CA096A"/>
    <w:rsid w:val="00CA57AE"/>
    <w:rsid w:val="00CB26F5"/>
    <w:rsid w:val="00CB3527"/>
    <w:rsid w:val="00CB652E"/>
    <w:rsid w:val="00CB74CB"/>
    <w:rsid w:val="00CC0062"/>
    <w:rsid w:val="00CC0F6C"/>
    <w:rsid w:val="00CC7A5C"/>
    <w:rsid w:val="00CD0480"/>
    <w:rsid w:val="00CD1AD7"/>
    <w:rsid w:val="00CD25C7"/>
    <w:rsid w:val="00CD52BB"/>
    <w:rsid w:val="00CD72CE"/>
    <w:rsid w:val="00CD7378"/>
    <w:rsid w:val="00CD7D2F"/>
    <w:rsid w:val="00CE216B"/>
    <w:rsid w:val="00CE283F"/>
    <w:rsid w:val="00CF0A90"/>
    <w:rsid w:val="00CF2A93"/>
    <w:rsid w:val="00CF6F19"/>
    <w:rsid w:val="00D014A7"/>
    <w:rsid w:val="00D01F86"/>
    <w:rsid w:val="00D02DAB"/>
    <w:rsid w:val="00D04EA3"/>
    <w:rsid w:val="00D056CC"/>
    <w:rsid w:val="00D0643E"/>
    <w:rsid w:val="00D06D6C"/>
    <w:rsid w:val="00D07016"/>
    <w:rsid w:val="00D10828"/>
    <w:rsid w:val="00D12793"/>
    <w:rsid w:val="00D13BED"/>
    <w:rsid w:val="00D15D34"/>
    <w:rsid w:val="00D173BC"/>
    <w:rsid w:val="00D22022"/>
    <w:rsid w:val="00D2263D"/>
    <w:rsid w:val="00D23D67"/>
    <w:rsid w:val="00D25072"/>
    <w:rsid w:val="00D25633"/>
    <w:rsid w:val="00D27D04"/>
    <w:rsid w:val="00D27DF6"/>
    <w:rsid w:val="00D31097"/>
    <w:rsid w:val="00D314FB"/>
    <w:rsid w:val="00D317A7"/>
    <w:rsid w:val="00D32332"/>
    <w:rsid w:val="00D32E1F"/>
    <w:rsid w:val="00D33C57"/>
    <w:rsid w:val="00D34910"/>
    <w:rsid w:val="00D364EE"/>
    <w:rsid w:val="00D422E0"/>
    <w:rsid w:val="00D47F30"/>
    <w:rsid w:val="00D506A9"/>
    <w:rsid w:val="00D51F5F"/>
    <w:rsid w:val="00D53DA7"/>
    <w:rsid w:val="00D5486C"/>
    <w:rsid w:val="00D55E69"/>
    <w:rsid w:val="00D562ED"/>
    <w:rsid w:val="00D56751"/>
    <w:rsid w:val="00D61299"/>
    <w:rsid w:val="00D635F5"/>
    <w:rsid w:val="00D63D1B"/>
    <w:rsid w:val="00D64271"/>
    <w:rsid w:val="00D6430C"/>
    <w:rsid w:val="00D64EC1"/>
    <w:rsid w:val="00D6537E"/>
    <w:rsid w:val="00D65A82"/>
    <w:rsid w:val="00D6601F"/>
    <w:rsid w:val="00D66243"/>
    <w:rsid w:val="00D6648E"/>
    <w:rsid w:val="00D67680"/>
    <w:rsid w:val="00D70268"/>
    <w:rsid w:val="00D721B0"/>
    <w:rsid w:val="00D738FE"/>
    <w:rsid w:val="00D75ACC"/>
    <w:rsid w:val="00D77DC0"/>
    <w:rsid w:val="00D77F62"/>
    <w:rsid w:val="00D80A97"/>
    <w:rsid w:val="00D85376"/>
    <w:rsid w:val="00D853F7"/>
    <w:rsid w:val="00D85E57"/>
    <w:rsid w:val="00D863AA"/>
    <w:rsid w:val="00D90F8B"/>
    <w:rsid w:val="00D91B7A"/>
    <w:rsid w:val="00D935C2"/>
    <w:rsid w:val="00D9408F"/>
    <w:rsid w:val="00D974EE"/>
    <w:rsid w:val="00DA0032"/>
    <w:rsid w:val="00DA7551"/>
    <w:rsid w:val="00DA7A16"/>
    <w:rsid w:val="00DB28F8"/>
    <w:rsid w:val="00DB2BBA"/>
    <w:rsid w:val="00DB486B"/>
    <w:rsid w:val="00DB5DD7"/>
    <w:rsid w:val="00DC0765"/>
    <w:rsid w:val="00DC10A1"/>
    <w:rsid w:val="00DC14A7"/>
    <w:rsid w:val="00DC3E94"/>
    <w:rsid w:val="00DC655F"/>
    <w:rsid w:val="00DC69D9"/>
    <w:rsid w:val="00DC6B82"/>
    <w:rsid w:val="00DC734D"/>
    <w:rsid w:val="00DC79F0"/>
    <w:rsid w:val="00DD0B85"/>
    <w:rsid w:val="00DD0CE6"/>
    <w:rsid w:val="00DD1288"/>
    <w:rsid w:val="00DD1441"/>
    <w:rsid w:val="00DD1E54"/>
    <w:rsid w:val="00DD1F66"/>
    <w:rsid w:val="00DD257F"/>
    <w:rsid w:val="00DD653A"/>
    <w:rsid w:val="00DD6977"/>
    <w:rsid w:val="00DD6D79"/>
    <w:rsid w:val="00DE35E4"/>
    <w:rsid w:val="00DE3DBB"/>
    <w:rsid w:val="00DE4140"/>
    <w:rsid w:val="00DE4F57"/>
    <w:rsid w:val="00DE50C3"/>
    <w:rsid w:val="00DE64C2"/>
    <w:rsid w:val="00DE6561"/>
    <w:rsid w:val="00DE75C1"/>
    <w:rsid w:val="00DF0C33"/>
    <w:rsid w:val="00DF1739"/>
    <w:rsid w:val="00DF2FC0"/>
    <w:rsid w:val="00DF3CDD"/>
    <w:rsid w:val="00DF4C87"/>
    <w:rsid w:val="00DF5466"/>
    <w:rsid w:val="00DF5BC8"/>
    <w:rsid w:val="00E01BD7"/>
    <w:rsid w:val="00E02674"/>
    <w:rsid w:val="00E02F44"/>
    <w:rsid w:val="00E03261"/>
    <w:rsid w:val="00E0731D"/>
    <w:rsid w:val="00E12C3C"/>
    <w:rsid w:val="00E16BB0"/>
    <w:rsid w:val="00E172F8"/>
    <w:rsid w:val="00E20813"/>
    <w:rsid w:val="00E219AE"/>
    <w:rsid w:val="00E21FCC"/>
    <w:rsid w:val="00E24611"/>
    <w:rsid w:val="00E25A07"/>
    <w:rsid w:val="00E26564"/>
    <w:rsid w:val="00E33861"/>
    <w:rsid w:val="00E33B28"/>
    <w:rsid w:val="00E34D44"/>
    <w:rsid w:val="00E375A7"/>
    <w:rsid w:val="00E37832"/>
    <w:rsid w:val="00E41C9E"/>
    <w:rsid w:val="00E41CD8"/>
    <w:rsid w:val="00E43155"/>
    <w:rsid w:val="00E43F85"/>
    <w:rsid w:val="00E46B2B"/>
    <w:rsid w:val="00E513E0"/>
    <w:rsid w:val="00E51C59"/>
    <w:rsid w:val="00E52010"/>
    <w:rsid w:val="00E52A17"/>
    <w:rsid w:val="00E5518D"/>
    <w:rsid w:val="00E60D2D"/>
    <w:rsid w:val="00E610E1"/>
    <w:rsid w:val="00E62C9F"/>
    <w:rsid w:val="00E6404E"/>
    <w:rsid w:val="00E6524C"/>
    <w:rsid w:val="00E679D5"/>
    <w:rsid w:val="00E70111"/>
    <w:rsid w:val="00E7044D"/>
    <w:rsid w:val="00E72255"/>
    <w:rsid w:val="00E7289E"/>
    <w:rsid w:val="00E7390B"/>
    <w:rsid w:val="00E75749"/>
    <w:rsid w:val="00E80D11"/>
    <w:rsid w:val="00E841CC"/>
    <w:rsid w:val="00E85720"/>
    <w:rsid w:val="00E8748C"/>
    <w:rsid w:val="00E915CB"/>
    <w:rsid w:val="00E9359C"/>
    <w:rsid w:val="00E945A2"/>
    <w:rsid w:val="00E9530D"/>
    <w:rsid w:val="00EA0DB4"/>
    <w:rsid w:val="00EA253F"/>
    <w:rsid w:val="00EA2B80"/>
    <w:rsid w:val="00EA3D1A"/>
    <w:rsid w:val="00EA6468"/>
    <w:rsid w:val="00EA7C36"/>
    <w:rsid w:val="00EB0FD2"/>
    <w:rsid w:val="00EB10F9"/>
    <w:rsid w:val="00EB24C7"/>
    <w:rsid w:val="00EB3E49"/>
    <w:rsid w:val="00EB4AFC"/>
    <w:rsid w:val="00EB4C40"/>
    <w:rsid w:val="00EC00B3"/>
    <w:rsid w:val="00EC01D1"/>
    <w:rsid w:val="00EC2860"/>
    <w:rsid w:val="00EC7538"/>
    <w:rsid w:val="00ED0BA9"/>
    <w:rsid w:val="00ED18E4"/>
    <w:rsid w:val="00ED7892"/>
    <w:rsid w:val="00EE0044"/>
    <w:rsid w:val="00EE1106"/>
    <w:rsid w:val="00EE2A80"/>
    <w:rsid w:val="00EE3A35"/>
    <w:rsid w:val="00EE75C0"/>
    <w:rsid w:val="00EF2C79"/>
    <w:rsid w:val="00EF335D"/>
    <w:rsid w:val="00EF40B1"/>
    <w:rsid w:val="00EF55B2"/>
    <w:rsid w:val="00EF7D36"/>
    <w:rsid w:val="00F024F3"/>
    <w:rsid w:val="00F031F2"/>
    <w:rsid w:val="00F03B42"/>
    <w:rsid w:val="00F04843"/>
    <w:rsid w:val="00F05AE3"/>
    <w:rsid w:val="00F07424"/>
    <w:rsid w:val="00F07DC5"/>
    <w:rsid w:val="00F104A4"/>
    <w:rsid w:val="00F10BFA"/>
    <w:rsid w:val="00F12A82"/>
    <w:rsid w:val="00F16C8B"/>
    <w:rsid w:val="00F25EE2"/>
    <w:rsid w:val="00F27404"/>
    <w:rsid w:val="00F27546"/>
    <w:rsid w:val="00F3104A"/>
    <w:rsid w:val="00F31BF1"/>
    <w:rsid w:val="00F33981"/>
    <w:rsid w:val="00F36301"/>
    <w:rsid w:val="00F36352"/>
    <w:rsid w:val="00F37178"/>
    <w:rsid w:val="00F42F25"/>
    <w:rsid w:val="00F43259"/>
    <w:rsid w:val="00F44545"/>
    <w:rsid w:val="00F46174"/>
    <w:rsid w:val="00F47D22"/>
    <w:rsid w:val="00F50E84"/>
    <w:rsid w:val="00F57471"/>
    <w:rsid w:val="00F60645"/>
    <w:rsid w:val="00F6168F"/>
    <w:rsid w:val="00F61CE1"/>
    <w:rsid w:val="00F631E4"/>
    <w:rsid w:val="00F63B5C"/>
    <w:rsid w:val="00F63C6C"/>
    <w:rsid w:val="00F6661A"/>
    <w:rsid w:val="00F673FD"/>
    <w:rsid w:val="00F6749D"/>
    <w:rsid w:val="00F71098"/>
    <w:rsid w:val="00F71776"/>
    <w:rsid w:val="00F71C13"/>
    <w:rsid w:val="00F71FFB"/>
    <w:rsid w:val="00F720BF"/>
    <w:rsid w:val="00F72B25"/>
    <w:rsid w:val="00F74927"/>
    <w:rsid w:val="00F749FA"/>
    <w:rsid w:val="00F7503B"/>
    <w:rsid w:val="00F769EB"/>
    <w:rsid w:val="00F77CC5"/>
    <w:rsid w:val="00F8083B"/>
    <w:rsid w:val="00F84AB0"/>
    <w:rsid w:val="00F8685D"/>
    <w:rsid w:val="00F86E4B"/>
    <w:rsid w:val="00F90462"/>
    <w:rsid w:val="00F91F60"/>
    <w:rsid w:val="00F94D8A"/>
    <w:rsid w:val="00F97C1E"/>
    <w:rsid w:val="00FA0E1E"/>
    <w:rsid w:val="00FA4A67"/>
    <w:rsid w:val="00FA6AB5"/>
    <w:rsid w:val="00FA7BC6"/>
    <w:rsid w:val="00FB01BD"/>
    <w:rsid w:val="00FB4185"/>
    <w:rsid w:val="00FB53F2"/>
    <w:rsid w:val="00FB7AEC"/>
    <w:rsid w:val="00FC024A"/>
    <w:rsid w:val="00FC07E3"/>
    <w:rsid w:val="00FC1439"/>
    <w:rsid w:val="00FC27A4"/>
    <w:rsid w:val="00FC351A"/>
    <w:rsid w:val="00FC4B0A"/>
    <w:rsid w:val="00FC61D4"/>
    <w:rsid w:val="00FC6DAE"/>
    <w:rsid w:val="00FC7698"/>
    <w:rsid w:val="00FD101A"/>
    <w:rsid w:val="00FD2606"/>
    <w:rsid w:val="00FD2F5C"/>
    <w:rsid w:val="00FD30EA"/>
    <w:rsid w:val="00FD4658"/>
    <w:rsid w:val="00FD5078"/>
    <w:rsid w:val="00FD646B"/>
    <w:rsid w:val="00FD7AF6"/>
    <w:rsid w:val="00FD7D0D"/>
    <w:rsid w:val="00FE1A97"/>
    <w:rsid w:val="00FE2FDC"/>
    <w:rsid w:val="00FE4705"/>
    <w:rsid w:val="00FE4C63"/>
    <w:rsid w:val="00FE4D91"/>
    <w:rsid w:val="00FE5ACD"/>
    <w:rsid w:val="00FE5C62"/>
    <w:rsid w:val="00FE6128"/>
    <w:rsid w:val="00FF0589"/>
    <w:rsid w:val="00FF22B3"/>
    <w:rsid w:val="00FF318E"/>
    <w:rsid w:val="00FF3580"/>
    <w:rsid w:val="00FF3BC4"/>
    <w:rsid w:val="00FF3BF4"/>
    <w:rsid w:val="00FF6436"/>
    <w:rsid w:val="00FF6648"/>
    <w:rsid w:val="00F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4A"/>
    <w:rPr>
      <w:sz w:val="24"/>
      <w:szCs w:val="24"/>
    </w:rPr>
  </w:style>
  <w:style w:type="paragraph" w:styleId="1">
    <w:name w:val="heading 1"/>
    <w:basedOn w:val="a"/>
    <w:next w:val="a"/>
    <w:qFormat/>
    <w:rsid w:val="003C6E4A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6E4A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semiHidden/>
    <w:rsid w:val="003C6E4A"/>
    <w:pPr>
      <w:jc w:val="both"/>
    </w:pPr>
    <w:rPr>
      <w:sz w:val="28"/>
      <w:lang w:val="uk-UA"/>
    </w:rPr>
  </w:style>
  <w:style w:type="paragraph" w:styleId="2">
    <w:name w:val="Body Text Indent 2"/>
    <w:basedOn w:val="a"/>
    <w:link w:val="20"/>
    <w:unhideWhenUsed/>
    <w:rsid w:val="000A36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364F"/>
    <w:rPr>
      <w:sz w:val="24"/>
      <w:szCs w:val="24"/>
    </w:rPr>
  </w:style>
  <w:style w:type="paragraph" w:styleId="a6">
    <w:name w:val="Body Text Indent"/>
    <w:basedOn w:val="a"/>
    <w:link w:val="a7"/>
    <w:unhideWhenUsed/>
    <w:rsid w:val="0066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66645"/>
    <w:rPr>
      <w:sz w:val="24"/>
      <w:szCs w:val="24"/>
    </w:rPr>
  </w:style>
  <w:style w:type="paragraph" w:styleId="a8">
    <w:name w:val="Balloon Text"/>
    <w:basedOn w:val="a"/>
    <w:semiHidden/>
    <w:rsid w:val="00A01C5D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02F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02F44"/>
  </w:style>
  <w:style w:type="paragraph" w:styleId="ab">
    <w:name w:val="footer"/>
    <w:basedOn w:val="a"/>
    <w:rsid w:val="00142DF8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4"/>
    <w:semiHidden/>
    <w:rsid w:val="00EB3E49"/>
    <w:rPr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360C75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D5486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D5486C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  <w:style w:type="paragraph" w:styleId="ad">
    <w:name w:val="List Paragraph"/>
    <w:basedOn w:val="a"/>
    <w:uiPriority w:val="34"/>
    <w:qFormat/>
    <w:rsid w:val="00D548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3">
    <w:name w:val="Основной текст 213"/>
    <w:basedOn w:val="a"/>
    <w:uiPriority w:val="99"/>
    <w:rsid w:val="00612A5A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Doh10\&#1089;&#1077;&#1090;&#1077;&#1074;&#1072;&#1103;\&#1047;&#1040;&#1052;&#1056;&#1048;&#1050;&#1048;&#1058;\&#1044;&#1030;&#1040;&#1043;&#1056;&#1040;&#1052;&#1048;\&#1044;&#1110;&#1072;&#1075;&#1088;&#1072;&#1084;&#1080;%20&#1092;&#1072;&#1082;&#1090;%20&#1079;&#1072;%209%20&#1084;&#1110;&#1089;&#1103;&#1094;&#1110;&#1074;%202017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Doh10\&#1089;&#1077;&#1090;&#1077;&#1074;&#1072;&#1103;\&#1047;&#1040;&#1052;&#1056;&#1048;&#1050;&#1048;&#1058;\&#1044;&#1030;&#1040;&#1043;&#1056;&#1040;&#1052;&#1048;\&#1044;&#1110;&#1072;&#1075;&#1088;&#1072;&#1084;&#1080;%20&#1092;&#1072;&#1082;&#1090;%20&#1079;&#1072;%209%20&#1084;&#1110;&#1089;&#1103;&#1094;&#1110;&#1074;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oh10\&#1089;&#1077;&#1090;&#1077;&#1074;&#1072;&#1103;\&#1047;&#1040;&#1052;&#1056;&#1048;&#1050;&#1048;&#1058;\&#1044;&#1030;&#1040;&#1043;&#1056;&#1040;&#1052;&#1048;\&#1057;&#1090;&#1088;&#1091;&#1082;&#1090;&#1091;&#1088;&#1072;%20&#1076;&#1086;&#1093;&#1086;&#1076;&#1110;&#1074;%20&#1057;&#1060;%20&#1079;&#1072;%209%20&#1084;&#1110;&#1089;&#1103;&#1094;&#1110;&#1074;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7.1.2\budzhet\2017\&#1044;&#1086;&#1074;&#1110;&#1076;&#1082;&#1080;%20&#1087;&#1088;&#1086;%20&#1074;&#1080;&#1082;&#1086;&#1085;&#1072;&#1085;&#1085;&#1103;%20&#1073;&#1102;&#1076;&#1078;&#1077;&#1090;&#1091;\9%20&#1084;&#1110;&#1089;&#1103;&#1094;&#1110;&#1074;%202017\&#1044;&#1110;&#1072;&#1075;&#1088;&#1072;&#1084;&#1080;%20%209%20%20&#1084;&#1110;&#1089;&#1103;&#1094;&#1110;&#1074;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17.1.2\budzhet\2017\&#1044;&#1086;&#1074;&#1110;&#1076;&#1082;&#1080;%20&#1087;&#1088;&#1086;%20&#1074;&#1080;&#1082;&#1086;&#1085;&#1072;&#1085;&#1085;&#1103;%20&#1073;&#1102;&#1076;&#1078;&#1077;&#1090;&#1091;\9%20&#1084;&#1110;&#1089;&#1103;&#1094;&#1110;&#1074;%202017\&#1044;&#1110;&#1072;&#1075;&#1088;&#1072;&#1084;&#1080;%20%209%20%20&#1084;&#1110;&#1089;&#1103;&#1094;&#1110;&#1074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945219347581634"/>
          <c:y val="0.13441609667459553"/>
          <c:w val="0.50786214223221715"/>
          <c:h val="0.80038311346166158"/>
        </c:manualLayout>
      </c:layout>
      <c:doughnutChart>
        <c:varyColors val="1"/>
        <c:ser>
          <c:idx val="0"/>
          <c:order val="0"/>
          <c:tx>
            <c:strRef>
              <c:f>'Структура доходів за 9 міс 2017'!$B$5</c:f>
              <c:strCache>
                <c:ptCount val="1"/>
                <c:pt idx="0">
                  <c:v>Структура доходної частини бюджету за 9 місяців 2017 року, млн.грн.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 prstMaterial="softEdge">
              <a:bevelT w="127000" h="190500" prst="convex"/>
            </a:sp3d>
          </c:spPr>
          <c:dPt>
            <c:idx val="0"/>
            <c:spPr>
              <a:solidFill>
                <a:srgbClr val="F68E38"/>
              </a:solidFill>
              <a:scene3d>
                <a:camera prst="orthographicFront"/>
                <a:lightRig rig="threePt" dir="t"/>
              </a:scene3d>
              <a:sp3d prstMaterial="softEdge">
                <a:bevelT w="127000" h="190500" prst="convex"/>
              </a:sp3d>
            </c:spPr>
          </c:dPt>
          <c:dPt>
            <c:idx val="1"/>
            <c:explosion val="33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softEdge">
                <a:bevelT w="127000" h="190500" prst="convex"/>
              </a:sp3d>
            </c:spPr>
          </c:dPt>
          <c:dPt>
            <c:idx val="2"/>
            <c:explosion val="18"/>
            <c:spPr>
              <a:solidFill>
                <a:srgbClr val="427FE2"/>
              </a:solidFill>
              <a:scene3d>
                <a:camera prst="orthographicFront"/>
                <a:lightRig rig="threePt" dir="t"/>
              </a:scene3d>
              <a:sp3d prstMaterial="softEdge">
                <a:bevelT w="127000" h="190500" prst="convex"/>
              </a:sp3d>
            </c:spPr>
          </c:dPt>
          <c:dLbls>
            <c:dLbl>
              <c:idx val="1"/>
              <c:layout>
                <c:manualLayout>
                  <c:x val="4.8367593712213023E-3"/>
                  <c:y val="-1.0043942247332129E-2"/>
                </c:manualLayout>
              </c:layout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800"/>
                      <a:t>4</a:t>
                    </a:r>
                    <a:r>
                      <a:rPr lang="ru-RU"/>
                      <a:t>2,9%</a:t>
                    </a:r>
                  </a:p>
                </c:rich>
              </c:tx>
              <c:showPercent val="1"/>
            </c:dLbl>
            <c:numFmt formatCode="0.0%" sourceLinked="0"/>
            <c:spPr>
              <a:noFill/>
              <a:ln>
                <a:noFill/>
              </a:ln>
              <a:scene3d>
                <a:camera prst="orthographicFront"/>
                <a:lightRig rig="threePt" dir="t"/>
              </a:scene3d>
              <a:sp3d prstMaterial="plastic"/>
            </c:spPr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'Структура доходів за 9 міс 2017'!$A$6:$A$8</c:f>
              <c:strCache>
                <c:ptCount val="3"/>
                <c:pt idx="0">
                  <c:v>Доходи загального фонду</c:v>
                </c:pt>
                <c:pt idx="1">
                  <c:v>Доходи спеціального фонду</c:v>
                </c:pt>
                <c:pt idx="2">
                  <c:v>Офіційні трансферти</c:v>
                </c:pt>
              </c:strCache>
            </c:strRef>
          </c:cat>
          <c:val>
            <c:numRef>
              <c:f>'Структура доходів за 9 міс 2017'!$B$6:$B$8</c:f>
              <c:numCache>
                <c:formatCode>#,##0.0</c:formatCode>
                <c:ptCount val="3"/>
                <c:pt idx="0">
                  <c:v>3119.1220519099998</c:v>
                </c:pt>
                <c:pt idx="1">
                  <c:v>186.94029288000004</c:v>
                </c:pt>
                <c:pt idx="2">
                  <c:v>2475.7654322800022</c:v>
                </c:pt>
              </c:numCache>
            </c:numRef>
          </c:val>
        </c:ser>
        <c:dLbls>
          <c:showPercent val="1"/>
        </c:dLbls>
        <c:firstSliceAng val="224"/>
        <c:holeSize val="50"/>
      </c:doughnutChart>
    </c:plotArea>
    <c:legend>
      <c:legendPos val="r"/>
      <c:layout>
        <c:manualLayout>
          <c:xMode val="edge"/>
          <c:yMode val="edge"/>
          <c:x val="0.7197348034035107"/>
          <c:y val="0.4330837176426422"/>
          <c:w val="0.27220393097779344"/>
          <c:h val="0.35969551828620294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  <a:scene3d>
      <a:camera prst="orthographicFront"/>
      <a:lightRig rig="threePt" dir="t"/>
    </a:scene3d>
    <a:sp3d/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8933029200360177"/>
          <c:y val="0.29027268460168382"/>
          <c:w val="0.39958791725012477"/>
          <c:h val="0.57365641604135265"/>
        </c:manualLayout>
      </c:layout>
      <c:pieChart>
        <c:varyColors val="1"/>
        <c:ser>
          <c:idx val="0"/>
          <c:order val="0"/>
          <c:tx>
            <c:strRef>
              <c:f>'Структура ЗФ 9 міс 2017'!$C$4</c:f>
              <c:strCache>
                <c:ptCount val="1"/>
                <c:pt idx="0">
                  <c:v>Факт за 9 місяців 2017 року</c:v>
                </c:pt>
              </c:strCache>
            </c:strRef>
          </c:tx>
          <c:spPr>
            <a:ln w="0"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27000" h="177800" prst="angle"/>
              <a:bevelB w="0"/>
            </a:sp3d>
          </c:spPr>
          <c:dPt>
            <c:idx val="0"/>
            <c:explosion val="2"/>
            <c:spPr>
              <a:solidFill>
                <a:srgbClr val="EC700A">
                  <a:alpha val="67451"/>
                </a:srgbClr>
              </a:solidFill>
              <a:ln w="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27000" h="177800" prst="angle"/>
                <a:bevelB w="0"/>
              </a:sp3d>
            </c:spPr>
          </c:dPt>
          <c:dPt>
            <c:idx val="1"/>
            <c:explosion val="18"/>
            <c:spPr>
              <a:solidFill>
                <a:srgbClr val="3364ED"/>
              </a:solidFill>
              <a:ln w="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27000" h="177800" prst="angle"/>
                <a:bevelB w="0"/>
              </a:sp3d>
            </c:spPr>
          </c:dPt>
          <c:dPt>
            <c:idx val="2"/>
            <c:explosion val="38"/>
            <c:spPr>
              <a:solidFill>
                <a:srgbClr val="AD1B9C"/>
              </a:solidFill>
              <a:ln w="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27000" h="177800" prst="angle"/>
                <a:bevelB w="0"/>
              </a:sp3d>
            </c:spPr>
          </c:dPt>
          <c:dPt>
            <c:idx val="3"/>
            <c:explosion val="9"/>
            <c:spPr>
              <a:solidFill>
                <a:srgbClr val="878A10"/>
              </a:solidFill>
              <a:ln w="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27000" h="177800" prst="angle"/>
                <a:bevelB w="0"/>
              </a:sp3d>
            </c:spPr>
          </c:dPt>
          <c:dPt>
            <c:idx val="4"/>
            <c:spPr>
              <a:solidFill>
                <a:srgbClr val="0994E9"/>
              </a:solidFill>
              <a:ln w="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27000" h="177800" prst="angle"/>
                <a:bevelB w="0"/>
              </a:sp3d>
            </c:spPr>
          </c:dPt>
          <c:dPt>
            <c:idx val="5"/>
            <c:explosion val="21"/>
            <c:spPr>
              <a:solidFill>
                <a:srgbClr val="FF33CC"/>
              </a:solidFill>
              <a:ln w="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27000" h="177800" prst="angle"/>
                <a:bevelB w="0"/>
              </a:sp3d>
            </c:spPr>
          </c:dPt>
          <c:dPt>
            <c:idx val="6"/>
            <c:explosion val="33"/>
            <c:spPr>
              <a:solidFill>
                <a:srgbClr val="00B050"/>
              </a:solidFill>
              <a:ln w="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27000" h="177800" prst="angle"/>
                <a:bevelB w="0"/>
              </a:sp3d>
            </c:spPr>
          </c:dPt>
          <c:dPt>
            <c:idx val="7"/>
            <c:explosion val="12"/>
            <c:spPr>
              <a:solidFill>
                <a:schemeClr val="accent2">
                  <a:lumMod val="75000"/>
                </a:schemeClr>
              </a:solidFill>
              <a:ln w="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27000" h="177800" prst="angle"/>
                <a:bevelB w="0"/>
              </a:sp3d>
            </c:spPr>
          </c:dPt>
          <c:dPt>
            <c:idx val="8"/>
            <c:explosion val="25"/>
            <c:spPr>
              <a:solidFill>
                <a:srgbClr val="FF3300"/>
              </a:solidFill>
              <a:ln w="0"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27000" h="177800" prst="angle"/>
                <a:bevelB w="0"/>
              </a:sp3d>
            </c:spPr>
          </c:dPt>
          <c:dLbls>
            <c:dLbl>
              <c:idx val="0"/>
              <c:layout>
                <c:manualLayout>
                  <c:x val="-0.13080734359902232"/>
                  <c:y val="-9.3467191601049868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П</a:t>
                    </a:r>
                    <a:r>
                      <a:rPr lang="ru-RU"/>
                      <a:t>одаток на доходи фізичних осіб
1</a:t>
                    </a:r>
                    <a:r>
                      <a:rPr lang="ru-RU" baseline="0"/>
                      <a:t> 792,5</a:t>
                    </a:r>
                    <a:r>
                      <a:rPr lang="ru-RU"/>
                      <a:t> млн.грн.
57,5%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7.5813095473462169E-2"/>
                  <c:y val="0.22574058944086409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П</a:t>
                    </a:r>
                    <a:r>
                      <a:rPr lang="ru-RU" sz="900"/>
                      <a:t>одаток на прибуток 
</a:t>
                    </a:r>
                    <a:r>
                      <a:rPr lang="ru-RU" sz="900" b="0"/>
                      <a:t>38,5 </a:t>
                    </a:r>
                    <a:r>
                      <a:rPr lang="ru-RU" sz="900" b="0" i="0" u="none" strike="noStrike" baseline="0"/>
                      <a:t>млн.грн.</a:t>
                    </a:r>
                    <a:r>
                      <a:rPr lang="ru-RU" sz="900"/>
                      <a:t>
1,2%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-1.4684593929675241E-2"/>
                  <c:y val="6.0576865391826017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Ч</a:t>
                    </a:r>
                    <a:r>
                      <a:rPr lang="ru-RU" sz="900"/>
                      <a:t>астина чистого прибутку
4,9 </a:t>
                    </a:r>
                    <a:r>
                      <a:rPr lang="ru-RU" sz="900" b="0" i="0" u="none" strike="noStrike" baseline="0"/>
                      <a:t>млн.грн.</a:t>
                    </a:r>
                    <a:r>
                      <a:rPr lang="ru-RU" sz="900"/>
                      <a:t>
0,2%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0.15005506314468833"/>
                  <c:y val="-1.6358335222234847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А</a:t>
                    </a:r>
                    <a:r>
                      <a:rPr lang="ru-RU" sz="900"/>
                      <a:t>кцизний податок 
167,7 </a:t>
                    </a:r>
                    <a:r>
                      <a:rPr lang="ru-RU" sz="900" b="0" i="0" u="none" strike="noStrike" baseline="0"/>
                      <a:t>млн.грн.</a:t>
                    </a:r>
                    <a:r>
                      <a:rPr lang="ru-RU" sz="900"/>
                      <a:t>
5,4%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-4.273230097243283E-2"/>
                  <c:y val="-3.7963486413497144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М</a:t>
                    </a:r>
                    <a:r>
                      <a:rPr lang="ru-RU"/>
                      <a:t>ісцеві податки і збори
</a:t>
                    </a:r>
                    <a:r>
                      <a:rPr lang="ru-RU" b="0"/>
                      <a:t>1</a:t>
                    </a:r>
                    <a:r>
                      <a:rPr lang="ru-RU" b="0" baseline="0"/>
                      <a:t> 005,3</a:t>
                    </a:r>
                    <a:r>
                      <a:rPr lang="ru-RU" b="0"/>
                      <a:t> </a:t>
                    </a:r>
                    <a:r>
                      <a:rPr lang="ru-RU" sz="900" b="0" i="0" u="none" strike="noStrike" baseline="0"/>
                      <a:t>млн.грн.</a:t>
                    </a:r>
                    <a:r>
                      <a:rPr lang="ru-RU"/>
                      <a:t>
32,2%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1.9558734863475143E-2"/>
                  <c:y val="-0.28479234502377049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П</a:t>
                    </a:r>
                    <a:r>
                      <a:rPr lang="ru-RU" sz="900"/>
                      <a:t>лата за надання інших адмінпослуг
23,8 </a:t>
                    </a:r>
                    <a:r>
                      <a:rPr lang="ru-RU" sz="900" b="0" i="0" u="none" strike="noStrike" baseline="0"/>
                      <a:t>млн.грн.</a:t>
                    </a:r>
                    <a:r>
                      <a:rPr lang="ru-RU" sz="900"/>
                      <a:t>
0,8%</a:t>
                    </a:r>
                  </a:p>
                </c:rich>
              </c:tx>
              <c:dLblPos val="bestFit"/>
            </c:dLbl>
            <c:dLbl>
              <c:idx val="6"/>
              <c:layout>
                <c:manualLayout>
                  <c:x val="3.5649569535287647E-2"/>
                  <c:y val="-8.6019727158234083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П</a:t>
                    </a:r>
                    <a:r>
                      <a:rPr lang="ru-RU" sz="900"/>
                      <a:t>лата за оренду МК
15,7 </a:t>
                    </a:r>
                    <a:r>
                      <a:rPr lang="ru-RU" sz="900" b="0" i="0" u="none" strike="noStrike" baseline="0"/>
                      <a:t>млн.грн.</a:t>
                    </a:r>
                    <a:r>
                      <a:rPr lang="ru-RU" sz="900"/>
                      <a:t>
0,5%</a:t>
                    </a:r>
                  </a:p>
                </c:rich>
              </c:tx>
              <c:dLblPos val="bestFit"/>
            </c:dLbl>
            <c:dLbl>
              <c:idx val="7"/>
              <c:layout>
                <c:manualLayout>
                  <c:x val="6.1191510637845926E-2"/>
                  <c:y val="0.1200922248987055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П</a:t>
                    </a:r>
                    <a:r>
                      <a:rPr lang="ru-RU" sz="900"/>
                      <a:t>лата за розміщення тимчасово вільних коштів
59,8 </a:t>
                    </a:r>
                    <a:r>
                      <a:rPr lang="ru-RU" sz="900" b="0" i="0" u="none" strike="noStrike" baseline="0"/>
                      <a:t>млн.грн.</a:t>
                    </a:r>
                    <a:r>
                      <a:rPr lang="ru-RU" sz="900"/>
                      <a:t>
1,9%</a:t>
                    </a:r>
                  </a:p>
                </c:rich>
              </c:tx>
              <c:dLblPos val="bestFit"/>
            </c:dLbl>
            <c:dLbl>
              <c:idx val="8"/>
              <c:layout>
                <c:manualLayout>
                  <c:x val="-0.12907242166424562"/>
                  <c:y val="0.1423881970144899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І</a:t>
                    </a:r>
                    <a:r>
                      <a:rPr lang="ru-RU" sz="900"/>
                      <a:t>нші
10,9</a:t>
                    </a:r>
                    <a:r>
                      <a:rPr lang="ru-RU" sz="900" baseline="0"/>
                      <a:t> </a:t>
                    </a:r>
                    <a:r>
                      <a:rPr lang="ru-RU" sz="900" b="0" i="0" u="none" strike="noStrike" baseline="0"/>
                      <a:t>млн.грн.</a:t>
                    </a:r>
                    <a:r>
                      <a:rPr lang="ru-RU" sz="900"/>
                      <a:t>
0,3%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</c:dLbls>
          <c:cat>
            <c:strRef>
              <c:f>'Структура ЗФ 9 міс 2017'!$B$5:$B$13</c:f>
              <c:strCache>
                <c:ptCount val="9"/>
                <c:pt idx="0">
                  <c:v>Податок на доходи фізичних осіб</c:v>
                </c:pt>
                <c:pt idx="1">
                  <c:v>Податок на прибуток </c:v>
                </c:pt>
                <c:pt idx="2">
                  <c:v>Частина чистого прибутку</c:v>
                </c:pt>
                <c:pt idx="3">
                  <c:v>Акцизний податок </c:v>
                </c:pt>
                <c:pt idx="4">
                  <c:v>Місцеві податки і збори</c:v>
                </c:pt>
                <c:pt idx="5">
                  <c:v>Плата за надання інших адмінпослуг</c:v>
                </c:pt>
                <c:pt idx="6">
                  <c:v>Плата за оренду МК</c:v>
                </c:pt>
                <c:pt idx="7">
                  <c:v>Плата за розміщення тимчасово вільних коштів</c:v>
                </c:pt>
                <c:pt idx="8">
                  <c:v>Інші</c:v>
                </c:pt>
              </c:strCache>
            </c:strRef>
          </c:cat>
          <c:val>
            <c:numRef>
              <c:f>'Структура ЗФ 9 міс 2017'!$C$5:$C$13</c:f>
              <c:numCache>
                <c:formatCode>#,##0.0</c:formatCode>
                <c:ptCount val="9"/>
                <c:pt idx="0">
                  <c:v>1792.53458727</c:v>
                </c:pt>
                <c:pt idx="1">
                  <c:v>38.529959430000012</c:v>
                </c:pt>
                <c:pt idx="2">
                  <c:v>4.8526530399999945</c:v>
                </c:pt>
                <c:pt idx="3">
                  <c:v>167.65640977000001</c:v>
                </c:pt>
                <c:pt idx="4">
                  <c:v>1005.2737228000005</c:v>
                </c:pt>
                <c:pt idx="5">
                  <c:v>23.791567789999988</c:v>
                </c:pt>
                <c:pt idx="6">
                  <c:v>15.671806500000002</c:v>
                </c:pt>
                <c:pt idx="7">
                  <c:v>59.781508469999999</c:v>
                </c:pt>
                <c:pt idx="8">
                  <c:v>11.029836840000026</c:v>
                </c:pt>
              </c:numCache>
            </c:numRef>
          </c:val>
        </c:ser>
        <c:firstSliceAng val="110"/>
      </c:pieChart>
    </c:plotArea>
    <c:plotVisOnly val="1"/>
    <c:dispBlanksAs val="zero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300" b="1"/>
              <a:t>Структура доходів спеціального фонду бюджету за 9 місяців 2017 року </a:t>
            </a:r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822198780542119"/>
          <c:y val="0.29470237409843031"/>
          <c:w val="0.46404202113622939"/>
          <c:h val="0.62556116687456353"/>
        </c:manualLayout>
      </c:layout>
      <c:doughnutChart>
        <c:varyColors val="1"/>
        <c:ser>
          <c:idx val="0"/>
          <c:order val="0"/>
          <c:tx>
            <c:strRef>
              <c:f>'структура СФ за 9 місяців 2017 '!$C$3</c:f>
              <c:strCache>
                <c:ptCount val="1"/>
                <c:pt idx="0">
                  <c:v>Факт станом на 01.10.2017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 prstMaterial="plastic">
              <a:bevelT w="254000" h="139700" prst="angle"/>
              <a:contourClr>
                <a:srgbClr val="000000"/>
              </a:contourClr>
            </a:sp3d>
          </c:spPr>
          <c:explosion val="7"/>
          <c:dPt>
            <c:idx val="0"/>
            <c:spPr>
              <a:solidFill>
                <a:srgbClr val="0070C0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plastic">
                <a:bevelT w="254000" h="139700" prst="angle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48E0D9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plastic">
                <a:bevelT w="254000" h="139700" prst="angle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A86ED4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plastic">
                <a:bevelT w="254000" h="139700" prst="angle"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00B050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plastic">
                <a:bevelT w="254000" h="139700" prst="angle"/>
                <a:contourClr>
                  <a:srgbClr val="000000"/>
                </a:contourClr>
              </a:sp3d>
            </c:spPr>
          </c:dPt>
          <c:dPt>
            <c:idx val="4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plastic">
                <a:bevelT w="254000" h="139700" prst="angle"/>
                <a:contourClr>
                  <a:srgbClr val="000000"/>
                </a:contourClr>
              </a:sp3d>
            </c:spPr>
          </c:dPt>
          <c:dPt>
            <c:idx val="5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plastic">
                <a:bevelT w="254000" h="139700" prst="angle"/>
                <a:contourClr>
                  <a:srgbClr val="000000"/>
                </a:contourClr>
              </a:sp3d>
            </c:spPr>
          </c:dPt>
          <c:dPt>
            <c:idx val="6"/>
            <c:spPr>
              <a:solidFill>
                <a:srgbClr val="B800B8">
                  <a:alpha val="87843"/>
                </a:srgbClr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plastic">
                <a:bevelT w="254000" h="139700" prst="angle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9.0126468848974184E-2"/>
                  <c:y val="-0.37990594339187839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Власні надходження бюджетних установ 
150,1 млн.грн.
80,3%</a:t>
                    </a:r>
                    <a:endParaRPr lang="ru-RU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1"/>
              <c:layout>
                <c:manualLayout>
                  <c:x val="2.0400267013978405E-2"/>
                  <c:y val="-0.27632159323675803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Екологічний податок
16,1 млн.грн.
8,6%</a:t>
                    </a:r>
                    <a:endParaRPr lang="ru-RU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2"/>
              <c:layout>
                <c:manualLayout>
                  <c:x val="0.20026084653589313"/>
                  <c:y val="-0.27260281145366588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Кошти від відчуження майна
9,8млн.грн.
5,2%</a:t>
                    </a:r>
                    <a:endParaRPr lang="ru-RU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3"/>
              <c:layout>
                <c:manualLayout>
                  <c:x val="0.32562620423892252"/>
                  <c:y val="-0.12196812196812253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Кошти пайової участі
3,0 млн.грн.
1,6%</a:t>
                    </a:r>
                    <a:endParaRPr lang="ru-RU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4"/>
              <c:layout>
                <c:manualLayout>
                  <c:x val="0.30987715905834101"/>
                  <c:y val="5.0000654514700114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Кошти від продажу землі
6,1млн.грн.
3,3%</a:t>
                    </a:r>
                    <a:endParaRPr lang="ru-RU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5"/>
              <c:layout>
                <c:manualLayout>
                  <c:x val="0.22840887241012794"/>
                  <c:y val="0.17003865051590014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Цільові фонди
1,0млн.грн.
0,5%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6"/>
              <c:layout>
                <c:manualLayout>
                  <c:x val="5.6381670361085622E-2"/>
                  <c:y val="0.20621054770359248"/>
                </c:manualLayout>
              </c:layout>
              <c:tx>
                <c:rich>
                  <a:bodyPr/>
                  <a:lstStyle/>
                  <a:p>
                    <a:r>
                      <a:rPr lang="ru-RU" sz="1100"/>
                      <a:t>Інші
0,8 млн.грн.
0,5%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Percent val="1"/>
            </c:dLbl>
            <c:numFmt formatCode="0.0%" sourceLinked="0"/>
            <c:spPr>
              <a:noFill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Percent val="1"/>
            <c:separator>
</c:separator>
            <c:showLeaderLines val="1"/>
            <c:leaderLines>
              <c:spPr>
                <a:ln w="9525" cap="flat" cmpd="sng" algn="ctr">
                  <a:solidFill>
                    <a:schemeClr val="dk1"/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</c:spPr>
            </c:leaderLines>
          </c:dLbls>
          <c:cat>
            <c:strRef>
              <c:f>'структура СФ за 9 місяців 2017 '!$B$4:$B$10</c:f>
              <c:strCache>
                <c:ptCount val="7"/>
                <c:pt idx="0">
                  <c:v>Власні надходження бюджетних установ </c:v>
                </c:pt>
                <c:pt idx="1">
                  <c:v>Екологічний податок</c:v>
                </c:pt>
                <c:pt idx="2">
                  <c:v>Кошти від відчуження майна</c:v>
                </c:pt>
                <c:pt idx="3">
                  <c:v>Кошти пайової участі</c:v>
                </c:pt>
                <c:pt idx="4">
                  <c:v>Кошти від продажу земельних ділянок нес/г призначення</c:v>
                </c:pt>
                <c:pt idx="5">
                  <c:v>Цільові фонди</c:v>
                </c:pt>
                <c:pt idx="6">
                  <c:v>Інші</c:v>
                </c:pt>
              </c:strCache>
            </c:strRef>
          </c:cat>
          <c:val>
            <c:numRef>
              <c:f>'структура СФ за 9 місяців 2017 '!$C$4:$C$10</c:f>
              <c:numCache>
                <c:formatCode>#,##0.0</c:formatCode>
                <c:ptCount val="7"/>
                <c:pt idx="0">
                  <c:v>150.10632781000064</c:v>
                </c:pt>
                <c:pt idx="1">
                  <c:v>16.083727009999919</c:v>
                </c:pt>
                <c:pt idx="2">
                  <c:v>9.8073432700000005</c:v>
                </c:pt>
                <c:pt idx="3">
                  <c:v>3.0283891700000001</c:v>
                </c:pt>
                <c:pt idx="4">
                  <c:v>6.110564829999972</c:v>
                </c:pt>
                <c:pt idx="5">
                  <c:v>1.0159667399999954</c:v>
                </c:pt>
                <c:pt idx="6">
                  <c:v>0.78797405000003162</c:v>
                </c:pt>
              </c:numCache>
            </c:numRef>
          </c:val>
        </c:ser>
        <c:dLbls>
          <c:showPercent val="1"/>
        </c:dLbls>
        <c:firstSliceAng val="120"/>
        <c:holeSize val="31"/>
      </c:doughnutChart>
    </c:plotArea>
    <c:plotVisOnly val="1"/>
    <c:dispBlanksAs val="zero"/>
  </c:chart>
  <c:spPr>
    <a:solidFill>
      <a:srgbClr val="FFFFFF"/>
    </a:solidFill>
    <a:ln w="9525">
      <a:noFill/>
    </a:ln>
    <a:scene3d>
      <a:camera prst="orthographicFront"/>
      <a:lightRig rig="threePt" dir="t"/>
    </a:scene3d>
    <a:sp3d>
      <a:bevelT w="12700" h="0"/>
      <a:bevelB w="0" h="0"/>
    </a:sp3d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40"/>
      <c:perspective val="0"/>
    </c:view3D>
    <c:plotArea>
      <c:layout>
        <c:manualLayout>
          <c:layoutTarget val="inner"/>
          <c:xMode val="edge"/>
          <c:yMode val="edge"/>
          <c:x val="0.18269512557552794"/>
          <c:y val="0.1944854393033715"/>
          <c:w val="0.65818660017914365"/>
          <c:h val="0.63041857257630363"/>
        </c:manualLayout>
      </c:layout>
      <c:pie3DChart>
        <c:varyColors val="1"/>
        <c:ser>
          <c:idx val="0"/>
          <c:order val="0"/>
          <c:spPr>
            <a:ln>
              <a:solidFill>
                <a:schemeClr val="accent2">
                  <a:lumMod val="50000"/>
                </a:schemeClr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 prstMaterial="powder">
              <a:bevelT w="482600" h="361950"/>
              <a:bevelB w="120650" h="127000"/>
              <a:contourClr>
                <a:srgbClr val="000000"/>
              </a:contourClr>
            </a:sp3d>
          </c:spPr>
          <c:explosion val="9"/>
          <c:dPt>
            <c:idx val="6"/>
            <c:spPr>
              <a:ln>
                <a:solidFill>
                  <a:schemeClr val="accent2">
                    <a:lumMod val="50000"/>
                  </a:schemeClr>
                </a:solidFill>
              </a:ln>
              <a:effectLst>
                <a:outerShdw blurRad="1270000" dist="2540000" dir="20520000" sx="20000" sy="20000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powder">
                <a:bevelT w="482600" h="361950"/>
                <a:bevelB w="120650" h="1270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0.11007333662796288"/>
                  <c:y val="2.8365199730031137E-2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О</a:t>
                    </a:r>
                    <a:r>
                      <a:rPr lang="ru-RU"/>
                      <a:t>світа; </a:t>
                    </a:r>
                  </a:p>
                  <a:p>
                    <a:r>
                      <a:rPr lang="ru-RU"/>
                      <a:t>1 409,2 млн.грн.; 25%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8.1323945797880673E-2"/>
                  <c:y val="-7.2156821312614583E-2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О</a:t>
                    </a:r>
                    <a:r>
                      <a:rPr lang="ru-RU"/>
                      <a:t>хорона здоров'я; </a:t>
                    </a:r>
                  </a:p>
                  <a:p>
                    <a:r>
                      <a:rPr lang="ru-RU"/>
                      <a:t>909,4 млн.грн.; 16%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0.21792527490280941"/>
                  <c:y val="-1.0638796976260238E-2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К</a:t>
                    </a:r>
                    <a:r>
                      <a:rPr lang="ru-RU"/>
                      <a:t>ультура;</a:t>
                    </a:r>
                  </a:p>
                  <a:p>
                    <a:r>
                      <a:rPr lang="ru-RU"/>
                      <a:t> 109,3 млн.грн.; 2%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9.3518965521840594E-2"/>
                  <c:y val="0.12986247769192188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Ф</a:t>
                    </a:r>
                    <a:r>
                      <a:rPr lang="ru-RU"/>
                      <a:t>ізична культура і спорт;</a:t>
                    </a:r>
                  </a:p>
                  <a:p>
                    <a:r>
                      <a:rPr lang="ru-RU"/>
                      <a:t> 51,8 млн.грн.; 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-0.20628084833517721"/>
                  <c:y val="0.14834729046660586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У</a:t>
                    </a:r>
                    <a:r>
                      <a:rPr lang="ru-RU"/>
                      <a:t>тримання та заходи соціальних служб; </a:t>
                    </a:r>
                  </a:p>
                  <a:p>
                    <a:r>
                      <a:rPr lang="ru-RU"/>
                      <a:t>30,2 млн.грн.; 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5"/>
              <c:layout>
                <c:manualLayout>
                  <c:x val="-0.13023803156366284"/>
                  <c:y val="-4.9414935990311814E-3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С</a:t>
                    </a:r>
                    <a:r>
                      <a:rPr lang="ru-RU"/>
                      <a:t>оціальний захист та соціальне  забезпечення, 
компенсація пільгового проїзду;</a:t>
                    </a:r>
                  </a:p>
                  <a:p>
                    <a:r>
                      <a:rPr lang="ru-RU"/>
                      <a:t> 1 518,7 млн.грн.; 27%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6"/>
              <c:layout>
                <c:manualLayout>
                  <c:x val="-7.1725066327601783E-2"/>
                  <c:y val="2.3279825960969849E-2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Ж</a:t>
                    </a:r>
                    <a:r>
                      <a:rPr lang="ru-RU"/>
                      <a:t>итлово-комунальне  господарство; </a:t>
                    </a:r>
                  </a:p>
                  <a:p>
                    <a:r>
                      <a:rPr lang="ru-RU"/>
                      <a:t>974,2 млн. грн.; 18%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7"/>
              <c:layout>
                <c:manualLayout>
                  <c:x val="-8.8999175286110746E-2"/>
                  <c:y val="-9.9420793437998645E-2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К</a:t>
                    </a:r>
                    <a:r>
                      <a:rPr lang="ru-RU"/>
                      <a:t>ошти, що передаються до  держаного бюджету;</a:t>
                    </a:r>
                  </a:p>
                  <a:p>
                    <a:r>
                      <a:rPr lang="ru-RU"/>
                      <a:t> 171,2 млн.грн.; 3%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8"/>
              <c:layout>
                <c:manualLayout>
                  <c:x val="0.10795030405508139"/>
                  <c:y val="-0.10639314157959875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Т</a:t>
                    </a:r>
                    <a:r>
                      <a:rPr lang="ru-RU"/>
                      <a:t>ранспорт; </a:t>
                    </a:r>
                  </a:p>
                  <a:p>
                    <a:r>
                      <a:rPr lang="ru-RU"/>
                      <a:t>121,4 млн.грн.; </a:t>
                    </a:r>
                  </a:p>
                  <a:p>
                    <a:r>
                      <a:rPr lang="ru-RU"/>
                      <a:t>2%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9"/>
              <c:layout>
                <c:manualLayout>
                  <c:x val="0.31950814506379038"/>
                  <c:y val="-4.5220151319976976E-2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І</a:t>
                    </a:r>
                    <a:r>
                      <a:rPr lang="ru-RU"/>
                      <a:t>нші видатки; </a:t>
                    </a:r>
                  </a:p>
                  <a:p>
                    <a:r>
                      <a:rPr lang="ru-RU"/>
                      <a:t>277,6 млн.грн.; 5%</a:t>
                    </a:r>
                  </a:p>
                </c:rich>
              </c:tx>
              <c:showVal val="1"/>
              <c:showCatName val="1"/>
              <c:showPercent val="1"/>
            </c:dLbl>
            <c:spPr>
              <a:solidFill>
                <a:schemeClr val="accent4">
                  <a:lumMod val="20000"/>
                  <a:lumOff val="80000"/>
                </a:schemeClr>
              </a:solidFill>
              <a:scene3d>
                <a:camera prst="orthographicFront"/>
                <a:lightRig rig="threePt" dir="t"/>
              </a:scene3d>
              <a:sp3d prstMaterial="flat"/>
            </c:spPr>
            <c:txPr>
              <a:bodyPr/>
              <a:lstStyle/>
              <a:p>
                <a:pPr>
                  <a:defRPr sz="7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  <c:leaderLines>
              <c:spPr>
                <a:ln w="6350" cap="rnd">
                  <a:bevel/>
                </a:ln>
              </c:spPr>
            </c:leaderLines>
          </c:dLbls>
          <c:cat>
            <c:strRef>
              <c:f>'з+с ф. функц.'!$A$1:$A$10</c:f>
              <c:strCache>
                <c:ptCount val="10"/>
                <c:pt idx="0">
                  <c:v>Освіта</c:v>
                </c:pt>
                <c:pt idx="1">
                  <c:v>Охорона здоров'я</c:v>
                </c:pt>
                <c:pt idx="2">
                  <c:v>Культура</c:v>
                </c:pt>
                <c:pt idx="3">
                  <c:v>Фізична культура і спорт</c:v>
                </c:pt>
                <c:pt idx="4">
                  <c:v>Утримання та заходи соціальних служб</c:v>
                </c:pt>
                <c:pt idx="5">
                  <c:v>Соціальний захист та соціальне  забезпечення, 
компенсація пільгового проїзду</c:v>
                </c:pt>
                <c:pt idx="6">
                  <c:v>Житлово-комунальне  господарство</c:v>
                </c:pt>
                <c:pt idx="7">
                  <c:v>Кошти, що передаються до  держаного бюджету</c:v>
                </c:pt>
                <c:pt idx="8">
                  <c:v>Транспорт</c:v>
                </c:pt>
                <c:pt idx="9">
                  <c:v>Інші видатки</c:v>
                </c:pt>
              </c:strCache>
            </c:strRef>
          </c:cat>
          <c:val>
            <c:numRef>
              <c:f>'з+с ф. функц.'!$B$1:$B$10</c:f>
              <c:numCache>
                <c:formatCode>#,##0.0</c:formatCode>
                <c:ptCount val="10"/>
                <c:pt idx="0">
                  <c:v>1409.2</c:v>
                </c:pt>
                <c:pt idx="1">
                  <c:v>909.4</c:v>
                </c:pt>
                <c:pt idx="2">
                  <c:v>109.3</c:v>
                </c:pt>
                <c:pt idx="3">
                  <c:v>51.8</c:v>
                </c:pt>
                <c:pt idx="4">
                  <c:v>30.2</c:v>
                </c:pt>
                <c:pt idx="5">
                  <c:v>1518.7</c:v>
                </c:pt>
                <c:pt idx="6">
                  <c:v>974.2</c:v>
                </c:pt>
                <c:pt idx="7">
                  <c:v>171.2</c:v>
                </c:pt>
                <c:pt idx="8">
                  <c:v>121.4</c:v>
                </c:pt>
                <c:pt idx="9">
                  <c:v>277.60000000000002</c:v>
                </c:pt>
              </c:numCache>
            </c:numRef>
          </c:val>
        </c:ser>
        <c:dLbls>
          <c:showVal val="1"/>
          <c:showCatName val="1"/>
        </c:dLbls>
      </c:pie3DChart>
      <c:spPr>
        <a:effectLst>
          <a:outerShdw blurRad="50800" dist="50800" dir="5400000" algn="ctr" rotWithShape="0">
            <a:srgbClr val="DCFCEE"/>
          </a:outerShdw>
        </a:effectLst>
      </c:spPr>
    </c:plotArea>
    <c:plotVisOnly val="1"/>
  </c:chart>
  <c:spPr>
    <a:ln>
      <a:noFill/>
    </a:ln>
    <a:effectLst>
      <a:outerShdw blurRad="50800" dist="50800" dir="5400000" sx="1000" sy="1000" algn="ctr" rotWithShape="0">
        <a:srgbClr val="000000"/>
      </a:outerShdw>
    </a:effectLst>
    <a:scene3d>
      <a:camera prst="orthographicFront"/>
      <a:lightRig rig="threePt" dir="t"/>
    </a:scene3d>
    <a:sp3d prstMaterial="translucentPowder"/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5561346296310441"/>
          <c:y val="0.30979517823023284"/>
          <c:w val="0.62087782674110759"/>
          <c:h val="0.60297533132933623"/>
        </c:manualLayout>
      </c:layout>
      <c:ofPieChart>
        <c:ofPieType val="bar"/>
        <c:varyColors val="1"/>
        <c:ser>
          <c:idx val="0"/>
          <c:order val="0"/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58750" h="190500"/>
            </a:sp3d>
          </c:spPr>
          <c:explosion val="10"/>
          <c:dLbls>
            <c:dLbl>
              <c:idx val="0"/>
              <c:layout>
                <c:manualLayout>
                  <c:x val="-2.2873977561728504E-2"/>
                  <c:y val="3.4054448758047438E-2"/>
                </c:manualLayout>
              </c:layout>
              <c:tx>
                <c:rich>
                  <a:bodyPr/>
                  <a:lstStyle/>
                  <a:p>
                    <a:pPr>
                      <a:defRPr sz="700" b="1"/>
                    </a:pPr>
                    <a:r>
                      <a:rPr lang="ru-RU" sz="700"/>
                      <a:t>о</a:t>
                    </a:r>
                    <a:r>
                      <a:rPr lang="ru-RU"/>
                      <a:t>плата праці з нарахуваннями ;</a:t>
                    </a:r>
                  </a:p>
                  <a:p>
                    <a:pPr>
                      <a:defRPr sz="700" b="1"/>
                    </a:pPr>
                    <a:r>
                      <a:rPr lang="ru-RU"/>
                      <a:t> 1787,4 млн.грн.; 71%</a:t>
                    </a:r>
                  </a:p>
                </c:rich>
              </c:tx>
              <c:spPr>
                <a:solidFill>
                  <a:srgbClr val="F79646">
                    <a:lumMod val="20000"/>
                    <a:lumOff val="80000"/>
                  </a:srgbClr>
                </a:solidFill>
              </c:spPr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-0.29601201281672135"/>
                  <c:y val="-8.5780960120366248E-2"/>
                </c:manualLayout>
              </c:layout>
              <c:tx>
                <c:rich>
                  <a:bodyPr/>
                  <a:lstStyle/>
                  <a:p>
                    <a:pPr>
                      <a:defRPr sz="700" b="1"/>
                    </a:pPr>
                    <a:r>
                      <a:rPr lang="ru-RU" sz="700"/>
                      <a:t> </a:t>
                    </a:r>
                    <a:r>
                      <a:rPr lang="ru-RU" sz="800"/>
                      <a:t>комунальні послуги та енергоносії;</a:t>
                    </a:r>
                  </a:p>
                  <a:p>
                    <a:pPr>
                      <a:defRPr sz="700" b="1"/>
                    </a:pPr>
                    <a:r>
                      <a:rPr lang="ru-RU" sz="800"/>
                      <a:t> 184,2 млн.грн.; 7%</a:t>
                    </a:r>
                  </a:p>
                </c:rich>
              </c:tx>
              <c:spPr>
                <a:solidFill>
                  <a:schemeClr val="accent6">
                    <a:lumMod val="20000"/>
                    <a:lumOff val="80000"/>
                  </a:schemeClr>
                </a:solidFill>
              </c:spPr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-0.16060181614058608"/>
                  <c:y val="-0.23820881354282147"/>
                </c:manualLayout>
              </c:layout>
              <c:tx>
                <c:rich>
                  <a:bodyPr/>
                  <a:lstStyle/>
                  <a:p>
                    <a:pPr>
                      <a:defRPr sz="700" b="1"/>
                    </a:pPr>
                    <a:r>
                      <a:rPr lang="ru-RU" sz="700"/>
                      <a:t>п</a:t>
                    </a:r>
                    <a:r>
                      <a:rPr lang="ru-RU" sz="800"/>
                      <a:t>родукти харчування; </a:t>
                    </a:r>
                  </a:p>
                  <a:p>
                    <a:pPr>
                      <a:defRPr sz="700" b="1"/>
                    </a:pPr>
                    <a:r>
                      <a:rPr lang="ru-RU" sz="800"/>
                      <a:t>70,6 млн.грн.; 3%</a:t>
                    </a:r>
                  </a:p>
                </c:rich>
              </c:tx>
              <c:spPr>
                <a:solidFill>
                  <a:srgbClr val="F79646">
                    <a:lumMod val="20000"/>
                    <a:lumOff val="80000"/>
                  </a:srgbClr>
                </a:solidFill>
              </c:spPr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3.0286320902418742E-2"/>
                  <c:y val="-0.24631381664618043"/>
                </c:manualLayout>
              </c:layout>
              <c:tx>
                <c:rich>
                  <a:bodyPr/>
                  <a:lstStyle/>
                  <a:p>
                    <a:pPr>
                      <a:defRPr sz="700" b="1"/>
                    </a:pPr>
                    <a:r>
                      <a:rPr lang="ru-RU" sz="700"/>
                      <a:t>м</a:t>
                    </a:r>
                    <a:r>
                      <a:rPr lang="ru-RU" sz="800"/>
                      <a:t>едикаменти ;</a:t>
                    </a:r>
                  </a:p>
                  <a:p>
                    <a:pPr>
                      <a:defRPr sz="700" b="1"/>
                    </a:pPr>
                    <a:r>
                      <a:rPr lang="ru-RU" sz="800"/>
                      <a:t> 49,0 млн.грн.; 2%</a:t>
                    </a:r>
                  </a:p>
                </c:rich>
              </c:tx>
              <c:spPr>
                <a:solidFill>
                  <a:srgbClr val="F79646">
                    <a:lumMod val="20000"/>
                    <a:lumOff val="80000"/>
                  </a:srgbClr>
                </a:solidFill>
              </c:spPr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0.16760117840634103"/>
                  <c:y val="-0.24429046049859227"/>
                </c:manualLayout>
              </c:layout>
              <c:tx>
                <c:rich>
                  <a:bodyPr/>
                  <a:lstStyle/>
                  <a:p>
                    <a:pPr>
                      <a:defRPr sz="700" b="1"/>
                    </a:pPr>
                    <a:r>
                      <a:rPr lang="ru-RU" sz="700"/>
                      <a:t>І</a:t>
                    </a:r>
                    <a:r>
                      <a:rPr lang="ru-RU" sz="800"/>
                      <a:t>нші поточні видатки; 118,5млн.грн.; 5%</a:t>
                    </a:r>
                  </a:p>
                </c:rich>
              </c:tx>
              <c:spPr>
                <a:solidFill>
                  <a:srgbClr val="F79646">
                    <a:lumMod val="20000"/>
                    <a:lumOff val="80000"/>
                  </a:srgbClr>
                </a:solidFill>
              </c:spPr>
              <c:dLblPos val="bestFit"/>
              <c:showVal val="1"/>
              <c:showCatName val="1"/>
              <c:showPercent val="1"/>
            </c:dLbl>
            <c:dLbl>
              <c:idx val="5"/>
              <c:layout>
                <c:manualLayout>
                  <c:x val="0.11102427562813236"/>
                  <c:y val="-0.18267977154558418"/>
                </c:manualLayout>
              </c:layout>
              <c:tx>
                <c:rich>
                  <a:bodyPr/>
                  <a:lstStyle/>
                  <a:p>
                    <a:pPr>
                      <a:defRPr sz="700" b="1"/>
                    </a:pPr>
                    <a:r>
                      <a:rPr lang="ru-RU" sz="700"/>
                      <a:t>в</a:t>
                    </a:r>
                    <a:r>
                      <a:rPr lang="ru-RU" sz="800"/>
                      <a:t>идатки бюджету розвитку; </a:t>
                    </a:r>
                  </a:p>
                  <a:p>
                    <a:pPr>
                      <a:defRPr sz="700" b="1"/>
                    </a:pPr>
                    <a:r>
                      <a:rPr lang="ru-RU" sz="800"/>
                      <a:t>156,7 млн.грн.; 6%</a:t>
                    </a:r>
                  </a:p>
                </c:rich>
              </c:tx>
              <c:spPr>
                <a:solidFill>
                  <a:srgbClr val="F79646">
                    <a:lumMod val="20000"/>
                    <a:lumOff val="80000"/>
                  </a:srgbClr>
                </a:solidFill>
              </c:spPr>
              <c:dLblPos val="bestFit"/>
              <c:showVal val="1"/>
              <c:showCatName val="1"/>
              <c:showPercent val="1"/>
            </c:dLbl>
            <c:dLbl>
              <c:idx val="6"/>
              <c:layout>
                <c:manualLayout>
                  <c:x val="4.4101514183522303E-2"/>
                  <c:y val="-2.361593936739062E-2"/>
                </c:manualLayout>
              </c:layout>
              <c:tx>
                <c:rich>
                  <a:bodyPr/>
                  <a:lstStyle/>
                  <a:p>
                    <a:pPr>
                      <a:defRPr sz="600" b="1"/>
                    </a:pPr>
                    <a:r>
                      <a:rPr lang="ru-RU" sz="600" b="0"/>
                      <a:t>оплата праці з нарахуваннями ; </a:t>
                    </a:r>
                  </a:p>
                  <a:p>
                    <a:pPr>
                      <a:defRPr sz="600" b="1"/>
                    </a:pPr>
                    <a:r>
                      <a:rPr lang="ru-RU" sz="600" b="0"/>
                      <a:t>22,9 млн.грн.; 1%</a:t>
                    </a:r>
                  </a:p>
                </c:rich>
              </c:tx>
              <c:spPr>
                <a:solidFill>
                  <a:schemeClr val="accent4">
                    <a:lumMod val="20000"/>
                    <a:lumOff val="80000"/>
                  </a:schemeClr>
                </a:solidFill>
              </c:spPr>
              <c:dLblPos val="bestFit"/>
              <c:showVal val="1"/>
              <c:showCatName val="1"/>
              <c:showPercent val="1"/>
            </c:dLbl>
            <c:dLbl>
              <c:idx val="7"/>
              <c:layout>
                <c:manualLayout>
                  <c:x val="4.4360495610387497E-2"/>
                  <c:y val="2.1252420486813227E-4"/>
                </c:manualLayout>
              </c:layout>
              <c:tx>
                <c:rich>
                  <a:bodyPr/>
                  <a:lstStyle/>
                  <a:p>
                    <a:pPr>
                      <a:defRPr sz="600" b="1"/>
                    </a:pPr>
                    <a:r>
                      <a:rPr lang="ru-RU" sz="600" b="0"/>
                      <a:t>продукти харчування; </a:t>
                    </a:r>
                  </a:p>
                  <a:p>
                    <a:pPr>
                      <a:defRPr sz="600" b="1"/>
                    </a:pPr>
                    <a:r>
                      <a:rPr lang="ru-RU" sz="600" b="0"/>
                      <a:t>26,4 млн.грн.; 1%</a:t>
                    </a:r>
                  </a:p>
                </c:rich>
              </c:tx>
              <c:spPr>
                <a:solidFill>
                  <a:srgbClr val="8064A2">
                    <a:lumMod val="20000"/>
                    <a:lumOff val="80000"/>
                  </a:srgbClr>
                </a:solidFill>
              </c:spPr>
              <c:dLblPos val="bestFit"/>
              <c:showVal val="1"/>
              <c:showCatName val="1"/>
              <c:showPercent val="1"/>
            </c:dLbl>
            <c:dLbl>
              <c:idx val="8"/>
              <c:layout>
                <c:manualLayout>
                  <c:x val="4.7148674260194028E-2"/>
                  <c:y val="9.6876952663571148E-3"/>
                </c:manualLayout>
              </c:layout>
              <c:tx>
                <c:rich>
                  <a:bodyPr/>
                  <a:lstStyle/>
                  <a:p>
                    <a:pPr>
                      <a:defRPr sz="600" b="1"/>
                    </a:pPr>
                    <a:r>
                      <a:rPr lang="ru-RU" sz="600" b="0"/>
                      <a:t>медикаменти ;</a:t>
                    </a:r>
                  </a:p>
                  <a:p>
                    <a:pPr>
                      <a:defRPr sz="600" b="1"/>
                    </a:pPr>
                    <a:r>
                      <a:rPr lang="ru-RU" sz="600" b="0"/>
                      <a:t> 21,2 млн.грн.; 1%</a:t>
                    </a:r>
                  </a:p>
                </c:rich>
              </c:tx>
              <c:spPr>
                <a:solidFill>
                  <a:srgbClr val="8064A2">
                    <a:lumMod val="20000"/>
                    <a:lumOff val="80000"/>
                  </a:srgbClr>
                </a:solidFill>
              </c:spPr>
              <c:dLblPos val="bestFit"/>
              <c:showVal val="1"/>
              <c:showCatName val="1"/>
              <c:showPercent val="1"/>
            </c:dLbl>
            <c:dLbl>
              <c:idx val="9"/>
              <c:layout>
                <c:manualLayout>
                  <c:x val="4.9296846763422816E-2"/>
                  <c:y val="-6.1822846632973213E-3"/>
                </c:manualLayout>
              </c:layout>
              <c:tx>
                <c:rich>
                  <a:bodyPr/>
                  <a:lstStyle/>
                  <a:p>
                    <a:pPr>
                      <a:defRPr sz="600" b="1"/>
                    </a:pPr>
                    <a:r>
                      <a:rPr lang="ru-RU" sz="600" b="0"/>
                      <a:t>Інші поточні видатки; </a:t>
                    </a:r>
                  </a:p>
                  <a:p>
                    <a:pPr>
                      <a:defRPr sz="600" b="1"/>
                    </a:pPr>
                    <a:r>
                      <a:rPr lang="ru-RU" sz="600" b="0"/>
                      <a:t>46,8 млн.грн.; 2%</a:t>
                    </a:r>
                  </a:p>
                </c:rich>
              </c:tx>
              <c:spPr>
                <a:solidFill>
                  <a:srgbClr val="8064A2">
                    <a:lumMod val="20000"/>
                    <a:lumOff val="80000"/>
                  </a:srgbClr>
                </a:solidFill>
              </c:spPr>
              <c:dLblPos val="bestFit"/>
              <c:showVal val="1"/>
              <c:showCatName val="1"/>
              <c:showPercent val="1"/>
            </c:dLbl>
            <c:dLbl>
              <c:idx val="10"/>
              <c:layout>
                <c:manualLayout>
                  <c:x val="4.7898943699605082E-2"/>
                  <c:y val="-7.8379777746866424E-3"/>
                </c:manualLayout>
              </c:layout>
              <c:tx>
                <c:rich>
                  <a:bodyPr/>
                  <a:lstStyle/>
                  <a:p>
                    <a:pPr>
                      <a:defRPr sz="600" b="1"/>
                    </a:pPr>
                    <a:r>
                      <a:rPr lang="ru-RU" sz="600" b="0"/>
                      <a:t>капітальні видатки ; </a:t>
                    </a:r>
                  </a:p>
                  <a:p>
                    <a:pPr>
                      <a:defRPr sz="600" b="1"/>
                    </a:pPr>
                    <a:r>
                      <a:rPr lang="ru-RU" sz="600" b="0"/>
                      <a:t>26,1 млн.грн.; 1%</a:t>
                    </a:r>
                  </a:p>
                </c:rich>
              </c:tx>
              <c:spPr>
                <a:solidFill>
                  <a:srgbClr val="8064A2">
                    <a:lumMod val="20000"/>
                    <a:lumOff val="80000"/>
                  </a:srgbClr>
                </a:solidFill>
              </c:spPr>
              <c:dLblPos val="bestFit"/>
              <c:showVal val="1"/>
              <c:showCatName val="1"/>
              <c:showPercent val="1"/>
            </c:dLbl>
            <c:dLbl>
              <c:idx val="11"/>
              <c:layout>
                <c:manualLayout>
                  <c:x val="-3.655755813921846E-2"/>
                  <c:y val="-1.90464275834363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7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700" b="1" i="0" baseline="0"/>
                      <a:t>В</a:t>
                    </a:r>
                    <a:r>
                      <a:rPr lang="ru-RU" sz="800" b="1" i="0" baseline="0"/>
                      <a:t>идатки за рахунок власних надходжень бюджетних установ</a:t>
                    </a:r>
                    <a:r>
                      <a:rPr lang="ru-RU" b="1"/>
                      <a:t>; </a:t>
                    </a: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7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/>
                      <a:t>143,5 млн.грн.; 6%</a:t>
                    </a:r>
                    <a:endParaRPr lang="ru-RU"/>
                  </a:p>
                </c:rich>
              </c:tx>
              <c:spPr>
                <a:solidFill>
                  <a:srgbClr val="F79646">
                    <a:lumMod val="20000"/>
                    <a:lumOff val="80000"/>
                  </a:srgbClr>
                </a:solidFill>
              </c:spPr>
              <c:dLblPos val="bestFit"/>
              <c:showVal val="1"/>
              <c:showCatName val="1"/>
              <c:showPercent val="1"/>
            </c:dLbl>
            <c:dLbl>
              <c:idx val="12"/>
              <c:layout>
                <c:manualLayout>
                  <c:x val="-9.0074616036719943E-2"/>
                  <c:y val="2.8632209227324332E-2"/>
                </c:manualLayout>
              </c:layout>
              <c:dLblPos val="bestFit"/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dLblPos val="bestFit"/>
            <c:showVal val="1"/>
            <c:showCatName val="1"/>
            <c:showPercent val="1"/>
            <c:showLeaderLines val="1"/>
          </c:dLbls>
          <c:cat>
            <c:strRef>
              <c:f>'соц -культ сфера'!$A$3:$A$13</c:f>
              <c:strCache>
                <c:ptCount val="11"/>
                <c:pt idx="0">
                  <c:v>оплата праці з нарахуваннями </c:v>
                </c:pt>
                <c:pt idx="1">
                  <c:v> комунальні послуги та енергоносії</c:v>
                </c:pt>
                <c:pt idx="2">
                  <c:v>продукти харчування</c:v>
                </c:pt>
                <c:pt idx="3">
                  <c:v>медикаменти </c:v>
                </c:pt>
                <c:pt idx="4">
                  <c:v>Інші поточні видатки</c:v>
                </c:pt>
                <c:pt idx="5">
                  <c:v>видатки бюджету розвитку</c:v>
                </c:pt>
                <c:pt idx="6">
                  <c:v>оплата праці з нарахуваннями </c:v>
                </c:pt>
                <c:pt idx="7">
                  <c:v>продукти харчування</c:v>
                </c:pt>
                <c:pt idx="8">
                  <c:v>медикаменти </c:v>
                </c:pt>
                <c:pt idx="9">
                  <c:v>Інші поточні видатки</c:v>
                </c:pt>
                <c:pt idx="10">
                  <c:v>капітальні видатки </c:v>
                </c:pt>
              </c:strCache>
            </c:strRef>
          </c:cat>
          <c:val>
            <c:numRef>
              <c:f>'соц -культ сфера'!$B$3:$B$13</c:f>
              <c:numCache>
                <c:formatCode>0.0</c:formatCode>
                <c:ptCount val="11"/>
                <c:pt idx="0">
                  <c:v>1787.4221879199999</c:v>
                </c:pt>
                <c:pt idx="1">
                  <c:v>184.1503868300004</c:v>
                </c:pt>
                <c:pt idx="2">
                  <c:v>70.612985960000003</c:v>
                </c:pt>
                <c:pt idx="3">
                  <c:v>49.013398550000005</c:v>
                </c:pt>
                <c:pt idx="4">
                  <c:v>118.47205006999998</c:v>
                </c:pt>
                <c:pt idx="5">
                  <c:v>156.74946492999956</c:v>
                </c:pt>
                <c:pt idx="6">
                  <c:v>22.93089625</c:v>
                </c:pt>
                <c:pt idx="7">
                  <c:v>26.436536719999989</c:v>
                </c:pt>
                <c:pt idx="8">
                  <c:v>21.196659009999987</c:v>
                </c:pt>
                <c:pt idx="9">
                  <c:v>46.823207549999992</c:v>
                </c:pt>
                <c:pt idx="10">
                  <c:v>26.083035459999987</c:v>
                </c:pt>
              </c:numCache>
            </c:numRef>
          </c:val>
        </c:ser>
        <c:dLbls>
          <c:showCatName val="1"/>
          <c:showPercent val="1"/>
        </c:dLbls>
        <c:gapWidth val="100"/>
        <c:splitType val="pos"/>
        <c:splitPos val="5"/>
        <c:secondPieSize val="75"/>
        <c:serLines/>
      </c:ofPieChart>
    </c:plotArea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0.09447</cdr:x>
      <cdr:y>0.03232</cdr:y>
    </cdr:from>
    <cdr:to>
      <cdr:x>0.89963</cdr:x>
      <cdr:y>0.13183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744191" y="163482"/>
          <a:ext cx="6342386" cy="5032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300" b="1">
              <a:latin typeface="Times New Roman" pitchFamily="18" charset="0"/>
              <a:cs typeface="Times New Roman" pitchFamily="18" charset="0"/>
            </a:rPr>
            <a:t>Структура доходної частини бюджету за 9 місяців 2017 року</a:t>
          </a:r>
        </a:p>
      </cdr:txBody>
    </cdr:sp>
  </cdr:relSizeAnchor>
  <cdr:relSizeAnchor xmlns:cdr="http://schemas.openxmlformats.org/drawingml/2006/chartDrawing">
    <cdr:from>
      <cdr:x>0.75057</cdr:x>
      <cdr:y>0.24327</cdr:y>
    </cdr:from>
    <cdr:to>
      <cdr:x>0.95838</cdr:x>
      <cdr:y>0.38411</cdr:y>
    </cdr:to>
    <cdr:sp macro="" textlink="">
      <cdr:nvSpPr>
        <cdr:cNvPr id="12" name="Выноска со стрелкой влево 11"/>
        <cdr:cNvSpPr/>
      </cdr:nvSpPr>
      <cdr:spPr>
        <a:xfrm xmlns:a="http://schemas.openxmlformats.org/drawingml/2006/main">
          <a:off x="3791824" y="668970"/>
          <a:ext cx="1049846" cy="387286"/>
        </a:xfrm>
        <a:prstGeom xmlns:a="http://schemas.openxmlformats.org/drawingml/2006/main" prst="leftArrowCallout">
          <a:avLst/>
        </a:prstGeom>
        <a:noFill xmlns:a="http://schemas.openxmlformats.org/drawingml/2006/main"/>
        <a:ln xmlns:a="http://schemas.openxmlformats.org/drawingml/2006/main" w="38100">
          <a:solidFill>
            <a:srgbClr val="00B05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none">
          <a:spAutoFit/>
        </a:bodyPr>
        <a:lstStyle xmlns:a="http://schemas.openxmlformats.org/drawingml/2006/main"/>
        <a:p xmlns:a="http://schemas.openxmlformats.org/drawingml/2006/main"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186,9</a:t>
          </a:r>
        </a:p>
        <a:p xmlns:a="http://schemas.openxmlformats.org/drawingml/2006/main"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млн.грн.</a:t>
          </a:r>
        </a:p>
      </cdr:txBody>
    </cdr:sp>
  </cdr:relSizeAnchor>
  <cdr:relSizeAnchor xmlns:cdr="http://schemas.openxmlformats.org/drawingml/2006/chartDrawing">
    <cdr:from>
      <cdr:x>0.63681</cdr:x>
      <cdr:y>0.8419</cdr:y>
    </cdr:from>
    <cdr:to>
      <cdr:x>0.87309</cdr:x>
      <cdr:y>0.9831</cdr:y>
    </cdr:to>
    <cdr:sp macro="" textlink="">
      <cdr:nvSpPr>
        <cdr:cNvPr id="13" name="Выноска со стрелкой влево 12"/>
        <cdr:cNvSpPr/>
      </cdr:nvSpPr>
      <cdr:spPr>
        <a:xfrm xmlns:a="http://schemas.openxmlformats.org/drawingml/2006/main">
          <a:off x="3640566" y="3012695"/>
          <a:ext cx="1350803" cy="505267"/>
        </a:xfrm>
        <a:prstGeom xmlns:a="http://schemas.openxmlformats.org/drawingml/2006/main" prst="leftArrowCallout">
          <a:avLst/>
        </a:prstGeom>
        <a:noFill xmlns:a="http://schemas.openxmlformats.org/drawingml/2006/main"/>
        <a:ln xmlns:a="http://schemas.openxmlformats.org/drawingml/2006/main" w="38100" cap="flat" cmpd="sng" algn="ctr">
          <a:solidFill>
            <a:srgbClr val="0070C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>
          <a:spAutoFit/>
        </a:bodyPr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2 475,8</a:t>
          </a:r>
        </a:p>
        <a:p xmlns:a="http://schemas.openxmlformats.org/drawingml/2006/main"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млн.грн.</a:t>
          </a:r>
        </a:p>
      </cdr:txBody>
    </cdr:sp>
  </cdr:relSizeAnchor>
  <cdr:relSizeAnchor xmlns:cdr="http://schemas.openxmlformats.org/drawingml/2006/chartDrawing">
    <cdr:from>
      <cdr:x>0.01786</cdr:x>
      <cdr:y>0.22906</cdr:y>
    </cdr:from>
    <cdr:to>
      <cdr:x>0.22567</cdr:x>
      <cdr:y>0.36989</cdr:y>
    </cdr:to>
    <cdr:sp macro="" textlink="">
      <cdr:nvSpPr>
        <cdr:cNvPr id="6" name="Выноска со стрелкой вправо 5"/>
        <cdr:cNvSpPr/>
      </cdr:nvSpPr>
      <cdr:spPr>
        <a:xfrm xmlns:a="http://schemas.openxmlformats.org/drawingml/2006/main">
          <a:off x="90225" y="629886"/>
          <a:ext cx="1049846" cy="387286"/>
        </a:xfrm>
        <a:prstGeom xmlns:a="http://schemas.openxmlformats.org/drawingml/2006/main" prst="rightArrowCallout">
          <a:avLst/>
        </a:prstGeom>
        <a:noFill xmlns:a="http://schemas.openxmlformats.org/drawingml/2006/main"/>
        <a:ln xmlns:a="http://schemas.openxmlformats.org/drawingml/2006/main" w="38100" cap="flat" cmpd="sng" algn="ctr">
          <a:solidFill>
            <a:srgbClr val="EC700A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none" rtlCol="0" anchor="ctr">
          <a:spAutoFit/>
        </a:bodyPr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3 119,1</a:t>
          </a:r>
        </a:p>
        <a:p xmlns:a="http://schemas.openxmlformats.org/drawingml/2006/main">
          <a:pPr algn="ctr"/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млн.грн.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0.14267</cdr:x>
      <cdr:y>0.01008</cdr:y>
    </cdr:from>
    <cdr:to>
      <cdr:x>0.93316</cdr:x>
      <cdr:y>0.181</cdr:y>
    </cdr:to>
    <cdr:sp macro="" textlink="">
      <cdr:nvSpPr>
        <cdr:cNvPr id="2" name="TextBox 1"/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1057275" y="53575"/>
          <a:ext cx="5857874" cy="908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3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Структура доходів  загального фонду бюджету міста за            9 місяців 2017 року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89D59-06B6-47A5-A123-B6619567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6399</TotalTime>
  <Pages>1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/>
  <LinksUpToDate>false</LinksUpToDate>
  <CharactersWithSpaces>19545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Jilia20</dc:creator>
  <cp:lastModifiedBy>Зубриліна Людмила</cp:lastModifiedBy>
  <cp:revision>127</cp:revision>
  <cp:lastPrinted>2017-11-15T12:17:00Z</cp:lastPrinted>
  <dcterms:created xsi:type="dcterms:W3CDTF">2016-11-01T15:36:00Z</dcterms:created>
  <dcterms:modified xsi:type="dcterms:W3CDTF">2017-11-23T10:15:00Z</dcterms:modified>
</cp:coreProperties>
</file>