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11" w:rsidRPr="00396F8B" w:rsidRDefault="00E24E11" w:rsidP="00E24E11">
      <w:pPr>
        <w:ind w:firstLine="709"/>
        <w:jc w:val="center"/>
        <w:rPr>
          <w:b/>
          <w:sz w:val="28"/>
          <w:szCs w:val="28"/>
        </w:rPr>
      </w:pPr>
      <w:r w:rsidRPr="00396F8B">
        <w:rPr>
          <w:b/>
          <w:sz w:val="28"/>
          <w:szCs w:val="28"/>
        </w:rPr>
        <w:t>Пояснювальна записка</w:t>
      </w:r>
    </w:p>
    <w:p w:rsidR="00E24E11" w:rsidRPr="00396F8B" w:rsidRDefault="00E24E11" w:rsidP="00E24E11">
      <w:pPr>
        <w:ind w:firstLine="709"/>
        <w:jc w:val="center"/>
        <w:rPr>
          <w:b/>
          <w:sz w:val="28"/>
          <w:szCs w:val="28"/>
        </w:rPr>
      </w:pPr>
      <w:r w:rsidRPr="00396F8B">
        <w:rPr>
          <w:b/>
          <w:sz w:val="28"/>
          <w:szCs w:val="28"/>
        </w:rPr>
        <w:t>до звіту про виконання бюджету міста Запоріжжя за 201</w:t>
      </w:r>
      <w:r w:rsidR="00810302" w:rsidRPr="00396F8B">
        <w:rPr>
          <w:b/>
          <w:sz w:val="28"/>
          <w:szCs w:val="28"/>
        </w:rPr>
        <w:t>8</w:t>
      </w:r>
      <w:r w:rsidRPr="00396F8B">
        <w:rPr>
          <w:b/>
          <w:sz w:val="28"/>
          <w:szCs w:val="28"/>
        </w:rPr>
        <w:t xml:space="preserve"> рік</w:t>
      </w:r>
    </w:p>
    <w:p w:rsidR="00E24E11" w:rsidRDefault="00E24E11" w:rsidP="00266316">
      <w:pPr>
        <w:ind w:firstLine="709"/>
        <w:contextualSpacing/>
        <w:jc w:val="both"/>
        <w:rPr>
          <w:sz w:val="16"/>
          <w:szCs w:val="16"/>
        </w:rPr>
      </w:pPr>
    </w:p>
    <w:p w:rsidR="00747042" w:rsidRPr="00396F8B" w:rsidRDefault="00747042" w:rsidP="00266316">
      <w:pPr>
        <w:ind w:firstLine="709"/>
        <w:contextualSpacing/>
        <w:jc w:val="both"/>
        <w:rPr>
          <w:sz w:val="16"/>
          <w:szCs w:val="16"/>
        </w:rPr>
      </w:pPr>
    </w:p>
    <w:p w:rsidR="00B0107C" w:rsidRPr="00396F8B" w:rsidRDefault="00B0107C" w:rsidP="00D47A07">
      <w:pPr>
        <w:ind w:firstLine="709"/>
        <w:contextualSpacing/>
        <w:jc w:val="center"/>
        <w:rPr>
          <w:b/>
          <w:sz w:val="28"/>
          <w:szCs w:val="28"/>
        </w:rPr>
      </w:pPr>
      <w:r w:rsidRPr="00396F8B">
        <w:rPr>
          <w:b/>
          <w:sz w:val="28"/>
          <w:szCs w:val="28"/>
        </w:rPr>
        <w:t>Доходи</w:t>
      </w:r>
    </w:p>
    <w:p w:rsidR="006A09B8" w:rsidRDefault="006A09B8" w:rsidP="00D47A07">
      <w:pPr>
        <w:ind w:firstLine="709"/>
        <w:contextualSpacing/>
        <w:jc w:val="center"/>
        <w:rPr>
          <w:b/>
          <w:sz w:val="12"/>
          <w:szCs w:val="12"/>
        </w:rPr>
      </w:pPr>
    </w:p>
    <w:p w:rsidR="00747042" w:rsidRPr="00396F8B" w:rsidRDefault="00747042" w:rsidP="00D47A07">
      <w:pPr>
        <w:ind w:firstLine="709"/>
        <w:contextualSpacing/>
        <w:jc w:val="center"/>
        <w:rPr>
          <w:b/>
          <w:sz w:val="12"/>
          <w:szCs w:val="12"/>
        </w:rPr>
      </w:pPr>
    </w:p>
    <w:p w:rsidR="00125F1E" w:rsidRPr="00C57409" w:rsidRDefault="00125F1E" w:rsidP="00125F1E">
      <w:pPr>
        <w:ind w:firstLine="708"/>
        <w:jc w:val="both"/>
        <w:rPr>
          <w:sz w:val="28"/>
          <w:szCs w:val="28"/>
        </w:rPr>
      </w:pPr>
      <w:r w:rsidRPr="00C57409">
        <w:rPr>
          <w:sz w:val="28"/>
          <w:szCs w:val="28"/>
        </w:rPr>
        <w:t>Виконання дохідної частини бюджету у звітному році здійснювалось з урахуванням змін, внесених до податкового законодавства. Поліпшення показників соціально-економічного розвитку, проведення виконавчими органами міської ради та фіскальною службою роботи</w:t>
      </w:r>
      <w:r w:rsidR="00826EF7">
        <w:rPr>
          <w:sz w:val="28"/>
          <w:szCs w:val="28"/>
        </w:rPr>
        <w:t xml:space="preserve"> по </w:t>
      </w:r>
      <w:r w:rsidRPr="00C57409">
        <w:rPr>
          <w:sz w:val="28"/>
          <w:szCs w:val="28"/>
        </w:rPr>
        <w:t>збільшенн</w:t>
      </w:r>
      <w:r w:rsidR="00826EF7">
        <w:rPr>
          <w:sz w:val="28"/>
          <w:szCs w:val="28"/>
        </w:rPr>
        <w:t xml:space="preserve">ю </w:t>
      </w:r>
      <w:r w:rsidRPr="00C57409">
        <w:rPr>
          <w:sz w:val="28"/>
          <w:szCs w:val="28"/>
        </w:rPr>
        <w:t>надходжень, в результаті як</w:t>
      </w:r>
      <w:r w:rsidR="00826EF7">
        <w:rPr>
          <w:sz w:val="28"/>
          <w:szCs w:val="28"/>
        </w:rPr>
        <w:t>ої</w:t>
      </w:r>
      <w:r w:rsidRPr="00C57409">
        <w:rPr>
          <w:sz w:val="28"/>
          <w:szCs w:val="28"/>
        </w:rPr>
        <w:t xml:space="preserve"> мобілізовано 92,4 млн.грн., позитивна динаміка виконання показників доходів дали можливість </w:t>
      </w:r>
      <w:r w:rsidR="00932DE3">
        <w:rPr>
          <w:sz w:val="28"/>
          <w:szCs w:val="28"/>
        </w:rPr>
        <w:t xml:space="preserve">протягом звітного періоду </w:t>
      </w:r>
      <w:r w:rsidR="00826EF7">
        <w:rPr>
          <w:sz w:val="28"/>
          <w:szCs w:val="28"/>
        </w:rPr>
        <w:t xml:space="preserve">збільшити плановий обсяг власних доходів бюджету міста </w:t>
      </w:r>
      <w:r w:rsidRPr="00C57409">
        <w:rPr>
          <w:sz w:val="28"/>
          <w:szCs w:val="28"/>
        </w:rPr>
        <w:t xml:space="preserve">на 332,6 млн.грн., в тому числі </w:t>
      </w:r>
      <w:r w:rsidR="00932DE3">
        <w:rPr>
          <w:sz w:val="28"/>
          <w:szCs w:val="28"/>
        </w:rPr>
        <w:t>за</w:t>
      </w:r>
      <w:r w:rsidRPr="00C57409">
        <w:rPr>
          <w:sz w:val="28"/>
          <w:szCs w:val="28"/>
        </w:rPr>
        <w:t xml:space="preserve"> загальн</w:t>
      </w:r>
      <w:r w:rsidR="00932DE3">
        <w:rPr>
          <w:sz w:val="28"/>
          <w:szCs w:val="28"/>
        </w:rPr>
        <w:t>им</w:t>
      </w:r>
      <w:r w:rsidRPr="00C57409">
        <w:rPr>
          <w:sz w:val="28"/>
          <w:szCs w:val="28"/>
        </w:rPr>
        <w:t xml:space="preserve"> фонд</w:t>
      </w:r>
      <w:r w:rsidR="00932DE3">
        <w:rPr>
          <w:sz w:val="28"/>
          <w:szCs w:val="28"/>
        </w:rPr>
        <w:t>ом</w:t>
      </w:r>
      <w:r w:rsidRPr="00C57409">
        <w:rPr>
          <w:sz w:val="28"/>
          <w:szCs w:val="28"/>
        </w:rPr>
        <w:t xml:space="preserve"> – на 320,0 млн.грн. та спеціальн</w:t>
      </w:r>
      <w:r w:rsidR="00932DE3">
        <w:rPr>
          <w:sz w:val="28"/>
          <w:szCs w:val="28"/>
        </w:rPr>
        <w:t>им</w:t>
      </w:r>
      <w:r w:rsidRPr="00C57409">
        <w:rPr>
          <w:sz w:val="28"/>
          <w:szCs w:val="28"/>
        </w:rPr>
        <w:t xml:space="preserve"> – на 12,6 млн.грн.</w:t>
      </w:r>
    </w:p>
    <w:p w:rsidR="00125F1E" w:rsidRDefault="00125F1E" w:rsidP="00125F1E">
      <w:pPr>
        <w:ind w:firstLine="708"/>
        <w:jc w:val="both"/>
        <w:rPr>
          <w:sz w:val="28"/>
          <w:szCs w:val="28"/>
        </w:rPr>
      </w:pPr>
      <w:r w:rsidRPr="00C57409">
        <w:rPr>
          <w:sz w:val="28"/>
          <w:szCs w:val="28"/>
        </w:rPr>
        <w:t>Отже, обсяг доходів бюджету міста за підсумками року склав 8 651,9 млн.грн., в тому числі доходи загального фонду – 4 973,4 млн.грн., спеціального фонду – 289,1 млн.грн. та офіційні трансферти – 3 389,4 млн.грн. В структурі доходної частини доходи загального фонду бюджету займають 57,5%, офіційні трансферти та доходи спеціального фонду – 39,2% та 3,3% відповідно.</w:t>
      </w:r>
    </w:p>
    <w:p w:rsidR="00747042" w:rsidRDefault="00747042" w:rsidP="00125F1E">
      <w:pPr>
        <w:ind w:firstLine="708"/>
        <w:jc w:val="both"/>
        <w:rPr>
          <w:sz w:val="28"/>
          <w:szCs w:val="28"/>
        </w:rPr>
      </w:pPr>
    </w:p>
    <w:p w:rsidR="00125F1E" w:rsidRDefault="002755A6" w:rsidP="00CF50FB">
      <w:pPr>
        <w:jc w:val="center"/>
        <w:rPr>
          <w:sz w:val="28"/>
          <w:szCs w:val="28"/>
        </w:rPr>
      </w:pPr>
      <w:r w:rsidRPr="002755A6">
        <w:rPr>
          <w:noProof/>
          <w:sz w:val="28"/>
          <w:szCs w:val="28"/>
          <w:lang w:val="ru-RU"/>
        </w:rPr>
        <w:drawing>
          <wp:inline distT="0" distB="0" distL="0" distR="0">
            <wp:extent cx="5296619" cy="3260785"/>
            <wp:effectExtent l="0" t="0" r="0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59BA" w:rsidRDefault="008D59BA" w:rsidP="00CF50FB">
      <w:pPr>
        <w:jc w:val="center"/>
        <w:rPr>
          <w:sz w:val="28"/>
          <w:szCs w:val="28"/>
        </w:rPr>
      </w:pPr>
    </w:p>
    <w:p w:rsidR="00747042" w:rsidRDefault="00747042" w:rsidP="00CF50FB">
      <w:pPr>
        <w:jc w:val="center"/>
        <w:rPr>
          <w:sz w:val="28"/>
          <w:szCs w:val="28"/>
        </w:rPr>
      </w:pPr>
    </w:p>
    <w:p w:rsidR="00125F1E" w:rsidRDefault="00125F1E" w:rsidP="00125F1E">
      <w:pPr>
        <w:ind w:firstLine="708"/>
        <w:jc w:val="both"/>
        <w:rPr>
          <w:sz w:val="28"/>
          <w:szCs w:val="28"/>
        </w:rPr>
      </w:pPr>
      <w:r w:rsidRPr="00C57409">
        <w:rPr>
          <w:sz w:val="28"/>
          <w:szCs w:val="28"/>
        </w:rPr>
        <w:t>План з урахуванням внесених змін по доходах загального фонду (без урахування офіційних трансфертів) виконаний на 100,9%, понад плану надійшло 45,9 млн.грн. У порівнянні з минулорічним показником відбулось збільшення зазначених доходів на 15,3% або на 659,7 млн.грн.</w:t>
      </w:r>
    </w:p>
    <w:p w:rsidR="00125F1E" w:rsidRDefault="00125F1E" w:rsidP="00125F1E">
      <w:pPr>
        <w:jc w:val="both"/>
        <w:rPr>
          <w:sz w:val="28"/>
          <w:szCs w:val="28"/>
        </w:rPr>
      </w:pPr>
      <w:r w:rsidRPr="000E06E5"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082496" cy="3663387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F1E" w:rsidRPr="00D16DAB" w:rsidRDefault="00125F1E" w:rsidP="00125F1E">
      <w:pPr>
        <w:jc w:val="both"/>
        <w:rPr>
          <w:sz w:val="28"/>
          <w:szCs w:val="28"/>
        </w:rPr>
      </w:pPr>
    </w:p>
    <w:p w:rsidR="00125F1E" w:rsidRDefault="00125F1E" w:rsidP="00125F1E">
      <w:pPr>
        <w:ind w:firstLine="709"/>
        <w:jc w:val="both"/>
        <w:rPr>
          <w:sz w:val="28"/>
          <w:szCs w:val="28"/>
        </w:rPr>
      </w:pPr>
      <w:r w:rsidRPr="00C57409">
        <w:rPr>
          <w:sz w:val="28"/>
          <w:szCs w:val="28"/>
        </w:rPr>
        <w:t xml:space="preserve">Найбільшим чином поповнює бюджет саме податок на доходи фізичних осіб. Його надходження в доходах загального фонду займають </w:t>
      </w:r>
      <w:r w:rsidRPr="00C57409">
        <w:rPr>
          <w:sz w:val="28"/>
          <w:szCs w:val="28"/>
          <w:lang w:val="ru-RU"/>
        </w:rPr>
        <w:t>63</w:t>
      </w:r>
      <w:r w:rsidRPr="00C57409">
        <w:rPr>
          <w:sz w:val="28"/>
          <w:szCs w:val="28"/>
        </w:rPr>
        <w:t>,</w:t>
      </w:r>
      <w:r w:rsidRPr="00C57409">
        <w:rPr>
          <w:sz w:val="28"/>
          <w:szCs w:val="28"/>
          <w:lang w:val="ru-RU"/>
        </w:rPr>
        <w:t>0</w:t>
      </w:r>
      <w:r w:rsidRPr="00C57409">
        <w:rPr>
          <w:sz w:val="28"/>
          <w:szCs w:val="28"/>
        </w:rPr>
        <w:t xml:space="preserve">% та становлять </w:t>
      </w:r>
      <w:r w:rsidRPr="00C57409">
        <w:rPr>
          <w:sz w:val="28"/>
          <w:szCs w:val="28"/>
          <w:lang w:val="ru-RU"/>
        </w:rPr>
        <w:t>3</w:t>
      </w:r>
      <w:r w:rsidRPr="00C57409">
        <w:rPr>
          <w:sz w:val="28"/>
          <w:szCs w:val="28"/>
        </w:rPr>
        <w:t> </w:t>
      </w:r>
      <w:r w:rsidRPr="00C57409">
        <w:rPr>
          <w:sz w:val="28"/>
          <w:szCs w:val="28"/>
          <w:lang w:val="ru-RU"/>
        </w:rPr>
        <w:t>132</w:t>
      </w:r>
      <w:r w:rsidRPr="00C57409">
        <w:rPr>
          <w:sz w:val="28"/>
          <w:szCs w:val="28"/>
        </w:rPr>
        <w:t>,1 тис.грн. План виконаний на 101,</w:t>
      </w:r>
      <w:r w:rsidRPr="00C57409">
        <w:rPr>
          <w:sz w:val="28"/>
          <w:szCs w:val="28"/>
          <w:lang w:val="ru-RU"/>
        </w:rPr>
        <w:t>0</w:t>
      </w:r>
      <w:r w:rsidRPr="00C57409">
        <w:rPr>
          <w:sz w:val="28"/>
          <w:szCs w:val="28"/>
        </w:rPr>
        <w:t xml:space="preserve">%. </w:t>
      </w:r>
    </w:p>
    <w:p w:rsidR="008D59BA" w:rsidRPr="00C57409" w:rsidRDefault="008D59BA" w:rsidP="00125F1E">
      <w:pPr>
        <w:ind w:firstLine="709"/>
        <w:jc w:val="both"/>
        <w:rPr>
          <w:sz w:val="28"/>
          <w:szCs w:val="28"/>
        </w:rPr>
      </w:pPr>
    </w:p>
    <w:p w:rsidR="00125F1E" w:rsidRPr="007230C4" w:rsidRDefault="00125F1E" w:rsidP="00125F1E">
      <w:pPr>
        <w:pStyle w:val="a3"/>
        <w:ind w:firstLine="0"/>
        <w:jc w:val="both"/>
      </w:pPr>
      <w:r w:rsidRPr="00347A45">
        <w:rPr>
          <w:noProof/>
          <w:lang w:val="ru-RU"/>
        </w:rPr>
        <w:drawing>
          <wp:inline distT="0" distB="0" distL="0" distR="0">
            <wp:extent cx="6121320" cy="3102015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5F1E" w:rsidRPr="00C57409" w:rsidRDefault="00125F1E" w:rsidP="00125F1E">
      <w:pPr>
        <w:ind w:firstLine="709"/>
        <w:contextualSpacing/>
        <w:jc w:val="both"/>
        <w:rPr>
          <w:sz w:val="28"/>
          <w:szCs w:val="28"/>
        </w:rPr>
      </w:pPr>
      <w:r w:rsidRPr="00C57409">
        <w:rPr>
          <w:sz w:val="28"/>
          <w:szCs w:val="28"/>
        </w:rPr>
        <w:t xml:space="preserve">Порівняно з минулорічним показником надходження цього податку збільшились на 25,9% або на 644,6 млн.грн., що пояснюється суттєвим зростанням фонду оплати праці штатних працівників, який за останніми статистичними даними (за 9 місяців 2018 року) становив 18 166,2 млн.грн., що на 31,8% більше аналогічного показника попереднього року. Середньомісячна заробітна плата також зросла на 29,6% та склала 9 016,13 грн. </w:t>
      </w:r>
    </w:p>
    <w:p w:rsidR="00203FF9" w:rsidRDefault="00125F1E" w:rsidP="00125F1E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C57409">
        <w:rPr>
          <w:sz w:val="28"/>
          <w:szCs w:val="28"/>
        </w:rPr>
        <w:lastRenderedPageBreak/>
        <w:t>Обсяг другого за величиною джерела - місцев</w:t>
      </w:r>
      <w:r w:rsidR="0075339E">
        <w:rPr>
          <w:sz w:val="28"/>
          <w:szCs w:val="28"/>
        </w:rPr>
        <w:t>і</w:t>
      </w:r>
      <w:r w:rsidRPr="00C57409">
        <w:rPr>
          <w:sz w:val="28"/>
          <w:szCs w:val="28"/>
        </w:rPr>
        <w:t xml:space="preserve"> податк</w:t>
      </w:r>
      <w:r w:rsidR="0075339E">
        <w:rPr>
          <w:sz w:val="28"/>
          <w:szCs w:val="28"/>
        </w:rPr>
        <w:t>и</w:t>
      </w:r>
      <w:r w:rsidRPr="00C57409">
        <w:rPr>
          <w:sz w:val="28"/>
          <w:szCs w:val="28"/>
        </w:rPr>
        <w:t xml:space="preserve"> і збор</w:t>
      </w:r>
      <w:r w:rsidR="0075339E">
        <w:rPr>
          <w:sz w:val="28"/>
          <w:szCs w:val="28"/>
        </w:rPr>
        <w:t>и</w:t>
      </w:r>
      <w:r w:rsidRPr="00C57409">
        <w:rPr>
          <w:sz w:val="28"/>
          <w:szCs w:val="28"/>
        </w:rPr>
        <w:t>, як</w:t>
      </w:r>
      <w:r w:rsidR="0075339E">
        <w:rPr>
          <w:sz w:val="28"/>
          <w:szCs w:val="28"/>
        </w:rPr>
        <w:t>ий</w:t>
      </w:r>
      <w:r w:rsidRPr="00C57409">
        <w:rPr>
          <w:sz w:val="28"/>
          <w:szCs w:val="28"/>
        </w:rPr>
        <w:t xml:space="preserve"> займа</w:t>
      </w:r>
      <w:r w:rsidR="0075339E">
        <w:rPr>
          <w:sz w:val="28"/>
          <w:szCs w:val="28"/>
        </w:rPr>
        <w:t>є</w:t>
      </w:r>
      <w:r w:rsidRPr="00C57409">
        <w:rPr>
          <w:sz w:val="28"/>
          <w:szCs w:val="28"/>
        </w:rPr>
        <w:t xml:space="preserve"> в доходах загального фонду майже 29,0%, склав 1 435,</w:t>
      </w:r>
      <w:r w:rsidR="00203FF9">
        <w:rPr>
          <w:sz w:val="28"/>
          <w:szCs w:val="28"/>
        </w:rPr>
        <w:t>5 млн.грн. або 100,8% до плану.</w:t>
      </w:r>
    </w:p>
    <w:p w:rsidR="00125F1E" w:rsidRPr="00347A45" w:rsidRDefault="00203FF9" w:rsidP="00203FF9">
      <w:pPr>
        <w:pStyle w:val="21"/>
        <w:spacing w:after="0" w:line="240" w:lineRule="auto"/>
        <w:ind w:left="0"/>
        <w:jc w:val="both"/>
        <w:rPr>
          <w:sz w:val="28"/>
          <w:szCs w:val="28"/>
          <w:lang w:val="ru-RU"/>
        </w:rPr>
      </w:pPr>
      <w:r w:rsidRPr="004C72E0">
        <w:rPr>
          <w:noProof/>
          <w:sz w:val="28"/>
          <w:szCs w:val="28"/>
          <w:lang w:val="ru-RU"/>
        </w:rPr>
        <w:drawing>
          <wp:inline distT="0" distB="0" distL="0" distR="0">
            <wp:extent cx="6124191" cy="2758656"/>
            <wp:effectExtent l="95250" t="19050" r="86109" b="22644"/>
            <wp:docPr id="1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25F1E" w:rsidRPr="00203FF9" w:rsidRDefault="00125F1E" w:rsidP="00125F1E">
      <w:pPr>
        <w:pStyle w:val="21"/>
        <w:spacing w:after="0" w:line="240" w:lineRule="auto"/>
        <w:ind w:left="0" w:firstLine="540"/>
        <w:jc w:val="both"/>
        <w:rPr>
          <w:sz w:val="16"/>
          <w:szCs w:val="16"/>
          <w:lang w:val="en-US"/>
        </w:rPr>
      </w:pPr>
    </w:p>
    <w:p w:rsidR="00125F1E" w:rsidRDefault="00125F1E" w:rsidP="00125F1E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7409">
        <w:rPr>
          <w:sz w:val="28"/>
          <w:szCs w:val="28"/>
        </w:rPr>
        <w:t>айбільша складова податку на майно - плата за землю</w:t>
      </w:r>
      <w:r w:rsidR="0075339E">
        <w:rPr>
          <w:sz w:val="28"/>
          <w:szCs w:val="28"/>
        </w:rPr>
        <w:t>,</w:t>
      </w:r>
      <w:r w:rsidRPr="00C57409">
        <w:rPr>
          <w:sz w:val="28"/>
          <w:szCs w:val="28"/>
        </w:rPr>
        <w:t xml:space="preserve"> надійшла в розмірі 842,7 млн.грн. Виконання плану становить 100,7%. В порівнянні з попереднім роком </w:t>
      </w:r>
      <w:r w:rsidR="0075339E">
        <w:rPr>
          <w:sz w:val="28"/>
          <w:szCs w:val="28"/>
        </w:rPr>
        <w:t>надходження зменшились</w:t>
      </w:r>
      <w:r w:rsidRPr="00C57409">
        <w:rPr>
          <w:sz w:val="28"/>
          <w:szCs w:val="28"/>
        </w:rPr>
        <w:t xml:space="preserve"> на 27,4 млн.грн. або на 3,1%, що пояснюється </w:t>
      </w:r>
      <w:r w:rsidR="006E4B2F">
        <w:rPr>
          <w:sz w:val="28"/>
          <w:szCs w:val="28"/>
        </w:rPr>
        <w:t>наявніст</w:t>
      </w:r>
      <w:r w:rsidR="00D2361C">
        <w:rPr>
          <w:sz w:val="28"/>
          <w:szCs w:val="28"/>
        </w:rPr>
        <w:t>ю</w:t>
      </w:r>
      <w:r w:rsidR="006E4B2F">
        <w:rPr>
          <w:sz w:val="28"/>
          <w:szCs w:val="28"/>
        </w:rPr>
        <w:t xml:space="preserve"> на початку звітного періоду переплат, а також</w:t>
      </w:r>
      <w:r w:rsidRPr="00C57409">
        <w:rPr>
          <w:sz w:val="28"/>
          <w:szCs w:val="28"/>
        </w:rPr>
        <w:t xml:space="preserve"> втратами в результаті надання державою пільги (у вигляді зниження на 75% ставки земельного податку) для земельних ділянок залізниць у межах смуг відведення та гірничодобувних підприємств.</w:t>
      </w:r>
    </w:p>
    <w:p w:rsidR="00125F1E" w:rsidRPr="00C57409" w:rsidRDefault="00125F1E" w:rsidP="00125F1E">
      <w:pPr>
        <w:pStyle w:val="211"/>
        <w:spacing w:before="0"/>
        <w:ind w:left="0" w:firstLine="709"/>
        <w:jc w:val="both"/>
      </w:pPr>
      <w:r w:rsidRPr="00C57409">
        <w:t>Обсяг сплати єдиного податку склав 540,7 млн.грн. або 100,8% до плану. В порівнянні з попереднім роком відбулось зростання на 118,3 млн.грн. (або на 28,0%), в тому числі по фізичних особах – на 95,2 млн.грн. Це обумовлено збільшенням розміру мінімальної заробітної плати та прожиткового мінімуму, прив’язку до яких мають ставки для платників І та ІІ груп єдиного податку</w:t>
      </w:r>
      <w:r w:rsidR="00A36517">
        <w:t xml:space="preserve">, зростанням індексу споживчих цін, а також </w:t>
      </w:r>
      <w:r w:rsidR="00A36517" w:rsidRPr="00C57409">
        <w:t>кільк</w:t>
      </w:r>
      <w:r w:rsidR="00A36517">
        <w:t xml:space="preserve">ості </w:t>
      </w:r>
      <w:r w:rsidR="00A36517" w:rsidRPr="00C57409">
        <w:t>платників</w:t>
      </w:r>
      <w:r w:rsidR="00A36517">
        <w:t xml:space="preserve"> податку (на 7,5% або на 2,2 </w:t>
      </w:r>
      <w:proofErr w:type="spellStart"/>
      <w:r w:rsidR="00A36517">
        <w:t>тис.осіб</w:t>
      </w:r>
      <w:proofErr w:type="spellEnd"/>
      <w:r w:rsidR="00A36517">
        <w:t>)</w:t>
      </w:r>
      <w:r w:rsidRPr="00C57409">
        <w:t xml:space="preserve">. </w:t>
      </w:r>
    </w:p>
    <w:p w:rsidR="001175F3" w:rsidRPr="00C57409" w:rsidRDefault="001175F3" w:rsidP="001175F3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C57409">
        <w:rPr>
          <w:sz w:val="28"/>
          <w:szCs w:val="28"/>
        </w:rPr>
        <w:t xml:space="preserve">Надходження акцизного податку склали 278,8 млн.грн., що </w:t>
      </w:r>
      <w:r>
        <w:rPr>
          <w:sz w:val="28"/>
          <w:szCs w:val="28"/>
        </w:rPr>
        <w:t xml:space="preserve">перевищує показники попереднього року </w:t>
      </w:r>
      <w:r w:rsidRPr="00C57409">
        <w:rPr>
          <w:sz w:val="28"/>
          <w:szCs w:val="28"/>
        </w:rPr>
        <w:t xml:space="preserve">на 1,9 млн.грн. або на 0,7%. Зазначене пояснюється зростанням перерахувань роздрібного акцизу на 3,5 млн.грн. (збільшення надходжень податку з реалізації алкогольних напоїв - на 10,8 млн.грн., поряд з цим, суттєве зниження надходжень від реалізації тютюнових виробів - на 7,3 млн.грн.) та зменшенням надходжень частини загальнодержавного акцизу з виробленого та ввезеного пального - на 1,6 млн.грн. </w:t>
      </w:r>
    </w:p>
    <w:p w:rsidR="00125F1E" w:rsidRPr="00C57409" w:rsidRDefault="00125F1E" w:rsidP="00125F1E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Б</w:t>
      </w:r>
      <w:r w:rsidRPr="00C57409">
        <w:rPr>
          <w:sz w:val="28"/>
          <w:szCs w:val="28"/>
        </w:rPr>
        <w:t xml:space="preserve">ез врахування трансфертів річний план по доходах спеціального фонду перевиконаний на 51,7% або на 98,6 млн.грн. (за рахунок перевиконання показників по власних надходженнях бюджетних установ - на 95,5 млн.грн.). Без власних надходжень бюджетних установ план виконаний на 106,6%. </w:t>
      </w:r>
    </w:p>
    <w:p w:rsidR="00E21669" w:rsidRDefault="00E21669" w:rsidP="00E21669">
      <w:pPr>
        <w:jc w:val="both"/>
        <w:rPr>
          <w:bCs/>
          <w:iCs/>
          <w:sz w:val="28"/>
          <w:szCs w:val="28"/>
        </w:rPr>
      </w:pPr>
      <w:r w:rsidRPr="00E21669">
        <w:rPr>
          <w:bCs/>
          <w:iCs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122957" cy="3165894"/>
            <wp:effectExtent l="19050" t="0" r="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25F1E" w:rsidRPr="00C57409" w:rsidRDefault="00125F1E" w:rsidP="00E21669">
      <w:pPr>
        <w:ind w:firstLine="709"/>
        <w:jc w:val="both"/>
        <w:rPr>
          <w:sz w:val="28"/>
          <w:szCs w:val="28"/>
        </w:rPr>
      </w:pPr>
      <w:r w:rsidRPr="00C57409">
        <w:rPr>
          <w:bCs/>
          <w:iCs/>
          <w:sz w:val="28"/>
          <w:szCs w:val="28"/>
        </w:rPr>
        <w:t xml:space="preserve">Доходи бюджету розвитку </w:t>
      </w:r>
      <w:r w:rsidRPr="00C57409">
        <w:rPr>
          <w:sz w:val="28"/>
          <w:szCs w:val="28"/>
        </w:rPr>
        <w:t>склали 24,3 млн.грн. (виконання плану – 109,3%), в тому числі за кошт</w:t>
      </w:r>
      <w:r w:rsidR="0084240F">
        <w:rPr>
          <w:sz w:val="28"/>
          <w:szCs w:val="28"/>
        </w:rPr>
        <w:t>ами</w:t>
      </w:r>
      <w:r w:rsidRPr="00C57409">
        <w:rPr>
          <w:sz w:val="28"/>
          <w:szCs w:val="28"/>
        </w:rPr>
        <w:t xml:space="preserve"> від відчуження майна, що знаходиться в комунальній власності – 9,6 млн.грн. (100,5% до запланованого показника), продажу землі – 9,0 млн.грн. (126,8%), пайової участі у розвитку інфраструктури населеного пункту – 5,6 млн.грн. (102,2%) та дивідендів, нарахованих на акції господарських товариств, у статутних капіталах яких є комунальна власність – 0,1 млн.грн. (100,1%). </w:t>
      </w:r>
    </w:p>
    <w:p w:rsidR="00E21669" w:rsidRDefault="00125F1E" w:rsidP="00125F1E">
      <w:pPr>
        <w:ind w:firstLine="709"/>
        <w:jc w:val="both"/>
        <w:rPr>
          <w:sz w:val="28"/>
          <w:szCs w:val="28"/>
        </w:rPr>
      </w:pPr>
      <w:r w:rsidRPr="00C57409">
        <w:rPr>
          <w:sz w:val="28"/>
          <w:szCs w:val="28"/>
        </w:rPr>
        <w:t>За звітний період бюджет міста отримав офіційних трансфертів на загальну суму 3 389,4 млн.грн., з них</w:t>
      </w:r>
      <w:r w:rsidR="00E21669">
        <w:rPr>
          <w:sz w:val="28"/>
          <w:szCs w:val="28"/>
        </w:rPr>
        <w:t>:</w:t>
      </w:r>
    </w:p>
    <w:p w:rsidR="00E21669" w:rsidRDefault="00E21669" w:rsidP="00125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240F">
        <w:rPr>
          <w:sz w:val="28"/>
          <w:szCs w:val="28"/>
        </w:rPr>
        <w:t>субвенцій</w:t>
      </w:r>
      <w:r w:rsidR="00125F1E" w:rsidRPr="00C57409">
        <w:rPr>
          <w:sz w:val="28"/>
          <w:szCs w:val="28"/>
        </w:rPr>
        <w:t xml:space="preserve"> з державного бюджету – 1 398,5 млн.грн. (освітня субвенція – 636,4 млн.грн., медична субвенція – 710,2 млн.грн., субвенції на здійснення заходів щодо соціально – економічного розвитку – 47,1 млн.грн. та на модернізацію і оновлення матеріально – технічної бази професійно – технічних навч</w:t>
      </w:r>
      <w:r>
        <w:rPr>
          <w:sz w:val="28"/>
          <w:szCs w:val="28"/>
        </w:rPr>
        <w:t>альних закладів – 4,8 млн.грн.);</w:t>
      </w:r>
      <w:r w:rsidR="00125F1E" w:rsidRPr="00C57409">
        <w:rPr>
          <w:sz w:val="28"/>
          <w:szCs w:val="28"/>
        </w:rPr>
        <w:t xml:space="preserve"> </w:t>
      </w:r>
    </w:p>
    <w:p w:rsidR="00E21669" w:rsidRDefault="00E21669" w:rsidP="00125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субвенцій</w:t>
      </w:r>
      <w:r w:rsidRPr="00C57409">
        <w:rPr>
          <w:sz w:val="28"/>
          <w:szCs w:val="28"/>
        </w:rPr>
        <w:t xml:space="preserve"> з обласного бюджету – 1 886,7 млн.грн. </w:t>
      </w:r>
      <w:r>
        <w:rPr>
          <w:sz w:val="28"/>
          <w:szCs w:val="28"/>
        </w:rPr>
        <w:t xml:space="preserve">(на надання житлових субсидій, пільг та державних </w:t>
      </w:r>
      <w:proofErr w:type="spellStart"/>
      <w:r>
        <w:rPr>
          <w:sz w:val="28"/>
          <w:szCs w:val="28"/>
        </w:rPr>
        <w:t>допомог</w:t>
      </w:r>
      <w:proofErr w:type="spellEnd"/>
      <w:r>
        <w:rPr>
          <w:sz w:val="28"/>
          <w:szCs w:val="28"/>
        </w:rPr>
        <w:t xml:space="preserve"> – 1 765,4 млн..грн., здійснення окремих видатків у сфері охорони здоров’я – 59,6 млн.грн., освіти – 31,4 млн.грн. тощо);</w:t>
      </w:r>
    </w:p>
    <w:p w:rsidR="00E21669" w:rsidRDefault="00E21669" w:rsidP="00125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5F1E" w:rsidRPr="00C57409">
        <w:rPr>
          <w:sz w:val="28"/>
          <w:szCs w:val="28"/>
        </w:rPr>
        <w:t>дотаці</w:t>
      </w:r>
      <w:r w:rsidR="0084240F">
        <w:rPr>
          <w:sz w:val="28"/>
          <w:szCs w:val="28"/>
        </w:rPr>
        <w:t>ї</w:t>
      </w:r>
      <w:r w:rsidR="00125F1E" w:rsidRPr="00C57409">
        <w:rPr>
          <w:sz w:val="28"/>
          <w:szCs w:val="28"/>
        </w:rPr>
        <w:t xml:space="preserve"> з обласного бюджету на здійснення переданих з державного бюджету видатків з утримання закладів освіти та охорони здоро</w:t>
      </w:r>
      <w:r>
        <w:rPr>
          <w:sz w:val="28"/>
          <w:szCs w:val="28"/>
        </w:rPr>
        <w:t>в’я – 92,5 млн.грн.;</w:t>
      </w:r>
    </w:p>
    <w:p w:rsidR="00125F1E" w:rsidRPr="00E04844" w:rsidRDefault="00E21669" w:rsidP="00125F1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 </w:t>
      </w:r>
      <w:r w:rsidRPr="00C57409">
        <w:rPr>
          <w:sz w:val="28"/>
          <w:szCs w:val="28"/>
        </w:rPr>
        <w:t>додатков</w:t>
      </w:r>
      <w:r>
        <w:rPr>
          <w:sz w:val="28"/>
          <w:szCs w:val="28"/>
        </w:rPr>
        <w:t>ої</w:t>
      </w:r>
      <w:r w:rsidRPr="00C57409">
        <w:rPr>
          <w:sz w:val="28"/>
          <w:szCs w:val="28"/>
        </w:rPr>
        <w:t xml:space="preserve"> дотаці</w:t>
      </w:r>
      <w:r>
        <w:rPr>
          <w:sz w:val="28"/>
          <w:szCs w:val="28"/>
        </w:rPr>
        <w:t>ї</w:t>
      </w:r>
      <w:r w:rsidRPr="00C57409">
        <w:rPr>
          <w:sz w:val="28"/>
          <w:szCs w:val="28"/>
        </w:rPr>
        <w:t xml:space="preserve"> на компенсацію втрат доходів внаслідок наданих державою податкових пільг зі сплати земельного податку суб’єктам космічної діяль</w:t>
      </w:r>
      <w:r>
        <w:rPr>
          <w:sz w:val="28"/>
          <w:szCs w:val="28"/>
        </w:rPr>
        <w:t>ності – 11,7 млн.грн.</w:t>
      </w:r>
    </w:p>
    <w:p w:rsidR="002755A6" w:rsidRPr="00063880" w:rsidRDefault="002755A6" w:rsidP="00F265BB">
      <w:pPr>
        <w:pStyle w:val="21"/>
        <w:spacing w:after="0" w:line="240" w:lineRule="auto"/>
        <w:ind w:left="0" w:firstLine="709"/>
        <w:jc w:val="center"/>
        <w:rPr>
          <w:b/>
          <w:sz w:val="16"/>
          <w:szCs w:val="16"/>
        </w:rPr>
      </w:pPr>
    </w:p>
    <w:p w:rsidR="004654DA" w:rsidRDefault="005B5ED9" w:rsidP="00F265BB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FA7C98">
        <w:rPr>
          <w:b/>
          <w:sz w:val="28"/>
          <w:szCs w:val="28"/>
        </w:rPr>
        <w:t>Видатки</w:t>
      </w:r>
    </w:p>
    <w:p w:rsidR="0084240F" w:rsidRPr="00063880" w:rsidRDefault="0084240F" w:rsidP="00F265BB">
      <w:pPr>
        <w:pStyle w:val="21"/>
        <w:spacing w:after="0" w:line="240" w:lineRule="auto"/>
        <w:ind w:left="0" w:firstLine="709"/>
        <w:jc w:val="center"/>
        <w:rPr>
          <w:sz w:val="16"/>
          <w:szCs w:val="16"/>
        </w:rPr>
      </w:pPr>
    </w:p>
    <w:p w:rsidR="00FA7C98" w:rsidRPr="00B465E7" w:rsidRDefault="00FA7C98" w:rsidP="00FA7C98">
      <w:pPr>
        <w:ind w:right="1" w:firstLine="709"/>
        <w:jc w:val="both"/>
        <w:rPr>
          <w:sz w:val="28"/>
          <w:szCs w:val="28"/>
        </w:rPr>
      </w:pPr>
      <w:r w:rsidRPr="00B465E7">
        <w:rPr>
          <w:sz w:val="28"/>
          <w:szCs w:val="28"/>
        </w:rPr>
        <w:t xml:space="preserve">За звітний період видатки бюджету міста проведені в обсязі </w:t>
      </w:r>
      <w:r>
        <w:rPr>
          <w:sz w:val="28"/>
          <w:szCs w:val="28"/>
        </w:rPr>
        <w:t>9</w:t>
      </w:r>
      <w:r w:rsidRPr="00B465E7">
        <w:rPr>
          <w:sz w:val="28"/>
          <w:szCs w:val="28"/>
        </w:rPr>
        <w:t> </w:t>
      </w:r>
      <w:r>
        <w:rPr>
          <w:sz w:val="28"/>
          <w:szCs w:val="28"/>
        </w:rPr>
        <w:t>174</w:t>
      </w:r>
      <w:r w:rsidRPr="00B465E7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B465E7">
        <w:rPr>
          <w:sz w:val="28"/>
          <w:szCs w:val="28"/>
        </w:rPr>
        <w:t xml:space="preserve"> млн.грн., в тому числі за загальним фондом бюджету – </w:t>
      </w:r>
      <w:r>
        <w:rPr>
          <w:sz w:val="28"/>
          <w:szCs w:val="28"/>
        </w:rPr>
        <w:t>7</w:t>
      </w:r>
      <w:r w:rsidRPr="00B465E7">
        <w:rPr>
          <w:sz w:val="28"/>
          <w:szCs w:val="28"/>
        </w:rPr>
        <w:t> </w:t>
      </w:r>
      <w:r>
        <w:rPr>
          <w:sz w:val="28"/>
          <w:szCs w:val="28"/>
        </w:rPr>
        <w:t>554</w:t>
      </w:r>
      <w:r w:rsidRPr="00B465E7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B465E7">
        <w:rPr>
          <w:sz w:val="28"/>
          <w:szCs w:val="28"/>
        </w:rPr>
        <w:t> млн.грн. або 98,</w:t>
      </w:r>
      <w:r>
        <w:rPr>
          <w:sz w:val="28"/>
          <w:szCs w:val="28"/>
        </w:rPr>
        <w:t>8</w:t>
      </w:r>
      <w:r w:rsidRPr="00B465E7">
        <w:rPr>
          <w:sz w:val="28"/>
          <w:szCs w:val="28"/>
        </w:rPr>
        <w:t>% річного плану, за спеціальним фондом – 1 </w:t>
      </w:r>
      <w:r>
        <w:rPr>
          <w:sz w:val="28"/>
          <w:szCs w:val="28"/>
        </w:rPr>
        <w:t>620</w:t>
      </w:r>
      <w:r w:rsidRPr="00B465E7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465E7">
        <w:rPr>
          <w:sz w:val="28"/>
          <w:szCs w:val="28"/>
        </w:rPr>
        <w:t> млн.грн., що становить 9</w:t>
      </w:r>
      <w:r>
        <w:rPr>
          <w:sz w:val="28"/>
          <w:szCs w:val="28"/>
        </w:rPr>
        <w:t>3</w:t>
      </w:r>
      <w:r w:rsidRPr="00B465E7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B465E7">
        <w:rPr>
          <w:sz w:val="28"/>
          <w:szCs w:val="28"/>
        </w:rPr>
        <w:t xml:space="preserve">% річних кошторисних призначень. До державного бюджету </w:t>
      </w:r>
      <w:r w:rsidRPr="00B465E7">
        <w:rPr>
          <w:sz w:val="28"/>
          <w:szCs w:val="28"/>
        </w:rPr>
        <w:lastRenderedPageBreak/>
        <w:t xml:space="preserve">перераховано реверсної дотації в сумі </w:t>
      </w:r>
      <w:r>
        <w:rPr>
          <w:sz w:val="28"/>
          <w:szCs w:val="28"/>
        </w:rPr>
        <w:t>351</w:t>
      </w:r>
      <w:r w:rsidRPr="00B465E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465E7">
        <w:rPr>
          <w:sz w:val="28"/>
          <w:szCs w:val="28"/>
        </w:rPr>
        <w:t> млн.грн. або 100% планових показників.</w:t>
      </w:r>
    </w:p>
    <w:p w:rsidR="00FA7C98" w:rsidRDefault="00FA7C98" w:rsidP="00657329">
      <w:pPr>
        <w:ind w:firstLine="709"/>
        <w:jc w:val="both"/>
        <w:rPr>
          <w:sz w:val="28"/>
          <w:szCs w:val="28"/>
        </w:rPr>
      </w:pPr>
      <w:r w:rsidRPr="00B465E7">
        <w:rPr>
          <w:sz w:val="28"/>
          <w:szCs w:val="28"/>
        </w:rPr>
        <w:t>В цілому розподіл видатків бюджету міста за функціональною ознакою представлено в наступній діаграмі.</w:t>
      </w:r>
    </w:p>
    <w:p w:rsidR="0084240F" w:rsidRPr="00F53253" w:rsidRDefault="0084240F" w:rsidP="00657329">
      <w:pPr>
        <w:ind w:firstLine="709"/>
        <w:jc w:val="both"/>
        <w:rPr>
          <w:sz w:val="28"/>
          <w:szCs w:val="28"/>
        </w:rPr>
      </w:pPr>
    </w:p>
    <w:p w:rsidR="00FA7C98" w:rsidRPr="00657329" w:rsidRDefault="00FA7C98" w:rsidP="001428DA">
      <w:pPr>
        <w:ind w:firstLine="709"/>
        <w:jc w:val="center"/>
        <w:rPr>
          <w:b/>
          <w:sz w:val="28"/>
          <w:szCs w:val="28"/>
        </w:rPr>
      </w:pPr>
      <w:r w:rsidRPr="00657329">
        <w:rPr>
          <w:b/>
          <w:sz w:val="28"/>
          <w:szCs w:val="28"/>
        </w:rPr>
        <w:t>Структура видатків бюджету міста за функціональною ознакою</w:t>
      </w:r>
    </w:p>
    <w:p w:rsidR="00FA7C98" w:rsidRPr="00F3467A" w:rsidRDefault="00FA7C98" w:rsidP="00FA7C98">
      <w:pPr>
        <w:jc w:val="center"/>
        <w:rPr>
          <w:color w:val="FF0000"/>
          <w:sz w:val="12"/>
          <w:szCs w:val="12"/>
        </w:rPr>
      </w:pPr>
    </w:p>
    <w:p w:rsidR="001428DA" w:rsidRDefault="001428DA" w:rsidP="001428DA">
      <w:pPr>
        <w:jc w:val="both"/>
        <w:rPr>
          <w:sz w:val="28"/>
          <w:szCs w:val="28"/>
        </w:rPr>
      </w:pPr>
      <w:r w:rsidRPr="001428DA">
        <w:rPr>
          <w:noProof/>
          <w:sz w:val="28"/>
          <w:szCs w:val="28"/>
          <w:lang w:val="ru-RU"/>
        </w:rPr>
        <w:drawing>
          <wp:inline distT="0" distB="0" distL="0" distR="0">
            <wp:extent cx="6081623" cy="3312543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4240F" w:rsidRDefault="0084240F" w:rsidP="001428DA">
      <w:pPr>
        <w:jc w:val="both"/>
        <w:rPr>
          <w:sz w:val="28"/>
          <w:szCs w:val="28"/>
        </w:rPr>
      </w:pPr>
    </w:p>
    <w:p w:rsidR="00F81384" w:rsidRDefault="00EC36AB" w:rsidP="00142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Найбільшу питому вагу (65%) в загальному обсязі проведених видатків займають витрати на забезпечення функціонування установ соціально-культурної сфери, соціальний захист та соціальне забезпечення, а також компенсацію пільгового проїзду</w:t>
      </w:r>
      <w:r w:rsidR="00CA4C2A">
        <w:rPr>
          <w:sz w:val="28"/>
          <w:szCs w:val="28"/>
        </w:rPr>
        <w:t xml:space="preserve"> окремих категорій громадян</w:t>
      </w:r>
      <w:r>
        <w:rPr>
          <w:sz w:val="28"/>
          <w:szCs w:val="28"/>
        </w:rPr>
        <w:t xml:space="preserve"> – 5 995,6 млн.грн. </w:t>
      </w:r>
    </w:p>
    <w:p w:rsidR="00CA4C2A" w:rsidRPr="00657329" w:rsidRDefault="00FA7C98" w:rsidP="00CA4C2A">
      <w:pPr>
        <w:ind w:firstLine="709"/>
        <w:jc w:val="both"/>
        <w:rPr>
          <w:sz w:val="28"/>
          <w:szCs w:val="28"/>
        </w:rPr>
      </w:pPr>
      <w:r w:rsidRPr="0084240F">
        <w:rPr>
          <w:sz w:val="28"/>
          <w:szCs w:val="28"/>
        </w:rPr>
        <w:t xml:space="preserve">За економічною ознакою </w:t>
      </w:r>
      <w:r w:rsidR="00CA4C2A">
        <w:rPr>
          <w:sz w:val="28"/>
          <w:szCs w:val="28"/>
        </w:rPr>
        <w:t xml:space="preserve">65,5% проведених видатків – це видатки за захищеними статтями, які проведені в сумі </w:t>
      </w:r>
      <w:r w:rsidRPr="00657329">
        <w:rPr>
          <w:sz w:val="28"/>
          <w:szCs w:val="28"/>
        </w:rPr>
        <w:t>6 010,2 млн.грн.</w:t>
      </w:r>
      <w:r w:rsidR="00CA4C2A">
        <w:rPr>
          <w:sz w:val="28"/>
          <w:szCs w:val="28"/>
        </w:rPr>
        <w:t xml:space="preserve"> </w:t>
      </w:r>
      <w:r w:rsidR="00CA4C2A" w:rsidRPr="00657329">
        <w:rPr>
          <w:sz w:val="28"/>
          <w:szCs w:val="28"/>
        </w:rPr>
        <w:t>Видатки на оплату праці з нарахуваннями проведені в обсязі 3 126,7 млн.грн. (99,9% річних кошторисних призначень), що більше рівня</w:t>
      </w:r>
      <w:r w:rsidR="00CA4C2A" w:rsidRPr="001532F4">
        <w:rPr>
          <w:sz w:val="28"/>
          <w:szCs w:val="28"/>
        </w:rPr>
        <w:t xml:space="preserve"> попереднього року </w:t>
      </w:r>
      <w:r w:rsidR="00CA4C2A" w:rsidRPr="008A0296">
        <w:rPr>
          <w:sz w:val="28"/>
          <w:szCs w:val="28"/>
        </w:rPr>
        <w:t xml:space="preserve">на </w:t>
      </w:r>
      <w:r w:rsidR="00CA4C2A">
        <w:rPr>
          <w:sz w:val="28"/>
          <w:szCs w:val="28"/>
        </w:rPr>
        <w:t>16</w:t>
      </w:r>
      <w:r w:rsidR="00CA4C2A" w:rsidRPr="008A0296">
        <w:rPr>
          <w:sz w:val="28"/>
          <w:szCs w:val="28"/>
        </w:rPr>
        <w:t>,</w:t>
      </w:r>
      <w:r w:rsidR="00CA4C2A">
        <w:rPr>
          <w:sz w:val="28"/>
          <w:szCs w:val="28"/>
        </w:rPr>
        <w:t>7</w:t>
      </w:r>
      <w:r w:rsidR="00CA4C2A" w:rsidRPr="009D1A5C">
        <w:rPr>
          <w:sz w:val="28"/>
          <w:szCs w:val="28"/>
        </w:rPr>
        <w:t>%. Порівняно з показниками, що діяли на кінець 201</w:t>
      </w:r>
      <w:r w:rsidR="00CA4C2A">
        <w:rPr>
          <w:sz w:val="28"/>
          <w:szCs w:val="28"/>
        </w:rPr>
        <w:t xml:space="preserve">7 </w:t>
      </w:r>
      <w:r w:rsidR="00CA4C2A" w:rsidRPr="009D1A5C">
        <w:rPr>
          <w:sz w:val="28"/>
          <w:szCs w:val="28"/>
        </w:rPr>
        <w:t>року</w:t>
      </w:r>
      <w:r w:rsidR="00CA4C2A">
        <w:rPr>
          <w:sz w:val="28"/>
          <w:szCs w:val="28"/>
        </w:rPr>
        <w:t>,</w:t>
      </w:r>
      <w:r w:rsidR="00CA4C2A" w:rsidRPr="009D1A5C">
        <w:rPr>
          <w:sz w:val="28"/>
          <w:szCs w:val="28"/>
        </w:rPr>
        <w:t xml:space="preserve"> </w:t>
      </w:r>
      <w:r w:rsidR="00CA4C2A">
        <w:rPr>
          <w:sz w:val="28"/>
          <w:szCs w:val="28"/>
        </w:rPr>
        <w:t xml:space="preserve">відбулось зростання розміру мінімальної заробітної плати на 16,3%, розміру посадового окладу </w:t>
      </w:r>
      <w:r w:rsidR="001102E3">
        <w:rPr>
          <w:sz w:val="28"/>
          <w:szCs w:val="28"/>
        </w:rPr>
        <w:t xml:space="preserve">                   </w:t>
      </w:r>
      <w:r w:rsidR="00CA4C2A">
        <w:rPr>
          <w:sz w:val="28"/>
          <w:szCs w:val="28"/>
          <w:lang w:val="en-US"/>
        </w:rPr>
        <w:t>I</w:t>
      </w:r>
      <w:r w:rsidR="00CA4C2A">
        <w:rPr>
          <w:sz w:val="28"/>
          <w:szCs w:val="28"/>
        </w:rPr>
        <w:t xml:space="preserve"> тарифного розряду за Єдиною тарифною сіткою на 10,1%.</w:t>
      </w:r>
    </w:p>
    <w:p w:rsidR="00CA4C2A" w:rsidRPr="00657329" w:rsidRDefault="00CA4C2A" w:rsidP="00CA4C2A">
      <w:pPr>
        <w:ind w:firstLine="709"/>
        <w:jc w:val="both"/>
        <w:rPr>
          <w:sz w:val="28"/>
          <w:szCs w:val="28"/>
        </w:rPr>
      </w:pPr>
      <w:r w:rsidRPr="00A55C2F">
        <w:rPr>
          <w:sz w:val="28"/>
          <w:szCs w:val="28"/>
        </w:rPr>
        <w:t xml:space="preserve">Розрахунки за </w:t>
      </w:r>
      <w:r w:rsidRPr="00657329">
        <w:rPr>
          <w:sz w:val="28"/>
          <w:szCs w:val="28"/>
        </w:rPr>
        <w:t xml:space="preserve">спожиті комунальні послуги та енергоносії проведені в повному обсязі на загальну суму 397,7 млн.грн. (96,6% річного </w:t>
      </w:r>
      <w:r w:rsidRPr="002B4757">
        <w:rPr>
          <w:sz w:val="28"/>
          <w:szCs w:val="28"/>
        </w:rPr>
        <w:t>плану)</w:t>
      </w:r>
      <w:r w:rsidR="000C7D02" w:rsidRPr="002B4757">
        <w:rPr>
          <w:sz w:val="28"/>
          <w:szCs w:val="28"/>
        </w:rPr>
        <w:t xml:space="preserve">, що </w:t>
      </w:r>
      <w:r w:rsidR="002B4757" w:rsidRPr="002B4757">
        <w:rPr>
          <w:sz w:val="28"/>
          <w:szCs w:val="28"/>
        </w:rPr>
        <w:t xml:space="preserve">на </w:t>
      </w:r>
      <w:r w:rsidR="00C00873" w:rsidRPr="00A82462">
        <w:rPr>
          <w:sz w:val="28"/>
          <w:szCs w:val="28"/>
        </w:rPr>
        <w:t>28,7</w:t>
      </w:r>
      <w:r w:rsidR="002B4757" w:rsidRPr="00A82462">
        <w:rPr>
          <w:sz w:val="28"/>
          <w:szCs w:val="28"/>
        </w:rPr>
        <w:t>%</w:t>
      </w:r>
      <w:r w:rsidR="002B4757" w:rsidRPr="002B4757">
        <w:rPr>
          <w:sz w:val="28"/>
          <w:szCs w:val="28"/>
        </w:rPr>
        <w:t xml:space="preserve"> </w:t>
      </w:r>
      <w:r w:rsidR="000C7D02" w:rsidRPr="002B4757">
        <w:rPr>
          <w:sz w:val="28"/>
          <w:szCs w:val="28"/>
        </w:rPr>
        <w:t xml:space="preserve">більше </w:t>
      </w:r>
      <w:r w:rsidR="002B4757" w:rsidRPr="002B4757">
        <w:rPr>
          <w:sz w:val="28"/>
          <w:szCs w:val="28"/>
        </w:rPr>
        <w:t xml:space="preserve">ніж в попередньому році. Зазначене пов’язано </w:t>
      </w:r>
      <w:r w:rsidR="00F75679">
        <w:rPr>
          <w:sz w:val="28"/>
          <w:szCs w:val="28"/>
        </w:rPr>
        <w:t xml:space="preserve">насамперед </w:t>
      </w:r>
      <w:r w:rsidR="002B4757" w:rsidRPr="002B4757">
        <w:rPr>
          <w:sz w:val="28"/>
          <w:szCs w:val="28"/>
        </w:rPr>
        <w:t>із значним</w:t>
      </w:r>
      <w:r w:rsidR="002B4757">
        <w:rPr>
          <w:sz w:val="28"/>
          <w:szCs w:val="28"/>
        </w:rPr>
        <w:t xml:space="preserve"> зростанням тарифів на комунальні послуги та енергоносії, зокрема, </w:t>
      </w:r>
      <w:r w:rsidR="00F75679">
        <w:rPr>
          <w:sz w:val="28"/>
          <w:szCs w:val="28"/>
        </w:rPr>
        <w:t>тарифи на теплопостачання зросли на 31,3%, водопостачання та водовідведення – на 14,4%.</w:t>
      </w:r>
    </w:p>
    <w:p w:rsidR="00FA7C98" w:rsidRDefault="00FA7C98" w:rsidP="00FA7C98">
      <w:pPr>
        <w:ind w:firstLine="709"/>
        <w:jc w:val="both"/>
        <w:rPr>
          <w:sz w:val="28"/>
          <w:szCs w:val="28"/>
        </w:rPr>
      </w:pPr>
      <w:r w:rsidRPr="00657329">
        <w:rPr>
          <w:sz w:val="28"/>
          <w:szCs w:val="28"/>
        </w:rPr>
        <w:t xml:space="preserve">Інші видатки (незахищені статті) проведені в обсязі 3 122,4 млн.грн. або 96,2% планових показників, з яких видатки бюджету розвитку склали 1 368,5 млн.грн. або 94,5% річних планових призначень. В порівнянні з </w:t>
      </w:r>
      <w:r w:rsidRPr="00657329">
        <w:rPr>
          <w:sz w:val="28"/>
          <w:szCs w:val="28"/>
        </w:rPr>
        <w:lastRenderedPageBreak/>
        <w:t>попереднім звітним періодом обсяг видатків бюджету розвитку збільшився на 10,6% або на 130,9 млн.грн.</w:t>
      </w:r>
    </w:p>
    <w:p w:rsidR="00063880" w:rsidRDefault="00063880" w:rsidP="00063880">
      <w:pPr>
        <w:pStyle w:val="a3"/>
        <w:ind w:firstLine="709"/>
        <w:jc w:val="both"/>
      </w:pPr>
      <w:r>
        <w:rPr>
          <w:color w:val="000000" w:themeColor="text1"/>
        </w:rPr>
        <w:t xml:space="preserve">З метою покриття дефіциту </w:t>
      </w:r>
      <w:r>
        <w:t>до бюджету міста залучено кредитних коштів на суму 453,0 млн.грн. та використано на</w:t>
      </w:r>
      <w:r w:rsidRPr="00DC0E5E">
        <w:t xml:space="preserve"> фінансування видатків </w:t>
      </w:r>
      <w:r>
        <w:t>розвитку.</w:t>
      </w:r>
    </w:p>
    <w:p w:rsidR="00063880" w:rsidRDefault="00063880" w:rsidP="00063880">
      <w:pPr>
        <w:pStyle w:val="a3"/>
        <w:ind w:firstLine="709"/>
        <w:jc w:val="both"/>
        <w:rPr>
          <w:rFonts w:eastAsiaTheme="minorHAnsi"/>
          <w:lang w:eastAsia="en-US"/>
        </w:rPr>
      </w:pPr>
      <w:r>
        <w:t xml:space="preserve">Також, за рішенням міської ради у 2018 році надано місцеву гарантію </w:t>
      </w:r>
      <w:r w:rsidRPr="008415A4">
        <w:rPr>
          <w:rFonts w:eastAsiaTheme="minorHAnsi"/>
          <w:lang w:eastAsia="en-US"/>
        </w:rPr>
        <w:t xml:space="preserve">для забезпечення виконання боргових зобов'язань </w:t>
      </w:r>
      <w:proofErr w:type="spellStart"/>
      <w:r>
        <w:rPr>
          <w:rFonts w:eastAsiaTheme="minorHAnsi"/>
          <w:lang w:eastAsia="en-US"/>
        </w:rPr>
        <w:t>КП</w:t>
      </w:r>
      <w:proofErr w:type="spellEnd"/>
      <w:r>
        <w:rPr>
          <w:rFonts w:eastAsiaTheme="minorHAnsi"/>
          <w:lang w:eastAsia="en-US"/>
        </w:rPr>
        <w:t xml:space="preserve"> «Міжнародний аеропорт Запоріжжя» за кредитом в сумі 10,0 </w:t>
      </w:r>
      <w:proofErr w:type="spellStart"/>
      <w:r>
        <w:rPr>
          <w:rFonts w:eastAsiaTheme="minorHAnsi"/>
          <w:lang w:eastAsia="en-US"/>
        </w:rPr>
        <w:t>млн.дол.США</w:t>
      </w:r>
      <w:proofErr w:type="spellEnd"/>
      <w:r>
        <w:rPr>
          <w:rFonts w:eastAsiaTheme="minorHAnsi"/>
          <w:lang w:eastAsia="en-US"/>
        </w:rPr>
        <w:t xml:space="preserve"> для продовження робіт з будівництва терміналу та обслуговуючих споруд аеропорту.</w:t>
      </w:r>
    </w:p>
    <w:p w:rsidR="00063880" w:rsidRDefault="00063880" w:rsidP="00063880">
      <w:pPr>
        <w:pStyle w:val="a3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Таким чином</w:t>
      </w:r>
      <w:r w:rsidR="008329D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на звітну дату борг бюджету міста склав 453,0 млн.грн., гарантований борг – 274,5 млн.грн.</w:t>
      </w:r>
    </w:p>
    <w:p w:rsidR="002131B6" w:rsidRPr="00657329" w:rsidRDefault="002131B6" w:rsidP="002572DE">
      <w:pPr>
        <w:ind w:right="1" w:firstLine="709"/>
        <w:jc w:val="both"/>
        <w:rPr>
          <w:sz w:val="16"/>
          <w:szCs w:val="16"/>
        </w:rPr>
      </w:pPr>
    </w:p>
    <w:p w:rsidR="004643A3" w:rsidRPr="00657329" w:rsidRDefault="004643A3" w:rsidP="004643A3">
      <w:pPr>
        <w:pStyle w:val="ad"/>
        <w:ind w:firstLine="709"/>
        <w:contextualSpacing/>
      </w:pPr>
      <w:r w:rsidRPr="00657329">
        <w:t>Освіта</w:t>
      </w:r>
    </w:p>
    <w:p w:rsidR="006A09B8" w:rsidRPr="00B300D3" w:rsidRDefault="006A09B8" w:rsidP="004643A3">
      <w:pPr>
        <w:pStyle w:val="ad"/>
        <w:ind w:firstLine="709"/>
        <w:contextualSpacing/>
        <w:rPr>
          <w:sz w:val="20"/>
          <w:szCs w:val="20"/>
        </w:rPr>
      </w:pPr>
    </w:p>
    <w:p w:rsidR="00C01B75" w:rsidRDefault="00C01B75" w:rsidP="00C01B75">
      <w:pPr>
        <w:pStyle w:val="af1"/>
        <w:ind w:firstLine="709"/>
        <w:contextualSpacing/>
        <w:jc w:val="both"/>
        <w:rPr>
          <w:b w:val="0"/>
          <w:bCs w:val="0"/>
          <w:color w:val="000000" w:themeColor="text1"/>
          <w:lang w:eastAsia="ru-RU"/>
        </w:rPr>
      </w:pPr>
      <w:r w:rsidRPr="00657329">
        <w:rPr>
          <w:b w:val="0"/>
          <w:bCs w:val="0"/>
          <w:lang w:eastAsia="ru-RU"/>
        </w:rPr>
        <w:t xml:space="preserve">За звітний період видатки на освітню галузь проведені в сумі </w:t>
      </w:r>
      <w:r w:rsidRPr="00A90188">
        <w:rPr>
          <w:b w:val="0"/>
          <w:bCs w:val="0"/>
          <w:lang w:eastAsia="ru-RU"/>
        </w:rPr>
        <w:t>2</w:t>
      </w:r>
      <w:r w:rsidRPr="00657329">
        <w:rPr>
          <w:b w:val="0"/>
          <w:bCs w:val="0"/>
          <w:lang w:eastAsia="ru-RU"/>
        </w:rPr>
        <w:t> </w:t>
      </w:r>
      <w:r w:rsidRPr="00A90188">
        <w:rPr>
          <w:b w:val="0"/>
          <w:bCs w:val="0"/>
          <w:lang w:eastAsia="ru-RU"/>
        </w:rPr>
        <w:t>405</w:t>
      </w:r>
      <w:r w:rsidRPr="00657329">
        <w:rPr>
          <w:b w:val="0"/>
          <w:bCs w:val="0"/>
          <w:lang w:eastAsia="ru-RU"/>
        </w:rPr>
        <w:t>,</w:t>
      </w:r>
      <w:r w:rsidRPr="00A90188">
        <w:rPr>
          <w:b w:val="0"/>
          <w:bCs w:val="0"/>
          <w:lang w:eastAsia="ru-RU"/>
        </w:rPr>
        <w:t>5</w:t>
      </w:r>
      <w:r w:rsidRPr="00657329">
        <w:rPr>
          <w:b w:val="0"/>
          <w:bCs w:val="0"/>
          <w:lang w:eastAsia="ru-RU"/>
        </w:rPr>
        <w:t xml:space="preserve"> млн.грн., в тому числі за загальним фондом </w:t>
      </w:r>
      <w:r w:rsidRPr="00A90188">
        <w:rPr>
          <w:b w:val="0"/>
          <w:bCs w:val="0"/>
          <w:lang w:eastAsia="ru-RU"/>
        </w:rPr>
        <w:t>2</w:t>
      </w:r>
      <w:r w:rsidRPr="00657329">
        <w:rPr>
          <w:b w:val="0"/>
          <w:bCs w:val="0"/>
          <w:lang w:eastAsia="ru-RU"/>
        </w:rPr>
        <w:t> </w:t>
      </w:r>
      <w:r w:rsidRPr="00A90188">
        <w:rPr>
          <w:b w:val="0"/>
          <w:bCs w:val="0"/>
          <w:lang w:eastAsia="ru-RU"/>
        </w:rPr>
        <w:t>214</w:t>
      </w:r>
      <w:r w:rsidRPr="00657329">
        <w:rPr>
          <w:b w:val="0"/>
          <w:bCs w:val="0"/>
          <w:lang w:eastAsia="ru-RU"/>
        </w:rPr>
        <w:t>,</w:t>
      </w:r>
      <w:r w:rsidRPr="00A90188">
        <w:rPr>
          <w:b w:val="0"/>
          <w:bCs w:val="0"/>
          <w:lang w:eastAsia="ru-RU"/>
        </w:rPr>
        <w:t>7</w:t>
      </w:r>
      <w:r w:rsidRPr="00657329">
        <w:rPr>
          <w:b w:val="0"/>
          <w:bCs w:val="0"/>
          <w:lang w:eastAsia="ru-RU"/>
        </w:rPr>
        <w:t> млн.грн. або 9</w:t>
      </w:r>
      <w:r w:rsidRPr="00A90188">
        <w:rPr>
          <w:b w:val="0"/>
          <w:bCs w:val="0"/>
          <w:lang w:eastAsia="ru-RU"/>
        </w:rPr>
        <w:t>9</w:t>
      </w:r>
      <w:r w:rsidRPr="00657329">
        <w:rPr>
          <w:b w:val="0"/>
          <w:bCs w:val="0"/>
          <w:lang w:eastAsia="ru-RU"/>
        </w:rPr>
        <w:t>,</w:t>
      </w:r>
      <w:r w:rsidRPr="00A90188">
        <w:rPr>
          <w:b w:val="0"/>
          <w:bCs w:val="0"/>
          <w:lang w:eastAsia="ru-RU"/>
        </w:rPr>
        <w:t>4</w:t>
      </w:r>
      <w:r w:rsidRPr="00657329">
        <w:rPr>
          <w:b w:val="0"/>
          <w:bCs w:val="0"/>
          <w:lang w:eastAsia="ru-RU"/>
        </w:rPr>
        <w:t>% планових показників, спеціальним</w:t>
      </w:r>
      <w:r w:rsidRPr="0058263D">
        <w:rPr>
          <w:b w:val="0"/>
          <w:bCs w:val="0"/>
          <w:color w:val="000000" w:themeColor="text1"/>
          <w:lang w:eastAsia="ru-RU"/>
        </w:rPr>
        <w:t xml:space="preserve"> фондом – </w:t>
      </w:r>
      <w:r w:rsidRPr="00A90188">
        <w:rPr>
          <w:b w:val="0"/>
          <w:bCs w:val="0"/>
          <w:color w:val="000000" w:themeColor="text1"/>
          <w:lang w:eastAsia="ru-RU"/>
        </w:rPr>
        <w:t>190</w:t>
      </w:r>
      <w:r w:rsidRPr="0058263D">
        <w:rPr>
          <w:b w:val="0"/>
          <w:bCs w:val="0"/>
          <w:color w:val="000000" w:themeColor="text1"/>
          <w:lang w:eastAsia="ru-RU"/>
        </w:rPr>
        <w:t>,</w:t>
      </w:r>
      <w:r w:rsidRPr="00A90188">
        <w:rPr>
          <w:b w:val="0"/>
          <w:bCs w:val="0"/>
          <w:color w:val="000000" w:themeColor="text1"/>
          <w:lang w:eastAsia="ru-RU"/>
        </w:rPr>
        <w:t>8</w:t>
      </w:r>
      <w:r w:rsidRPr="0058263D">
        <w:rPr>
          <w:b w:val="0"/>
          <w:bCs w:val="0"/>
          <w:color w:val="000000" w:themeColor="text1"/>
          <w:lang w:eastAsia="ru-RU"/>
        </w:rPr>
        <w:t xml:space="preserve"> млн.грн. або </w:t>
      </w:r>
      <w:r w:rsidRPr="00A90188">
        <w:rPr>
          <w:b w:val="0"/>
          <w:bCs w:val="0"/>
          <w:color w:val="000000" w:themeColor="text1"/>
          <w:lang w:eastAsia="ru-RU"/>
        </w:rPr>
        <w:t>7</w:t>
      </w:r>
      <w:r w:rsidRPr="0058263D">
        <w:rPr>
          <w:b w:val="0"/>
          <w:bCs w:val="0"/>
          <w:color w:val="000000" w:themeColor="text1"/>
          <w:lang w:eastAsia="ru-RU"/>
        </w:rPr>
        <w:t>9,</w:t>
      </w:r>
      <w:r w:rsidRPr="00A90188">
        <w:rPr>
          <w:b w:val="0"/>
          <w:bCs w:val="0"/>
          <w:color w:val="000000" w:themeColor="text1"/>
          <w:lang w:eastAsia="ru-RU"/>
        </w:rPr>
        <w:t>7</w:t>
      </w:r>
      <w:r w:rsidRPr="0058263D">
        <w:rPr>
          <w:b w:val="0"/>
          <w:bCs w:val="0"/>
          <w:color w:val="000000" w:themeColor="text1"/>
          <w:lang w:eastAsia="ru-RU"/>
        </w:rPr>
        <w:t>% кошторисних призначень на рік з урахуванням змін</w:t>
      </w:r>
      <w:r w:rsidR="00A90188">
        <w:rPr>
          <w:b w:val="0"/>
          <w:bCs w:val="0"/>
          <w:color w:val="000000" w:themeColor="text1"/>
          <w:lang w:eastAsia="ru-RU"/>
        </w:rPr>
        <w:t>, з яких по бюджету розвитку – 63,2 млн.грн.</w:t>
      </w:r>
    </w:p>
    <w:p w:rsidR="00473328" w:rsidRDefault="00644322" w:rsidP="00644322">
      <w:pPr>
        <w:pStyle w:val="af1"/>
        <w:ind w:firstLine="709"/>
        <w:contextualSpacing/>
        <w:jc w:val="both"/>
        <w:rPr>
          <w:b w:val="0"/>
          <w:bCs w:val="0"/>
          <w:lang w:eastAsia="ru-RU"/>
        </w:rPr>
      </w:pPr>
      <w:r w:rsidRPr="0058263D">
        <w:rPr>
          <w:b w:val="0"/>
          <w:bCs w:val="0"/>
          <w:color w:val="000000" w:themeColor="text1"/>
          <w:lang w:eastAsia="ru-RU"/>
        </w:rPr>
        <w:t xml:space="preserve">Основним напрямком </w:t>
      </w:r>
      <w:r w:rsidRPr="00621B79">
        <w:rPr>
          <w:b w:val="0"/>
          <w:bCs w:val="0"/>
          <w:lang w:eastAsia="ru-RU"/>
        </w:rPr>
        <w:t xml:space="preserve">використання коштів є загальна середня освіта, на </w:t>
      </w:r>
      <w:r w:rsidR="00F75679">
        <w:rPr>
          <w:b w:val="0"/>
          <w:bCs w:val="0"/>
          <w:lang w:eastAsia="ru-RU"/>
        </w:rPr>
        <w:t xml:space="preserve">поточне утримання та функціонування </w:t>
      </w:r>
      <w:r w:rsidRPr="00621B79">
        <w:rPr>
          <w:b w:val="0"/>
          <w:bCs w:val="0"/>
          <w:lang w:eastAsia="ru-RU"/>
        </w:rPr>
        <w:t>як</w:t>
      </w:r>
      <w:r w:rsidR="00F75679">
        <w:rPr>
          <w:b w:val="0"/>
          <w:bCs w:val="0"/>
          <w:lang w:eastAsia="ru-RU"/>
        </w:rPr>
        <w:t>ої</w:t>
      </w:r>
      <w:r w:rsidRPr="00621B79">
        <w:rPr>
          <w:b w:val="0"/>
          <w:bCs w:val="0"/>
          <w:lang w:eastAsia="ru-RU"/>
        </w:rPr>
        <w:t xml:space="preserve"> спрямовано із загального фонду 1</w:t>
      </w:r>
      <w:r w:rsidR="00621B79">
        <w:rPr>
          <w:b w:val="0"/>
          <w:bCs w:val="0"/>
          <w:lang w:eastAsia="ru-RU"/>
        </w:rPr>
        <w:t> </w:t>
      </w:r>
      <w:r w:rsidRPr="00621B79">
        <w:rPr>
          <w:b w:val="0"/>
          <w:bCs w:val="0"/>
          <w:lang w:eastAsia="ru-RU"/>
        </w:rPr>
        <w:t xml:space="preserve">183,2 млн.грн., </w:t>
      </w:r>
      <w:r w:rsidR="00F75679">
        <w:rPr>
          <w:b w:val="0"/>
          <w:bCs w:val="0"/>
          <w:lang w:eastAsia="ru-RU"/>
        </w:rPr>
        <w:t>в тому числі</w:t>
      </w:r>
      <w:r w:rsidRPr="00621B79">
        <w:rPr>
          <w:b w:val="0"/>
          <w:bCs w:val="0"/>
          <w:lang w:eastAsia="ru-RU"/>
        </w:rPr>
        <w:t xml:space="preserve"> 621,3 млн.грн. (52,5%) – кошти освітньої субвенції з державного бюджету.</w:t>
      </w:r>
    </w:p>
    <w:p w:rsidR="00644322" w:rsidRPr="0058263D" w:rsidRDefault="00644322" w:rsidP="00644322">
      <w:pPr>
        <w:pStyle w:val="af1"/>
        <w:ind w:firstLine="709"/>
        <w:contextualSpacing/>
        <w:jc w:val="both"/>
        <w:rPr>
          <w:b w:val="0"/>
          <w:bCs w:val="0"/>
          <w:color w:val="000000" w:themeColor="text1"/>
        </w:rPr>
      </w:pPr>
      <w:r w:rsidRPr="0058263D">
        <w:rPr>
          <w:b w:val="0"/>
          <w:bCs w:val="0"/>
          <w:color w:val="000000" w:themeColor="text1"/>
        </w:rPr>
        <w:t xml:space="preserve">На заробітну плату з нарахуваннями </w:t>
      </w:r>
      <w:r w:rsidR="004918A5">
        <w:rPr>
          <w:b w:val="0"/>
          <w:bCs w:val="0"/>
          <w:color w:val="000000" w:themeColor="text1"/>
        </w:rPr>
        <w:t>витрачено</w:t>
      </w:r>
      <w:r w:rsidRPr="0058263D">
        <w:rPr>
          <w:b w:val="0"/>
          <w:bCs w:val="0"/>
          <w:color w:val="000000" w:themeColor="text1"/>
        </w:rPr>
        <w:t xml:space="preserve"> 1 747,3 млн.грн. (з яких за рахунок власних надходжень – 18,5 млн.грн.), що становить 72,6% загального обсягу видатків на галузь. Середня заробітна плата </w:t>
      </w:r>
      <w:r w:rsidR="0023096B">
        <w:rPr>
          <w:b w:val="0"/>
          <w:bCs w:val="0"/>
          <w:color w:val="000000" w:themeColor="text1"/>
        </w:rPr>
        <w:t xml:space="preserve">педагогічного працівника </w:t>
      </w:r>
      <w:r w:rsidR="0023096B" w:rsidRPr="0023096B">
        <w:rPr>
          <w:b w:val="0"/>
          <w:bCs w:val="0"/>
          <w:color w:val="000000" w:themeColor="text1"/>
        </w:rPr>
        <w:t>склала 7</w:t>
      </w:r>
      <w:r w:rsidR="00BC7F45" w:rsidRPr="0023096B">
        <w:rPr>
          <w:b w:val="0"/>
          <w:bCs w:val="0"/>
          <w:color w:val="000000" w:themeColor="text1"/>
        </w:rPr>
        <w:t> </w:t>
      </w:r>
      <w:r w:rsidR="0023096B" w:rsidRPr="0023096B">
        <w:rPr>
          <w:b w:val="0"/>
          <w:bCs w:val="0"/>
          <w:color w:val="000000" w:themeColor="text1"/>
        </w:rPr>
        <w:t>016</w:t>
      </w:r>
      <w:r w:rsidR="00BC7F45" w:rsidRPr="0023096B">
        <w:rPr>
          <w:b w:val="0"/>
          <w:bCs w:val="0"/>
          <w:color w:val="000000" w:themeColor="text1"/>
        </w:rPr>
        <w:t> </w:t>
      </w:r>
      <w:r w:rsidRPr="0023096B">
        <w:rPr>
          <w:b w:val="0"/>
          <w:bCs w:val="0"/>
          <w:color w:val="000000" w:themeColor="text1"/>
        </w:rPr>
        <w:t>грн., що більше рівня попереднього</w:t>
      </w:r>
      <w:r w:rsidRPr="0058263D">
        <w:rPr>
          <w:b w:val="0"/>
          <w:bCs w:val="0"/>
          <w:color w:val="000000" w:themeColor="text1"/>
        </w:rPr>
        <w:t xml:space="preserve"> року </w:t>
      </w:r>
      <w:r w:rsidRPr="00C00873">
        <w:rPr>
          <w:b w:val="0"/>
          <w:bCs w:val="0"/>
          <w:color w:val="000000" w:themeColor="text1"/>
        </w:rPr>
        <w:t xml:space="preserve">на </w:t>
      </w:r>
      <w:r w:rsidR="009F60F2" w:rsidRPr="00C00873">
        <w:rPr>
          <w:b w:val="0"/>
          <w:bCs w:val="0"/>
          <w:color w:val="000000" w:themeColor="text1"/>
        </w:rPr>
        <w:t>1</w:t>
      </w:r>
      <w:r w:rsidR="00C00873" w:rsidRPr="00C00873">
        <w:rPr>
          <w:b w:val="0"/>
          <w:bCs w:val="0"/>
          <w:color w:val="000000" w:themeColor="text1"/>
        </w:rPr>
        <w:t>6</w:t>
      </w:r>
      <w:r w:rsidRPr="00C00873">
        <w:rPr>
          <w:b w:val="0"/>
          <w:bCs w:val="0"/>
          <w:color w:val="000000" w:themeColor="text1"/>
        </w:rPr>
        <w:t>%, насамперед</w:t>
      </w:r>
      <w:r w:rsidRPr="0058263D">
        <w:rPr>
          <w:b w:val="0"/>
          <w:bCs w:val="0"/>
          <w:color w:val="000000" w:themeColor="text1"/>
        </w:rPr>
        <w:t>, у зв’язку із підвищенням соціальних стандартів.</w:t>
      </w:r>
    </w:p>
    <w:p w:rsidR="00644322" w:rsidRPr="0058263D" w:rsidRDefault="00644322" w:rsidP="00644322">
      <w:pPr>
        <w:pStyle w:val="af1"/>
        <w:ind w:firstLine="709"/>
        <w:contextualSpacing/>
        <w:jc w:val="both"/>
        <w:rPr>
          <w:b w:val="0"/>
          <w:bCs w:val="0"/>
          <w:color w:val="000000" w:themeColor="text1"/>
        </w:rPr>
      </w:pPr>
      <w:r w:rsidRPr="0058263D">
        <w:rPr>
          <w:b w:val="0"/>
          <w:bCs w:val="0"/>
          <w:color w:val="000000" w:themeColor="text1"/>
        </w:rPr>
        <w:t>Для організації харчування дітей та учнів використано 181,6 млн.грн. (</w:t>
      </w:r>
      <w:r w:rsidR="00BC7F45">
        <w:rPr>
          <w:b w:val="0"/>
          <w:bCs w:val="0"/>
          <w:color w:val="000000" w:themeColor="text1"/>
        </w:rPr>
        <w:t xml:space="preserve">з яких </w:t>
      </w:r>
      <w:r w:rsidRPr="0058263D">
        <w:rPr>
          <w:b w:val="0"/>
          <w:bCs w:val="0"/>
          <w:color w:val="000000" w:themeColor="text1"/>
        </w:rPr>
        <w:t>за рахунок батьківської плати та інших джерел власних надходжень – 49,8 млн.грн.), що більше показника попереднього року на 35%</w:t>
      </w:r>
      <w:r w:rsidR="0039747A" w:rsidRPr="0058263D">
        <w:rPr>
          <w:b w:val="0"/>
          <w:bCs w:val="0"/>
          <w:color w:val="000000" w:themeColor="text1"/>
        </w:rPr>
        <w:t>,</w:t>
      </w:r>
      <w:r w:rsidR="000A4053" w:rsidRPr="0058263D">
        <w:rPr>
          <w:b w:val="0"/>
          <w:bCs w:val="0"/>
          <w:color w:val="000000" w:themeColor="text1"/>
        </w:rPr>
        <w:t xml:space="preserve"> зокрема</w:t>
      </w:r>
      <w:r w:rsidR="00BC7F45">
        <w:rPr>
          <w:b w:val="0"/>
          <w:bCs w:val="0"/>
          <w:color w:val="000000" w:themeColor="text1"/>
        </w:rPr>
        <w:t>,</w:t>
      </w:r>
      <w:r w:rsidRPr="0058263D">
        <w:rPr>
          <w:b w:val="0"/>
          <w:bCs w:val="0"/>
          <w:color w:val="000000" w:themeColor="text1"/>
        </w:rPr>
        <w:t xml:space="preserve"> у зв’язку зі збільшенням кількості дітей дошкільного віку на </w:t>
      </w:r>
      <w:r w:rsidR="00FC29AF" w:rsidRPr="0058263D">
        <w:rPr>
          <w:b w:val="0"/>
          <w:bCs w:val="0"/>
          <w:color w:val="000000" w:themeColor="text1"/>
        </w:rPr>
        <w:t>57</w:t>
      </w:r>
      <w:r w:rsidRPr="0058263D">
        <w:rPr>
          <w:b w:val="0"/>
          <w:bCs w:val="0"/>
          <w:color w:val="000000" w:themeColor="text1"/>
        </w:rPr>
        <w:t xml:space="preserve"> осіб та учнів – на </w:t>
      </w:r>
      <w:r w:rsidR="00FC29AF" w:rsidRPr="0058263D">
        <w:rPr>
          <w:b w:val="0"/>
          <w:bCs w:val="0"/>
          <w:color w:val="000000" w:themeColor="text1"/>
        </w:rPr>
        <w:t>1091</w:t>
      </w:r>
      <w:r w:rsidRPr="0058263D">
        <w:rPr>
          <w:b w:val="0"/>
          <w:bCs w:val="0"/>
          <w:color w:val="000000" w:themeColor="text1"/>
        </w:rPr>
        <w:t xml:space="preserve"> осіб.</w:t>
      </w:r>
    </w:p>
    <w:p w:rsidR="000D0252" w:rsidRPr="004918A5" w:rsidRDefault="000D0252" w:rsidP="00703150">
      <w:pPr>
        <w:pStyle w:val="af1"/>
        <w:ind w:firstLine="709"/>
        <w:contextualSpacing/>
        <w:jc w:val="both"/>
        <w:rPr>
          <w:b w:val="0"/>
          <w:bCs w:val="0"/>
          <w:color w:val="000000" w:themeColor="text1"/>
        </w:rPr>
      </w:pPr>
      <w:r w:rsidRPr="004918A5">
        <w:rPr>
          <w:b w:val="0"/>
          <w:bCs w:val="0"/>
          <w:color w:val="000000" w:themeColor="text1"/>
        </w:rPr>
        <w:t xml:space="preserve">В рамках проведення реформи «Нова українська школа» для </w:t>
      </w:r>
      <w:r w:rsidR="001102E3">
        <w:rPr>
          <w:b w:val="0"/>
          <w:bCs w:val="0"/>
          <w:color w:val="000000" w:themeColor="text1"/>
        </w:rPr>
        <w:t xml:space="preserve">                          </w:t>
      </w:r>
      <w:r w:rsidRPr="004918A5">
        <w:rPr>
          <w:b w:val="0"/>
          <w:bCs w:val="0"/>
          <w:color w:val="000000" w:themeColor="text1"/>
        </w:rPr>
        <w:t>270 початкових класів бул</w:t>
      </w:r>
      <w:r w:rsidR="00BC7F45" w:rsidRPr="004918A5">
        <w:rPr>
          <w:b w:val="0"/>
          <w:bCs w:val="0"/>
          <w:color w:val="000000" w:themeColor="text1"/>
        </w:rPr>
        <w:t>и</w:t>
      </w:r>
      <w:r w:rsidRPr="004918A5">
        <w:rPr>
          <w:b w:val="0"/>
          <w:bCs w:val="0"/>
          <w:color w:val="000000" w:themeColor="text1"/>
        </w:rPr>
        <w:t xml:space="preserve"> закуплен</w:t>
      </w:r>
      <w:r w:rsidR="00BC7F45" w:rsidRPr="004918A5">
        <w:rPr>
          <w:b w:val="0"/>
          <w:bCs w:val="0"/>
          <w:color w:val="000000" w:themeColor="text1"/>
        </w:rPr>
        <w:t>і</w:t>
      </w:r>
      <w:r w:rsidRPr="004918A5">
        <w:rPr>
          <w:b w:val="0"/>
          <w:bCs w:val="0"/>
          <w:color w:val="000000" w:themeColor="text1"/>
        </w:rPr>
        <w:t xml:space="preserve"> дидактичні матеріали на суму</w:t>
      </w:r>
      <w:r w:rsidR="001102E3">
        <w:rPr>
          <w:b w:val="0"/>
          <w:bCs w:val="0"/>
          <w:color w:val="000000" w:themeColor="text1"/>
        </w:rPr>
        <w:t xml:space="preserve">                         </w:t>
      </w:r>
      <w:r w:rsidRPr="004918A5">
        <w:rPr>
          <w:b w:val="0"/>
          <w:bCs w:val="0"/>
          <w:color w:val="000000" w:themeColor="text1"/>
        </w:rPr>
        <w:t xml:space="preserve"> 6,1 </w:t>
      </w:r>
      <w:proofErr w:type="spellStart"/>
      <w:r w:rsidRPr="004918A5">
        <w:rPr>
          <w:b w:val="0"/>
          <w:bCs w:val="0"/>
          <w:color w:val="000000" w:themeColor="text1"/>
        </w:rPr>
        <w:t>млн.грн</w:t>
      </w:r>
      <w:proofErr w:type="spellEnd"/>
      <w:r w:rsidRPr="004918A5">
        <w:rPr>
          <w:b w:val="0"/>
          <w:bCs w:val="0"/>
          <w:color w:val="000000" w:themeColor="text1"/>
        </w:rPr>
        <w:t>., придбан</w:t>
      </w:r>
      <w:r w:rsidR="00BC7F45" w:rsidRPr="004918A5">
        <w:rPr>
          <w:b w:val="0"/>
          <w:bCs w:val="0"/>
          <w:color w:val="000000" w:themeColor="text1"/>
        </w:rPr>
        <w:t>і</w:t>
      </w:r>
      <w:r w:rsidRPr="004918A5">
        <w:rPr>
          <w:b w:val="0"/>
          <w:bCs w:val="0"/>
          <w:color w:val="000000" w:themeColor="text1"/>
        </w:rPr>
        <w:t xml:space="preserve"> сучасні меблі на суму 8,1 млн.грн.</w:t>
      </w:r>
    </w:p>
    <w:p w:rsidR="0036739C" w:rsidRPr="0058263D" w:rsidRDefault="004643A3" w:rsidP="0036739C">
      <w:pPr>
        <w:pStyle w:val="af1"/>
        <w:ind w:firstLine="709"/>
        <w:contextualSpacing/>
        <w:jc w:val="both"/>
        <w:rPr>
          <w:b w:val="0"/>
          <w:bCs w:val="0"/>
          <w:color w:val="000000" w:themeColor="text1"/>
        </w:rPr>
      </w:pPr>
      <w:r w:rsidRPr="0058263D">
        <w:rPr>
          <w:b w:val="0"/>
          <w:bCs w:val="0"/>
          <w:color w:val="000000" w:themeColor="text1"/>
        </w:rPr>
        <w:t xml:space="preserve">З метою підготовки закладів до нового навчального року та усунення аварійних ситуацій проведені поточні ремонти в </w:t>
      </w:r>
      <w:r w:rsidR="00E3359E" w:rsidRPr="0058263D">
        <w:rPr>
          <w:b w:val="0"/>
          <w:bCs w:val="0"/>
          <w:color w:val="000000" w:themeColor="text1"/>
        </w:rPr>
        <w:t>1</w:t>
      </w:r>
      <w:r w:rsidR="00C61302" w:rsidRPr="0058263D">
        <w:rPr>
          <w:b w:val="0"/>
          <w:bCs w:val="0"/>
          <w:color w:val="000000" w:themeColor="text1"/>
        </w:rPr>
        <w:t>73</w:t>
      </w:r>
      <w:r w:rsidRPr="0058263D">
        <w:rPr>
          <w:b w:val="0"/>
          <w:bCs w:val="0"/>
          <w:color w:val="000000" w:themeColor="text1"/>
        </w:rPr>
        <w:t>-</w:t>
      </w:r>
      <w:r w:rsidR="00C61302" w:rsidRPr="0058263D">
        <w:rPr>
          <w:b w:val="0"/>
          <w:bCs w:val="0"/>
          <w:color w:val="000000" w:themeColor="text1"/>
        </w:rPr>
        <w:t>х</w:t>
      </w:r>
      <w:r w:rsidRPr="0058263D">
        <w:rPr>
          <w:b w:val="0"/>
          <w:bCs w:val="0"/>
          <w:color w:val="000000" w:themeColor="text1"/>
        </w:rPr>
        <w:t xml:space="preserve"> заклад</w:t>
      </w:r>
      <w:r w:rsidR="00C61302" w:rsidRPr="0058263D">
        <w:rPr>
          <w:b w:val="0"/>
          <w:bCs w:val="0"/>
          <w:color w:val="000000" w:themeColor="text1"/>
        </w:rPr>
        <w:t>ах</w:t>
      </w:r>
      <w:r w:rsidRPr="0058263D">
        <w:rPr>
          <w:b w:val="0"/>
          <w:bCs w:val="0"/>
          <w:color w:val="000000" w:themeColor="text1"/>
        </w:rPr>
        <w:t xml:space="preserve"> на загальну суму </w:t>
      </w:r>
      <w:r w:rsidR="00B2723F" w:rsidRPr="0058263D">
        <w:rPr>
          <w:b w:val="0"/>
          <w:bCs w:val="0"/>
          <w:color w:val="000000" w:themeColor="text1"/>
        </w:rPr>
        <w:t>23,3</w:t>
      </w:r>
      <w:r w:rsidRPr="0058263D">
        <w:rPr>
          <w:b w:val="0"/>
          <w:bCs w:val="0"/>
          <w:color w:val="000000" w:themeColor="text1"/>
        </w:rPr>
        <w:t> млн.грн</w:t>
      </w:r>
      <w:r w:rsidR="00810302" w:rsidRPr="0058263D">
        <w:rPr>
          <w:b w:val="0"/>
          <w:bCs w:val="0"/>
          <w:color w:val="000000" w:themeColor="text1"/>
        </w:rPr>
        <w:t>.</w:t>
      </w:r>
      <w:r w:rsidR="00B2723F" w:rsidRPr="0058263D">
        <w:rPr>
          <w:b w:val="0"/>
          <w:bCs w:val="0"/>
          <w:color w:val="000000" w:themeColor="text1"/>
        </w:rPr>
        <w:t xml:space="preserve"> </w:t>
      </w:r>
    </w:p>
    <w:p w:rsidR="00644322" w:rsidRPr="006F1686" w:rsidRDefault="00644322" w:rsidP="006F1686">
      <w:pPr>
        <w:pStyle w:val="af1"/>
        <w:ind w:firstLine="709"/>
        <w:contextualSpacing/>
        <w:jc w:val="both"/>
        <w:rPr>
          <w:b w:val="0"/>
          <w:bCs w:val="0"/>
        </w:rPr>
      </w:pPr>
      <w:r w:rsidRPr="0058263D">
        <w:rPr>
          <w:b w:val="0"/>
          <w:bCs w:val="0"/>
        </w:rPr>
        <w:t xml:space="preserve">Видатки капітального характеру по галузі склали 76,8 млн.грн., в тому числі за рахунок </w:t>
      </w:r>
      <w:r w:rsidR="00E152A2" w:rsidRPr="0058263D">
        <w:rPr>
          <w:b w:val="0"/>
          <w:bCs w:val="0"/>
        </w:rPr>
        <w:t>власних надходжень бюджетних установ (благодійні внески, гранти та дарунки) – 13,6 млн.грн.</w:t>
      </w:r>
      <w:r w:rsidR="00E152A2">
        <w:rPr>
          <w:b w:val="0"/>
          <w:bCs w:val="0"/>
        </w:rPr>
        <w:t xml:space="preserve"> та </w:t>
      </w:r>
      <w:r w:rsidRPr="0058263D">
        <w:rPr>
          <w:b w:val="0"/>
          <w:bCs w:val="0"/>
        </w:rPr>
        <w:t>бюджету розвитку міста – 63,2 млн.грн. (69,4% уточненого плану</w:t>
      </w:r>
      <w:r w:rsidR="00E152A2">
        <w:rPr>
          <w:b w:val="0"/>
          <w:bCs w:val="0"/>
        </w:rPr>
        <w:t xml:space="preserve">, що пов’язано із надходженням значного обсягу </w:t>
      </w:r>
      <w:r w:rsidR="00E152A2" w:rsidRPr="006F1686">
        <w:rPr>
          <w:b w:val="0"/>
          <w:bCs w:val="0"/>
        </w:rPr>
        <w:t>коштів субвенцій наприкінці року</w:t>
      </w:r>
      <w:r w:rsidRPr="006F1686">
        <w:rPr>
          <w:b w:val="0"/>
          <w:bCs w:val="0"/>
        </w:rPr>
        <w:t>)</w:t>
      </w:r>
      <w:r w:rsidR="00E152A2" w:rsidRPr="006F1686">
        <w:rPr>
          <w:b w:val="0"/>
          <w:bCs w:val="0"/>
        </w:rPr>
        <w:t>.</w:t>
      </w:r>
      <w:r w:rsidRPr="006F1686">
        <w:rPr>
          <w:b w:val="0"/>
          <w:bCs w:val="0"/>
        </w:rPr>
        <w:t xml:space="preserve"> Кошти бюджету розвитку спрямован</w:t>
      </w:r>
      <w:r w:rsidR="009D0F25" w:rsidRPr="006F1686">
        <w:rPr>
          <w:b w:val="0"/>
          <w:bCs w:val="0"/>
        </w:rPr>
        <w:t>і</w:t>
      </w:r>
      <w:r w:rsidRPr="006F1686">
        <w:rPr>
          <w:b w:val="0"/>
          <w:bCs w:val="0"/>
        </w:rPr>
        <w:t xml:space="preserve"> на</w:t>
      </w:r>
      <w:r w:rsidR="006F1686" w:rsidRPr="006F1686">
        <w:rPr>
          <w:b w:val="0"/>
          <w:bCs w:val="0"/>
        </w:rPr>
        <w:t xml:space="preserve"> </w:t>
      </w:r>
      <w:r w:rsidRPr="006F1686">
        <w:rPr>
          <w:b w:val="0"/>
        </w:rPr>
        <w:t>придбання обладнання – 22,7 </w:t>
      </w:r>
      <w:proofErr w:type="spellStart"/>
      <w:r w:rsidRPr="006F1686">
        <w:rPr>
          <w:b w:val="0"/>
        </w:rPr>
        <w:t>млн.грн</w:t>
      </w:r>
      <w:proofErr w:type="spellEnd"/>
      <w:r w:rsidRPr="006F1686">
        <w:rPr>
          <w:b w:val="0"/>
        </w:rPr>
        <w:t>.</w:t>
      </w:r>
      <w:r w:rsidR="006F1686">
        <w:rPr>
          <w:b w:val="0"/>
        </w:rPr>
        <w:t>,</w:t>
      </w:r>
      <w:r w:rsidR="008329D1">
        <w:rPr>
          <w:b w:val="0"/>
        </w:rPr>
        <w:t xml:space="preserve"> </w:t>
      </w:r>
      <w:r w:rsidRPr="006F1686">
        <w:rPr>
          <w:b w:val="0"/>
          <w:bCs w:val="0"/>
        </w:rPr>
        <w:t>капітальні ремонти – 23,4 </w:t>
      </w:r>
      <w:proofErr w:type="spellStart"/>
      <w:r w:rsidRPr="006F1686">
        <w:rPr>
          <w:b w:val="0"/>
          <w:bCs w:val="0"/>
        </w:rPr>
        <w:t>млн.</w:t>
      </w:r>
      <w:r w:rsidRPr="006F1686">
        <w:rPr>
          <w:b w:val="0"/>
        </w:rPr>
        <w:t>грн</w:t>
      </w:r>
      <w:proofErr w:type="spellEnd"/>
      <w:r w:rsidRPr="006F1686">
        <w:rPr>
          <w:b w:val="0"/>
        </w:rPr>
        <w:t>.</w:t>
      </w:r>
      <w:r w:rsidR="006F1686">
        <w:rPr>
          <w:b w:val="0"/>
        </w:rPr>
        <w:t xml:space="preserve">, </w:t>
      </w:r>
      <w:r w:rsidRPr="006F1686">
        <w:rPr>
          <w:b w:val="0"/>
          <w:bCs w:val="0"/>
        </w:rPr>
        <w:t xml:space="preserve">будівництво та реконструкцію – 17,1 млн.грн. </w:t>
      </w:r>
    </w:p>
    <w:p w:rsidR="00C812EB" w:rsidRPr="00B300D3" w:rsidRDefault="00C812EB" w:rsidP="004643A3">
      <w:pPr>
        <w:pStyle w:val="ad"/>
        <w:ind w:firstLine="709"/>
        <w:contextualSpacing/>
        <w:jc w:val="both"/>
        <w:rPr>
          <w:b w:val="0"/>
          <w:sz w:val="20"/>
          <w:szCs w:val="20"/>
        </w:rPr>
      </w:pPr>
    </w:p>
    <w:p w:rsidR="005237D0" w:rsidRPr="000122BB" w:rsidRDefault="005237D0" w:rsidP="005237D0">
      <w:pPr>
        <w:pStyle w:val="6"/>
        <w:ind w:firstLine="709"/>
        <w:contextualSpacing/>
        <w:rPr>
          <w:sz w:val="28"/>
          <w:szCs w:val="28"/>
          <w:u w:val="none"/>
        </w:rPr>
      </w:pPr>
      <w:r w:rsidRPr="000122BB">
        <w:rPr>
          <w:sz w:val="28"/>
          <w:szCs w:val="28"/>
          <w:u w:val="none"/>
        </w:rPr>
        <w:lastRenderedPageBreak/>
        <w:t>Охорона здоров’я</w:t>
      </w:r>
    </w:p>
    <w:p w:rsidR="005237D0" w:rsidRPr="00B300D3" w:rsidRDefault="005237D0" w:rsidP="005237D0"/>
    <w:p w:rsidR="005237D0" w:rsidRPr="000122BB" w:rsidRDefault="005237D0" w:rsidP="005237D0">
      <w:pPr>
        <w:pStyle w:val="2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122BB">
        <w:rPr>
          <w:bCs/>
          <w:sz w:val="28"/>
          <w:szCs w:val="28"/>
        </w:rPr>
        <w:t>По установах охорони здоров’я використано 1 408,6 млн.грн., в тому числі за рахунок загального фонду – 1 222,4 млн.грн. (99,8 % річного плану), спеціального фонду – 186,2 млн.грн. (97,2% кошторисних призначень на рік з урахуванням змін)</w:t>
      </w:r>
      <w:r w:rsidR="00D17CF8">
        <w:rPr>
          <w:bCs/>
          <w:sz w:val="28"/>
          <w:szCs w:val="28"/>
        </w:rPr>
        <w:t>, з яких по бюджету розвитку – 94,3 млн.грн.</w:t>
      </w:r>
    </w:p>
    <w:p w:rsidR="005237D0" w:rsidRPr="005675B7" w:rsidRDefault="005237D0" w:rsidP="005237D0">
      <w:pPr>
        <w:pStyle w:val="2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5675B7">
        <w:rPr>
          <w:bCs/>
          <w:sz w:val="28"/>
          <w:szCs w:val="28"/>
        </w:rPr>
        <w:t xml:space="preserve">На забезпечення поточних видатків </w:t>
      </w:r>
      <w:r w:rsidR="00EF45A7" w:rsidRPr="005675B7">
        <w:rPr>
          <w:bCs/>
          <w:sz w:val="28"/>
          <w:szCs w:val="28"/>
        </w:rPr>
        <w:t>за рахунок</w:t>
      </w:r>
      <w:r w:rsidRPr="005675B7">
        <w:rPr>
          <w:bCs/>
          <w:sz w:val="28"/>
          <w:szCs w:val="28"/>
        </w:rPr>
        <w:t xml:space="preserve"> медичної субвенції</w:t>
      </w:r>
      <w:r w:rsidRPr="005675B7">
        <w:rPr>
          <w:sz w:val="28"/>
          <w:szCs w:val="28"/>
        </w:rPr>
        <w:t xml:space="preserve"> </w:t>
      </w:r>
      <w:r w:rsidR="00EF45A7" w:rsidRPr="005675B7">
        <w:rPr>
          <w:sz w:val="28"/>
          <w:szCs w:val="28"/>
        </w:rPr>
        <w:t xml:space="preserve">спрямовано </w:t>
      </w:r>
      <w:r w:rsidRPr="005675B7">
        <w:rPr>
          <w:bCs/>
          <w:sz w:val="28"/>
          <w:szCs w:val="28"/>
        </w:rPr>
        <w:t>7</w:t>
      </w:r>
      <w:r w:rsidR="002306FB" w:rsidRPr="005675B7">
        <w:rPr>
          <w:bCs/>
          <w:sz w:val="28"/>
          <w:szCs w:val="28"/>
        </w:rPr>
        <w:t>48,</w:t>
      </w:r>
      <w:r w:rsidR="00EF45A7" w:rsidRPr="005675B7">
        <w:rPr>
          <w:bCs/>
          <w:sz w:val="28"/>
          <w:szCs w:val="28"/>
        </w:rPr>
        <w:t>7</w:t>
      </w:r>
      <w:r w:rsidRPr="005675B7">
        <w:rPr>
          <w:bCs/>
          <w:sz w:val="28"/>
          <w:szCs w:val="28"/>
        </w:rPr>
        <w:t> млн.грн.</w:t>
      </w:r>
      <w:r w:rsidR="005675B7" w:rsidRPr="005675B7">
        <w:rPr>
          <w:bCs/>
          <w:sz w:val="28"/>
          <w:szCs w:val="28"/>
        </w:rPr>
        <w:t>,</w:t>
      </w:r>
      <w:r w:rsidRPr="005675B7">
        <w:rPr>
          <w:bCs/>
          <w:sz w:val="28"/>
          <w:szCs w:val="28"/>
        </w:rPr>
        <w:t xml:space="preserve"> за рахунок коштів бюджету міста</w:t>
      </w:r>
      <w:r w:rsidR="00EF45A7" w:rsidRPr="005675B7">
        <w:rPr>
          <w:bCs/>
          <w:sz w:val="28"/>
          <w:szCs w:val="28"/>
        </w:rPr>
        <w:t xml:space="preserve"> - </w:t>
      </w:r>
      <w:r w:rsidRPr="005675B7">
        <w:rPr>
          <w:bCs/>
          <w:sz w:val="28"/>
          <w:szCs w:val="28"/>
        </w:rPr>
        <w:t>473,7 млн.грн. або 35,8% обсягу витрат за загальним фондом.</w:t>
      </w:r>
    </w:p>
    <w:p w:rsidR="005237D0" w:rsidRPr="000122BB" w:rsidRDefault="00951707" w:rsidP="005237D0">
      <w:pPr>
        <w:pStyle w:val="21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заробітну плату з нарахуваннями використано 937,6 млн.грн. </w:t>
      </w:r>
      <w:r w:rsidR="005237D0" w:rsidRPr="000122BB">
        <w:rPr>
          <w:bCs/>
          <w:sz w:val="28"/>
          <w:szCs w:val="28"/>
        </w:rPr>
        <w:t xml:space="preserve">Середня заробітна плата </w:t>
      </w:r>
      <w:r w:rsidR="00795D27">
        <w:rPr>
          <w:bCs/>
          <w:sz w:val="28"/>
          <w:szCs w:val="28"/>
        </w:rPr>
        <w:t>лікаря</w:t>
      </w:r>
      <w:r w:rsidR="005237D0" w:rsidRPr="000122BB">
        <w:rPr>
          <w:bCs/>
          <w:sz w:val="28"/>
          <w:szCs w:val="28"/>
        </w:rPr>
        <w:t xml:space="preserve"> </w:t>
      </w:r>
      <w:r w:rsidR="005237D0" w:rsidRPr="00795D27">
        <w:rPr>
          <w:bCs/>
          <w:sz w:val="28"/>
          <w:szCs w:val="28"/>
        </w:rPr>
        <w:t xml:space="preserve">склала </w:t>
      </w:r>
      <w:r w:rsidR="00795D27" w:rsidRPr="00795D27">
        <w:rPr>
          <w:bCs/>
          <w:sz w:val="28"/>
          <w:szCs w:val="28"/>
        </w:rPr>
        <w:t>6</w:t>
      </w:r>
      <w:r w:rsidR="00B300D3" w:rsidRPr="00795D27">
        <w:rPr>
          <w:bCs/>
          <w:sz w:val="28"/>
          <w:szCs w:val="28"/>
        </w:rPr>
        <w:t> </w:t>
      </w:r>
      <w:r w:rsidR="00795D27" w:rsidRPr="00795D27">
        <w:rPr>
          <w:bCs/>
          <w:sz w:val="28"/>
          <w:szCs w:val="28"/>
        </w:rPr>
        <w:t>731</w:t>
      </w:r>
      <w:r w:rsidR="00B300D3" w:rsidRPr="00795D27">
        <w:rPr>
          <w:bCs/>
          <w:sz w:val="28"/>
          <w:szCs w:val="28"/>
        </w:rPr>
        <w:t> </w:t>
      </w:r>
      <w:r w:rsidR="005237D0" w:rsidRPr="00795D27">
        <w:rPr>
          <w:bCs/>
          <w:sz w:val="28"/>
          <w:szCs w:val="28"/>
        </w:rPr>
        <w:t xml:space="preserve">грн., що на </w:t>
      </w:r>
      <w:r w:rsidR="005237D0" w:rsidRPr="00A82462">
        <w:rPr>
          <w:bCs/>
          <w:sz w:val="28"/>
          <w:szCs w:val="28"/>
        </w:rPr>
        <w:t>1</w:t>
      </w:r>
      <w:r w:rsidR="00A82462" w:rsidRPr="00A82462">
        <w:rPr>
          <w:bCs/>
          <w:sz w:val="28"/>
          <w:szCs w:val="28"/>
        </w:rPr>
        <w:t>2</w:t>
      </w:r>
      <w:r w:rsidR="005237D0" w:rsidRPr="00A82462">
        <w:rPr>
          <w:bCs/>
          <w:sz w:val="28"/>
          <w:szCs w:val="28"/>
        </w:rPr>
        <w:t>% перевищує</w:t>
      </w:r>
      <w:r w:rsidR="005237D0" w:rsidRPr="000122BB">
        <w:rPr>
          <w:bCs/>
          <w:sz w:val="28"/>
          <w:szCs w:val="28"/>
        </w:rPr>
        <w:t xml:space="preserve"> показник попереднього року.</w:t>
      </w:r>
    </w:p>
    <w:p w:rsidR="005237D0" w:rsidRPr="000122BB" w:rsidRDefault="005237D0" w:rsidP="005237D0">
      <w:pPr>
        <w:pStyle w:val="21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122BB">
        <w:rPr>
          <w:bCs/>
          <w:sz w:val="28"/>
          <w:szCs w:val="28"/>
        </w:rPr>
        <w:t>Видатки на медикаменти проведені в обсязі 126,3</w:t>
      </w:r>
      <w:r w:rsidR="00B300D3">
        <w:rPr>
          <w:bCs/>
          <w:sz w:val="28"/>
          <w:szCs w:val="28"/>
        </w:rPr>
        <w:t> </w:t>
      </w:r>
      <w:r w:rsidRPr="000122BB">
        <w:rPr>
          <w:bCs/>
          <w:sz w:val="28"/>
          <w:szCs w:val="28"/>
        </w:rPr>
        <w:t>млн.грн., в тому числі за рахунок власних надходжень – 38,0 млн.грн. На придбання продуктів харчування спрямовано 14,1 млн.грн. (за рахунок вла</w:t>
      </w:r>
      <w:r w:rsidR="00F27A95">
        <w:rPr>
          <w:bCs/>
          <w:sz w:val="28"/>
          <w:szCs w:val="28"/>
        </w:rPr>
        <w:t>сних надходжень – 1,5 млн.грн.).</w:t>
      </w:r>
    </w:p>
    <w:p w:rsidR="005237D0" w:rsidRPr="0058263D" w:rsidRDefault="005237D0" w:rsidP="005237D0">
      <w:pPr>
        <w:pStyle w:val="21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0122BB">
        <w:rPr>
          <w:bCs/>
          <w:sz w:val="28"/>
          <w:szCs w:val="28"/>
        </w:rPr>
        <w:t>Послугами по зубопротезуванню на пільгових умовах скористалось 1,0 </w:t>
      </w:r>
      <w:proofErr w:type="spellStart"/>
      <w:r w:rsidRPr="000122BB">
        <w:rPr>
          <w:bCs/>
          <w:sz w:val="28"/>
          <w:szCs w:val="28"/>
        </w:rPr>
        <w:t>тис.осіб</w:t>
      </w:r>
      <w:proofErr w:type="spellEnd"/>
      <w:r w:rsidRPr="000122BB">
        <w:rPr>
          <w:bCs/>
          <w:sz w:val="28"/>
          <w:szCs w:val="28"/>
        </w:rPr>
        <w:t>. В цілому на забезпечення пільгового зубопротезування та придбання пільгових медикаментів спрямовано 73,5 млн.грн., в тому числі за рахунок коштів субвенції з місцевого бюджету на відшкодування вартості лікарських засобів для лікування окремих захворювань за рахунок відповідної</w:t>
      </w:r>
      <w:r w:rsidRPr="000122BB">
        <w:rPr>
          <w:sz w:val="28"/>
          <w:szCs w:val="28"/>
          <w:lang w:eastAsia="ar-SA"/>
        </w:rPr>
        <w:t xml:space="preserve"> </w:t>
      </w:r>
      <w:r w:rsidRPr="000122BB">
        <w:rPr>
          <w:bCs/>
          <w:sz w:val="28"/>
          <w:szCs w:val="28"/>
        </w:rPr>
        <w:t>субвенції з державного бюджету</w:t>
      </w:r>
      <w:r w:rsidRPr="0058263D">
        <w:rPr>
          <w:bCs/>
          <w:color w:val="000000" w:themeColor="text1"/>
          <w:sz w:val="28"/>
          <w:szCs w:val="28"/>
        </w:rPr>
        <w:t xml:space="preserve"> – 20,7</w:t>
      </w:r>
      <w:r w:rsidR="00B300D3">
        <w:rPr>
          <w:bCs/>
          <w:color w:val="000000" w:themeColor="text1"/>
          <w:sz w:val="28"/>
          <w:szCs w:val="28"/>
        </w:rPr>
        <w:t> </w:t>
      </w:r>
      <w:r w:rsidRPr="0058263D">
        <w:rPr>
          <w:bCs/>
          <w:color w:val="000000" w:themeColor="text1"/>
          <w:sz w:val="28"/>
          <w:szCs w:val="28"/>
        </w:rPr>
        <w:t>млн.грн.</w:t>
      </w:r>
    </w:p>
    <w:p w:rsidR="005237D0" w:rsidRPr="0058263D" w:rsidRDefault="005237D0" w:rsidP="005237D0">
      <w:pPr>
        <w:pStyle w:val="2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58263D">
        <w:rPr>
          <w:bCs/>
          <w:color w:val="000000" w:themeColor="text1"/>
          <w:sz w:val="28"/>
          <w:szCs w:val="28"/>
        </w:rPr>
        <w:t>Видатки розвитку проведені на загальну суму 100,9 млн.грн., з яких на:</w:t>
      </w:r>
    </w:p>
    <w:p w:rsidR="005237D0" w:rsidRPr="0058263D" w:rsidRDefault="005237D0" w:rsidP="005237D0">
      <w:pPr>
        <w:pStyle w:val="21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58263D">
        <w:rPr>
          <w:bCs/>
          <w:color w:val="000000" w:themeColor="text1"/>
          <w:sz w:val="28"/>
          <w:szCs w:val="28"/>
        </w:rPr>
        <w:t>оновлення обладнання і медичної техніки – 68,6 млн.грн., в тому числі за рахунок коштів бюджету розвитку – 63,5 млн.грн.</w:t>
      </w:r>
      <w:r w:rsidR="00F27A95">
        <w:rPr>
          <w:bCs/>
          <w:color w:val="000000" w:themeColor="text1"/>
          <w:sz w:val="28"/>
          <w:szCs w:val="28"/>
        </w:rPr>
        <w:t>, зокрема, п</w:t>
      </w:r>
      <w:r w:rsidRPr="0058263D">
        <w:rPr>
          <w:bCs/>
          <w:color w:val="000000" w:themeColor="text1"/>
          <w:sz w:val="28"/>
          <w:szCs w:val="28"/>
        </w:rPr>
        <w:t>ридбано 16 апаратів штучної вентиляції легенів, 8</w:t>
      </w:r>
      <w:r w:rsidR="00EA1FA5">
        <w:rPr>
          <w:bCs/>
          <w:color w:val="000000" w:themeColor="text1"/>
          <w:sz w:val="28"/>
          <w:szCs w:val="28"/>
        </w:rPr>
        <w:t>9</w:t>
      </w:r>
      <w:r w:rsidRPr="0058263D">
        <w:rPr>
          <w:bCs/>
          <w:color w:val="000000" w:themeColor="text1"/>
          <w:sz w:val="28"/>
          <w:szCs w:val="28"/>
        </w:rPr>
        <w:t xml:space="preserve"> моніторів</w:t>
      </w:r>
      <w:r w:rsidR="005632A2" w:rsidRPr="0058263D">
        <w:rPr>
          <w:bCs/>
          <w:color w:val="000000" w:themeColor="text1"/>
          <w:sz w:val="28"/>
          <w:szCs w:val="28"/>
        </w:rPr>
        <w:t xml:space="preserve"> пацієнта для відділен</w:t>
      </w:r>
      <w:r w:rsidR="00B300D3">
        <w:rPr>
          <w:bCs/>
          <w:color w:val="000000" w:themeColor="text1"/>
          <w:sz w:val="28"/>
          <w:szCs w:val="28"/>
        </w:rPr>
        <w:t>ь</w:t>
      </w:r>
      <w:r w:rsidR="005632A2" w:rsidRPr="0058263D">
        <w:rPr>
          <w:bCs/>
          <w:color w:val="000000" w:themeColor="text1"/>
          <w:sz w:val="28"/>
          <w:szCs w:val="28"/>
        </w:rPr>
        <w:t xml:space="preserve"> реаніма</w:t>
      </w:r>
      <w:r w:rsidRPr="0058263D">
        <w:rPr>
          <w:bCs/>
          <w:color w:val="000000" w:themeColor="text1"/>
          <w:sz w:val="28"/>
          <w:szCs w:val="28"/>
        </w:rPr>
        <w:t xml:space="preserve">цій та інтенсивної терапії, 2 діагностичних ультразвукових апарати, </w:t>
      </w:r>
      <w:r w:rsidR="001102E3">
        <w:rPr>
          <w:bCs/>
          <w:color w:val="000000" w:themeColor="text1"/>
          <w:sz w:val="28"/>
          <w:szCs w:val="28"/>
        </w:rPr>
        <w:t xml:space="preserve">                </w:t>
      </w:r>
      <w:r w:rsidRPr="0058263D">
        <w:rPr>
          <w:bCs/>
          <w:color w:val="000000" w:themeColor="text1"/>
          <w:sz w:val="28"/>
          <w:szCs w:val="28"/>
        </w:rPr>
        <w:t xml:space="preserve">2 рентгенівські системи, комп’ютерний томограф, </w:t>
      </w:r>
      <w:proofErr w:type="spellStart"/>
      <w:r w:rsidRPr="0058263D">
        <w:rPr>
          <w:bCs/>
          <w:color w:val="000000" w:themeColor="text1"/>
          <w:sz w:val="28"/>
          <w:szCs w:val="28"/>
        </w:rPr>
        <w:t>відеоендоскопічний</w:t>
      </w:r>
      <w:proofErr w:type="spellEnd"/>
      <w:r w:rsidRPr="0058263D">
        <w:rPr>
          <w:bCs/>
          <w:color w:val="000000" w:themeColor="text1"/>
          <w:sz w:val="28"/>
          <w:szCs w:val="28"/>
        </w:rPr>
        <w:t xml:space="preserve"> комплекс для </w:t>
      </w:r>
      <w:proofErr w:type="spellStart"/>
      <w:r w:rsidRPr="0058263D">
        <w:rPr>
          <w:bCs/>
          <w:color w:val="000000" w:themeColor="text1"/>
          <w:sz w:val="28"/>
          <w:szCs w:val="28"/>
        </w:rPr>
        <w:t>малоінвазивних</w:t>
      </w:r>
      <w:proofErr w:type="spellEnd"/>
      <w:r w:rsidRPr="0058263D">
        <w:rPr>
          <w:bCs/>
          <w:color w:val="000000" w:themeColor="text1"/>
          <w:sz w:val="28"/>
          <w:szCs w:val="28"/>
        </w:rPr>
        <w:t xml:space="preserve"> операцій в урології, </w:t>
      </w:r>
      <w:proofErr w:type="spellStart"/>
      <w:r w:rsidRPr="0058263D">
        <w:rPr>
          <w:bCs/>
          <w:color w:val="000000" w:themeColor="text1"/>
          <w:sz w:val="28"/>
          <w:szCs w:val="28"/>
        </w:rPr>
        <w:t>гольмієвий</w:t>
      </w:r>
      <w:proofErr w:type="spellEnd"/>
      <w:r w:rsidRPr="0058263D">
        <w:rPr>
          <w:bCs/>
          <w:color w:val="000000" w:themeColor="text1"/>
          <w:sz w:val="28"/>
          <w:szCs w:val="28"/>
        </w:rPr>
        <w:t xml:space="preserve"> лазер, ендоскопічне обладнання для проведення отоларинголог</w:t>
      </w:r>
      <w:r w:rsidR="00F27A95">
        <w:rPr>
          <w:bCs/>
          <w:color w:val="000000" w:themeColor="text1"/>
          <w:sz w:val="28"/>
          <w:szCs w:val="28"/>
        </w:rPr>
        <w:t>ічних оперативних втручань тощо</w:t>
      </w:r>
      <w:r w:rsidRPr="0058263D">
        <w:rPr>
          <w:bCs/>
          <w:color w:val="000000" w:themeColor="text1"/>
          <w:sz w:val="28"/>
          <w:szCs w:val="28"/>
        </w:rPr>
        <w:t>;</w:t>
      </w:r>
    </w:p>
    <w:p w:rsidR="005237D0" w:rsidRPr="0058263D" w:rsidRDefault="005237D0" w:rsidP="005237D0">
      <w:pPr>
        <w:pStyle w:val="21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58263D">
        <w:rPr>
          <w:bCs/>
          <w:color w:val="000000" w:themeColor="text1"/>
          <w:sz w:val="28"/>
          <w:szCs w:val="28"/>
        </w:rPr>
        <w:t xml:space="preserve">ремонті </w:t>
      </w:r>
      <w:r w:rsidR="00F27A95">
        <w:rPr>
          <w:bCs/>
          <w:color w:val="000000" w:themeColor="text1"/>
          <w:sz w:val="28"/>
          <w:szCs w:val="28"/>
        </w:rPr>
        <w:t xml:space="preserve">та будівельні </w:t>
      </w:r>
      <w:r w:rsidRPr="0058263D">
        <w:rPr>
          <w:bCs/>
          <w:color w:val="000000" w:themeColor="text1"/>
          <w:sz w:val="28"/>
          <w:szCs w:val="28"/>
        </w:rPr>
        <w:t xml:space="preserve">роботи – </w:t>
      </w:r>
      <w:r w:rsidR="00F27A95">
        <w:rPr>
          <w:bCs/>
          <w:color w:val="000000" w:themeColor="text1"/>
          <w:sz w:val="28"/>
          <w:szCs w:val="28"/>
        </w:rPr>
        <w:t>32,3</w:t>
      </w:r>
      <w:r w:rsidRPr="0058263D">
        <w:rPr>
          <w:bCs/>
          <w:color w:val="000000" w:themeColor="text1"/>
          <w:sz w:val="28"/>
          <w:szCs w:val="28"/>
        </w:rPr>
        <w:t xml:space="preserve"> млн.грн., з яких в частині бюджету розвитку – </w:t>
      </w:r>
      <w:r w:rsidR="00F27A95">
        <w:rPr>
          <w:bCs/>
          <w:color w:val="000000" w:themeColor="text1"/>
          <w:sz w:val="28"/>
          <w:szCs w:val="28"/>
        </w:rPr>
        <w:t>30,8</w:t>
      </w:r>
      <w:r w:rsidRPr="0058263D">
        <w:rPr>
          <w:bCs/>
          <w:color w:val="000000" w:themeColor="text1"/>
          <w:sz w:val="28"/>
          <w:szCs w:val="28"/>
        </w:rPr>
        <w:t> млн.грн.</w:t>
      </w:r>
    </w:p>
    <w:p w:rsidR="00F27A95" w:rsidRPr="00F27A95" w:rsidRDefault="00F27A95" w:rsidP="00996589">
      <w:pPr>
        <w:pStyle w:val="a3"/>
        <w:tabs>
          <w:tab w:val="left" w:pos="1965"/>
          <w:tab w:val="center" w:pos="5173"/>
        </w:tabs>
        <w:ind w:firstLine="709"/>
        <w:contextualSpacing/>
        <w:jc w:val="center"/>
        <w:rPr>
          <w:b/>
          <w:bCs/>
          <w:color w:val="000000" w:themeColor="text1"/>
          <w:sz w:val="16"/>
          <w:szCs w:val="16"/>
          <w:lang w:val="ru-RU"/>
        </w:rPr>
      </w:pPr>
    </w:p>
    <w:p w:rsidR="00996589" w:rsidRPr="00E243E1" w:rsidRDefault="00996589" w:rsidP="00996589">
      <w:pPr>
        <w:pStyle w:val="a3"/>
        <w:tabs>
          <w:tab w:val="left" w:pos="1965"/>
          <w:tab w:val="center" w:pos="5173"/>
        </w:tabs>
        <w:ind w:firstLine="709"/>
        <w:contextualSpacing/>
        <w:jc w:val="center"/>
        <w:rPr>
          <w:b/>
          <w:bCs/>
          <w:color w:val="000000" w:themeColor="text1"/>
        </w:rPr>
      </w:pPr>
      <w:r w:rsidRPr="00E243E1">
        <w:rPr>
          <w:b/>
          <w:bCs/>
          <w:color w:val="000000" w:themeColor="text1"/>
          <w:lang w:val="ru-RU"/>
        </w:rPr>
        <w:t xml:space="preserve">Культура </w:t>
      </w:r>
      <w:r w:rsidRPr="00E243E1">
        <w:rPr>
          <w:b/>
          <w:bCs/>
          <w:color w:val="000000" w:themeColor="text1"/>
        </w:rPr>
        <w:t>і мистецтво</w:t>
      </w:r>
    </w:p>
    <w:p w:rsidR="00996589" w:rsidRPr="00B300D3" w:rsidRDefault="00996589" w:rsidP="00996589">
      <w:pPr>
        <w:pStyle w:val="a3"/>
        <w:tabs>
          <w:tab w:val="left" w:pos="1965"/>
          <w:tab w:val="center" w:pos="5173"/>
        </w:tabs>
        <w:ind w:firstLine="709"/>
        <w:contextualSpacing/>
        <w:jc w:val="center"/>
        <w:rPr>
          <w:b/>
          <w:bCs/>
          <w:color w:val="000000" w:themeColor="text1"/>
          <w:sz w:val="20"/>
          <w:szCs w:val="20"/>
          <w:lang w:val="ru-RU"/>
        </w:rPr>
      </w:pPr>
    </w:p>
    <w:p w:rsidR="00996589" w:rsidRPr="00A43ADE" w:rsidRDefault="00996589" w:rsidP="00996589">
      <w:pPr>
        <w:ind w:firstLine="709"/>
        <w:jc w:val="both"/>
        <w:rPr>
          <w:sz w:val="28"/>
          <w:szCs w:val="28"/>
        </w:rPr>
      </w:pPr>
      <w:r w:rsidRPr="00E243E1">
        <w:rPr>
          <w:color w:val="000000" w:themeColor="text1"/>
          <w:sz w:val="28"/>
          <w:szCs w:val="28"/>
        </w:rPr>
        <w:t xml:space="preserve">Видатки на галузь </w:t>
      </w:r>
      <w:r w:rsidRPr="00A43ADE">
        <w:rPr>
          <w:sz w:val="28"/>
          <w:szCs w:val="28"/>
        </w:rPr>
        <w:t>проведені в сумі 79,1 млн.грн., що становить 98,</w:t>
      </w:r>
      <w:r w:rsidR="008855F1" w:rsidRPr="00A43ADE">
        <w:rPr>
          <w:sz w:val="28"/>
          <w:szCs w:val="28"/>
        </w:rPr>
        <w:t>5</w:t>
      </w:r>
      <w:r w:rsidRPr="00A43ADE">
        <w:rPr>
          <w:sz w:val="28"/>
          <w:szCs w:val="28"/>
        </w:rPr>
        <w:t>% планових показників.</w:t>
      </w:r>
    </w:p>
    <w:p w:rsidR="00996589" w:rsidRPr="00A43ADE" w:rsidRDefault="00951707" w:rsidP="00996589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На заробітну плату з нарахуваннями профінансовано 43,5 млн.грн. </w:t>
      </w:r>
      <w:r w:rsidR="00FA7C98" w:rsidRPr="00A43ADE">
        <w:rPr>
          <w:sz w:val="28"/>
          <w:szCs w:val="28"/>
        </w:rPr>
        <w:t xml:space="preserve">Середня </w:t>
      </w:r>
      <w:r w:rsidR="00996589" w:rsidRPr="00A43ADE">
        <w:rPr>
          <w:sz w:val="28"/>
          <w:szCs w:val="28"/>
        </w:rPr>
        <w:t>заробітна плата по галузі склала 5</w:t>
      </w:r>
      <w:r w:rsidR="00A43ADE">
        <w:rPr>
          <w:sz w:val="28"/>
          <w:szCs w:val="28"/>
        </w:rPr>
        <w:t> </w:t>
      </w:r>
      <w:r w:rsidR="00996589" w:rsidRPr="00A43ADE">
        <w:rPr>
          <w:sz w:val="28"/>
          <w:szCs w:val="28"/>
        </w:rPr>
        <w:t>818</w:t>
      </w:r>
      <w:r w:rsidR="00A43ADE">
        <w:rPr>
          <w:sz w:val="28"/>
          <w:szCs w:val="28"/>
        </w:rPr>
        <w:t> </w:t>
      </w:r>
      <w:r w:rsidR="00996589" w:rsidRPr="00A43ADE">
        <w:rPr>
          <w:sz w:val="28"/>
          <w:szCs w:val="28"/>
        </w:rPr>
        <w:t>грн. зі зростанням проти попереднього року на 11%.</w:t>
      </w:r>
    </w:p>
    <w:p w:rsidR="00996589" w:rsidRPr="00A43ADE" w:rsidRDefault="00996589" w:rsidP="00996589">
      <w:pPr>
        <w:pStyle w:val="21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A43ADE">
        <w:rPr>
          <w:sz w:val="28"/>
          <w:szCs w:val="28"/>
          <w:lang w:eastAsia="ar-SA"/>
        </w:rPr>
        <w:t xml:space="preserve">Капітальні видатки по галузі проведені в обсязі 6,8 млн.грн., що майже вдвічі більше рівня </w:t>
      </w:r>
      <w:r w:rsidR="0000714D">
        <w:rPr>
          <w:sz w:val="28"/>
          <w:szCs w:val="28"/>
          <w:lang w:eastAsia="ar-SA"/>
        </w:rPr>
        <w:t>попереднього</w:t>
      </w:r>
      <w:r w:rsidRPr="00A43ADE">
        <w:rPr>
          <w:sz w:val="28"/>
          <w:szCs w:val="28"/>
          <w:lang w:eastAsia="ar-SA"/>
        </w:rPr>
        <w:t xml:space="preserve"> року (у </w:t>
      </w:r>
      <w:proofErr w:type="spellStart"/>
      <w:r w:rsidRPr="00A43ADE">
        <w:rPr>
          <w:sz w:val="28"/>
          <w:szCs w:val="28"/>
          <w:lang w:eastAsia="ar-SA"/>
        </w:rPr>
        <w:t>співставних</w:t>
      </w:r>
      <w:proofErr w:type="spellEnd"/>
      <w:r w:rsidRPr="00A43ADE">
        <w:rPr>
          <w:sz w:val="28"/>
          <w:szCs w:val="28"/>
          <w:lang w:eastAsia="ar-SA"/>
        </w:rPr>
        <w:t xml:space="preserve"> умовах). </w:t>
      </w:r>
    </w:p>
    <w:p w:rsidR="004A03D1" w:rsidRPr="00A43ADE" w:rsidRDefault="004A03D1" w:rsidP="004A03D1">
      <w:pPr>
        <w:pStyle w:val="25"/>
        <w:spacing w:after="0" w:line="240" w:lineRule="auto"/>
        <w:ind w:firstLine="708"/>
        <w:jc w:val="both"/>
        <w:rPr>
          <w:sz w:val="28"/>
          <w:szCs w:val="28"/>
        </w:rPr>
      </w:pPr>
      <w:r w:rsidRPr="00A43ADE">
        <w:rPr>
          <w:sz w:val="28"/>
          <w:szCs w:val="28"/>
        </w:rPr>
        <w:t>Видатки на розв</w:t>
      </w:r>
      <w:r w:rsidR="00E243E1" w:rsidRPr="00A43ADE">
        <w:rPr>
          <w:sz w:val="28"/>
          <w:szCs w:val="28"/>
        </w:rPr>
        <w:t>иток туризму у місті склали 4,9 млн</w:t>
      </w:r>
      <w:r w:rsidRPr="00A43ADE">
        <w:rPr>
          <w:sz w:val="28"/>
          <w:szCs w:val="28"/>
        </w:rPr>
        <w:t xml:space="preserve">.грн. або 94,1% плану. </w:t>
      </w:r>
    </w:p>
    <w:p w:rsidR="00CD4931" w:rsidRDefault="00CD4931" w:rsidP="00F53253">
      <w:pPr>
        <w:pStyle w:val="ad"/>
        <w:contextualSpacing/>
        <w:rPr>
          <w:sz w:val="20"/>
          <w:szCs w:val="20"/>
        </w:rPr>
      </w:pPr>
    </w:p>
    <w:p w:rsidR="00063880" w:rsidRDefault="00063880" w:rsidP="00F53253">
      <w:pPr>
        <w:pStyle w:val="ad"/>
        <w:contextualSpacing/>
        <w:rPr>
          <w:sz w:val="20"/>
          <w:szCs w:val="20"/>
        </w:rPr>
      </w:pPr>
    </w:p>
    <w:p w:rsidR="00063880" w:rsidRDefault="00063880" w:rsidP="00F53253">
      <w:pPr>
        <w:pStyle w:val="ad"/>
        <w:contextualSpacing/>
        <w:rPr>
          <w:sz w:val="20"/>
          <w:szCs w:val="20"/>
        </w:rPr>
      </w:pPr>
    </w:p>
    <w:p w:rsidR="00F53253" w:rsidRPr="00A43ADE" w:rsidRDefault="00F53253" w:rsidP="00F53253">
      <w:pPr>
        <w:pStyle w:val="ad"/>
        <w:contextualSpacing/>
      </w:pPr>
      <w:r w:rsidRPr="00A43ADE">
        <w:lastRenderedPageBreak/>
        <w:t>Фізична культура і спорт</w:t>
      </w:r>
    </w:p>
    <w:p w:rsidR="00F53253" w:rsidRPr="003E420B" w:rsidRDefault="00F53253" w:rsidP="00F53253">
      <w:pPr>
        <w:pStyle w:val="ad"/>
        <w:ind w:firstLine="709"/>
        <w:contextualSpacing/>
        <w:jc w:val="both"/>
        <w:rPr>
          <w:b w:val="0"/>
          <w:sz w:val="20"/>
          <w:szCs w:val="20"/>
        </w:rPr>
      </w:pPr>
    </w:p>
    <w:p w:rsidR="00F53253" w:rsidRPr="00A43ADE" w:rsidRDefault="00F53253" w:rsidP="00F53253">
      <w:pPr>
        <w:pStyle w:val="ad"/>
        <w:ind w:firstLine="709"/>
        <w:contextualSpacing/>
        <w:jc w:val="both"/>
        <w:rPr>
          <w:b w:val="0"/>
        </w:rPr>
      </w:pPr>
      <w:r w:rsidRPr="00A43ADE">
        <w:rPr>
          <w:b w:val="0"/>
        </w:rPr>
        <w:t>На галузь із бюджету міста спрямовано 99,7 млн.грн., в тому числі за загальним фондом – 89,7 млн.грн. або 99,6% планових показників, спеціальним фондом – 10,0 млн.грн. або 98,0% кошторисних призначень на рік з урахуванням змін, з яких видатки розвитку – 8,5 млн.грн. На заробітну плату з нарахуваннями (20 ДЮСШ, 4 бюджетні установи спортивного спрямування) витрачено 49,9 млн.грн., що становить 50,1% загального обсягу видатків на галузь, фінансову підтримку спортивних споруд – 22,3 млн.грн., організацію спортивно-масових заходів, проведення навчально-тренувальних зборів, відрядження на змагання та оренду приміщень – 7,9 млн.грн., оплату комунальних послуг та енергоносіїв – 7,1 млн.грн., оснащення – 2,8 млн.грн. та інші – 1,2 млн.грн.</w:t>
      </w:r>
    </w:p>
    <w:p w:rsidR="00F27A95" w:rsidRDefault="00F53253" w:rsidP="00F53253">
      <w:pPr>
        <w:pStyle w:val="ad"/>
        <w:ind w:firstLine="567"/>
        <w:contextualSpacing/>
        <w:jc w:val="both"/>
        <w:rPr>
          <w:b w:val="0"/>
        </w:rPr>
      </w:pPr>
      <w:r w:rsidRPr="00A43ADE">
        <w:rPr>
          <w:b w:val="0"/>
        </w:rPr>
        <w:t>За рахунок коштів бюджету розвитку придбано обладнання та предметів довгострокового користування на суму 7,0 млн.грн.</w:t>
      </w:r>
      <w:r w:rsidR="00F27A95">
        <w:rPr>
          <w:b w:val="0"/>
        </w:rPr>
        <w:t>, проведено капітальні ремонти на суму 1,0 млн.грн.</w:t>
      </w:r>
    </w:p>
    <w:p w:rsidR="00E34313" w:rsidRPr="003E420B" w:rsidRDefault="00E34313" w:rsidP="001428DA">
      <w:pPr>
        <w:contextualSpacing/>
        <w:rPr>
          <w:b/>
        </w:rPr>
      </w:pPr>
    </w:p>
    <w:p w:rsidR="00EE71C1" w:rsidRPr="003E420B" w:rsidRDefault="00EE71C1" w:rsidP="00EE71C1">
      <w:pPr>
        <w:pStyle w:val="a3"/>
        <w:tabs>
          <w:tab w:val="left" w:pos="1965"/>
          <w:tab w:val="center" w:pos="5173"/>
        </w:tabs>
        <w:ind w:firstLine="709"/>
        <w:contextualSpacing/>
        <w:jc w:val="center"/>
        <w:rPr>
          <w:b/>
          <w:bCs/>
        </w:rPr>
      </w:pPr>
      <w:r w:rsidRPr="003E420B">
        <w:rPr>
          <w:b/>
          <w:bCs/>
        </w:rPr>
        <w:t>Соціальний захист, соціальне забезпечення</w:t>
      </w:r>
    </w:p>
    <w:p w:rsidR="00EE71C1" w:rsidRPr="003E420B" w:rsidRDefault="00EE71C1" w:rsidP="00EE71C1">
      <w:pPr>
        <w:pStyle w:val="a3"/>
        <w:tabs>
          <w:tab w:val="left" w:pos="1965"/>
          <w:tab w:val="center" w:pos="5173"/>
        </w:tabs>
        <w:ind w:firstLine="709"/>
        <w:contextualSpacing/>
        <w:jc w:val="center"/>
        <w:rPr>
          <w:b/>
          <w:bCs/>
          <w:sz w:val="20"/>
          <w:szCs w:val="20"/>
        </w:rPr>
      </w:pPr>
    </w:p>
    <w:p w:rsidR="00553ABE" w:rsidRPr="003E420B" w:rsidRDefault="00553ABE" w:rsidP="00553ABE">
      <w:pPr>
        <w:ind w:firstLine="709"/>
        <w:jc w:val="both"/>
        <w:rPr>
          <w:bCs/>
          <w:sz w:val="28"/>
          <w:szCs w:val="28"/>
        </w:rPr>
      </w:pPr>
      <w:r w:rsidRPr="003E420B">
        <w:rPr>
          <w:bCs/>
          <w:sz w:val="28"/>
          <w:szCs w:val="28"/>
        </w:rPr>
        <w:t>В цілому за звітний період видатки на соціальний захист, соціальне забезпечення та компенсацію пільгового проїзду окремих категор</w:t>
      </w:r>
      <w:r w:rsidR="00E243E1" w:rsidRPr="003E420B">
        <w:rPr>
          <w:bCs/>
          <w:sz w:val="28"/>
          <w:szCs w:val="28"/>
        </w:rPr>
        <w:t xml:space="preserve">ій громадян проведені в обсязі </w:t>
      </w:r>
      <w:r w:rsidRPr="003E420B">
        <w:rPr>
          <w:bCs/>
          <w:sz w:val="28"/>
          <w:szCs w:val="28"/>
        </w:rPr>
        <w:t>2 002,7 млн.грн., з яких за рахунок відповідних субвенцій з державного бюджету – 1 769,9</w:t>
      </w:r>
      <w:r w:rsidR="003E420B">
        <w:rPr>
          <w:bCs/>
          <w:sz w:val="28"/>
          <w:szCs w:val="28"/>
        </w:rPr>
        <w:t> </w:t>
      </w:r>
      <w:r w:rsidRPr="003E420B">
        <w:rPr>
          <w:bCs/>
          <w:sz w:val="28"/>
          <w:szCs w:val="28"/>
        </w:rPr>
        <w:t xml:space="preserve">млн.грн., що складає 97,1% планових призначень. </w:t>
      </w:r>
    </w:p>
    <w:p w:rsidR="002026EA" w:rsidRDefault="00553ABE" w:rsidP="00553ABE">
      <w:pPr>
        <w:pStyle w:val="justifyfull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E420B">
        <w:rPr>
          <w:sz w:val="28"/>
          <w:szCs w:val="28"/>
          <w:lang w:val="uk-UA"/>
        </w:rPr>
        <w:t>Кошти субвенції</w:t>
      </w:r>
      <w:r w:rsidRPr="001F79E5">
        <w:rPr>
          <w:sz w:val="28"/>
          <w:szCs w:val="28"/>
          <w:lang w:val="uk-UA"/>
        </w:rPr>
        <w:t xml:space="preserve"> </w:t>
      </w:r>
      <w:r w:rsidR="002026EA">
        <w:rPr>
          <w:sz w:val="28"/>
          <w:szCs w:val="28"/>
          <w:lang w:val="uk-UA"/>
        </w:rPr>
        <w:t>спрямовані на надання:</w:t>
      </w:r>
    </w:p>
    <w:p w:rsidR="002026EA" w:rsidRDefault="00553ABE" w:rsidP="002026EA">
      <w:pPr>
        <w:pStyle w:val="justifyfull"/>
        <w:numPr>
          <w:ilvl w:val="0"/>
          <w:numId w:val="22"/>
        </w:numPr>
        <w:spacing w:before="0" w:beforeAutospacing="0" w:after="0" w:afterAutospacing="0"/>
        <w:ind w:left="0" w:firstLine="1068"/>
        <w:jc w:val="both"/>
        <w:rPr>
          <w:sz w:val="28"/>
          <w:szCs w:val="28"/>
          <w:lang w:val="uk-UA"/>
        </w:rPr>
      </w:pPr>
      <w:r w:rsidRPr="001F79E5">
        <w:rPr>
          <w:sz w:val="28"/>
          <w:szCs w:val="28"/>
          <w:lang w:val="uk-UA"/>
        </w:rPr>
        <w:t xml:space="preserve">пільг і </w:t>
      </w:r>
      <w:r>
        <w:rPr>
          <w:sz w:val="28"/>
          <w:szCs w:val="28"/>
          <w:lang w:val="uk-UA"/>
        </w:rPr>
        <w:t xml:space="preserve">житлових </w:t>
      </w:r>
      <w:r w:rsidRPr="001F79E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убсидій населенню</w:t>
      </w:r>
      <w:r w:rsidR="00E34313" w:rsidRPr="00E34313">
        <w:rPr>
          <w:bCs/>
          <w:sz w:val="28"/>
          <w:szCs w:val="28"/>
          <w:lang w:val="uk-UA"/>
        </w:rPr>
        <w:t xml:space="preserve"> </w:t>
      </w:r>
      <w:r w:rsidR="002026EA">
        <w:rPr>
          <w:bCs/>
          <w:sz w:val="28"/>
          <w:szCs w:val="28"/>
          <w:lang w:val="uk-UA"/>
        </w:rPr>
        <w:t>-</w:t>
      </w:r>
      <w:r w:rsidR="002026EA">
        <w:rPr>
          <w:sz w:val="28"/>
          <w:szCs w:val="28"/>
          <w:lang w:val="uk-UA"/>
        </w:rPr>
        <w:t xml:space="preserve"> </w:t>
      </w:r>
      <w:r w:rsidR="002026EA" w:rsidRPr="001F79E5">
        <w:rPr>
          <w:sz w:val="28"/>
          <w:szCs w:val="28"/>
          <w:lang w:val="uk-UA"/>
        </w:rPr>
        <w:t>1 050,1 млн.грн.</w:t>
      </w:r>
      <w:r w:rsidR="002026EA">
        <w:rPr>
          <w:sz w:val="28"/>
          <w:szCs w:val="28"/>
          <w:lang w:val="uk-UA"/>
        </w:rPr>
        <w:t xml:space="preserve"> </w:t>
      </w:r>
      <w:r w:rsidR="00E34313">
        <w:rPr>
          <w:bCs/>
          <w:sz w:val="28"/>
          <w:szCs w:val="28"/>
          <w:lang w:val="uk-UA"/>
        </w:rPr>
        <w:t>(п</w:t>
      </w:r>
      <w:r w:rsidR="00E34313" w:rsidRPr="00E34313">
        <w:rPr>
          <w:bCs/>
          <w:sz w:val="28"/>
          <w:szCs w:val="28"/>
          <w:lang w:val="uk-UA"/>
        </w:rPr>
        <w:t xml:space="preserve">равом отримання житлових субсидій скористалися </w:t>
      </w:r>
      <w:r w:rsidR="008605F0">
        <w:rPr>
          <w:bCs/>
          <w:sz w:val="28"/>
          <w:szCs w:val="28"/>
          <w:lang w:val="uk-UA"/>
        </w:rPr>
        <w:t xml:space="preserve">69,0 </w:t>
      </w:r>
      <w:r w:rsidR="00E34313" w:rsidRPr="00E34313">
        <w:rPr>
          <w:bCs/>
          <w:sz w:val="28"/>
          <w:szCs w:val="28"/>
          <w:lang w:val="uk-UA"/>
        </w:rPr>
        <w:t>тис.</w:t>
      </w:r>
      <w:r w:rsidR="00E34313">
        <w:rPr>
          <w:bCs/>
          <w:sz w:val="28"/>
          <w:szCs w:val="28"/>
        </w:rPr>
        <w:t> </w:t>
      </w:r>
      <w:r w:rsidR="00E34313" w:rsidRPr="00E34313">
        <w:rPr>
          <w:bCs/>
          <w:sz w:val="28"/>
          <w:szCs w:val="28"/>
          <w:lang w:val="uk-UA"/>
        </w:rPr>
        <w:t>домогосподарств, 45,</w:t>
      </w:r>
      <w:r w:rsidR="008605F0">
        <w:rPr>
          <w:bCs/>
          <w:sz w:val="28"/>
          <w:szCs w:val="28"/>
          <w:lang w:val="uk-UA"/>
        </w:rPr>
        <w:t>5</w:t>
      </w:r>
      <w:r w:rsidR="00E34313">
        <w:rPr>
          <w:bCs/>
          <w:sz w:val="28"/>
          <w:szCs w:val="28"/>
        </w:rPr>
        <w:t> </w:t>
      </w:r>
      <w:r w:rsidR="00E34313" w:rsidRPr="00E34313">
        <w:rPr>
          <w:bCs/>
          <w:sz w:val="28"/>
          <w:szCs w:val="28"/>
          <w:lang w:val="uk-UA"/>
        </w:rPr>
        <w:t>тис.</w:t>
      </w:r>
      <w:r w:rsidR="00E34313">
        <w:rPr>
          <w:bCs/>
          <w:sz w:val="28"/>
          <w:szCs w:val="28"/>
        </w:rPr>
        <w:t> </w:t>
      </w:r>
      <w:r w:rsidR="00E34313" w:rsidRPr="00E34313">
        <w:rPr>
          <w:bCs/>
          <w:sz w:val="28"/>
          <w:szCs w:val="28"/>
          <w:lang w:val="uk-UA"/>
        </w:rPr>
        <w:t>пільговиків отримали знижку при сплаті житлово-комунальних послуг</w:t>
      </w:r>
      <w:r w:rsidR="00E34313">
        <w:rPr>
          <w:bCs/>
          <w:sz w:val="28"/>
          <w:szCs w:val="28"/>
          <w:lang w:val="uk-UA"/>
        </w:rPr>
        <w:t>)</w:t>
      </w:r>
      <w:r w:rsidR="002026EA">
        <w:rPr>
          <w:sz w:val="28"/>
          <w:szCs w:val="28"/>
          <w:lang w:val="uk-UA"/>
        </w:rPr>
        <w:t>;</w:t>
      </w:r>
    </w:p>
    <w:p w:rsidR="002026EA" w:rsidRDefault="00553ABE" w:rsidP="002026EA">
      <w:pPr>
        <w:pStyle w:val="justifyfull"/>
        <w:numPr>
          <w:ilvl w:val="0"/>
          <w:numId w:val="22"/>
        </w:numPr>
        <w:spacing w:before="0" w:beforeAutospacing="0" w:after="0" w:afterAutospacing="0"/>
        <w:ind w:left="0" w:firstLine="1068"/>
        <w:jc w:val="both"/>
        <w:rPr>
          <w:sz w:val="28"/>
          <w:szCs w:val="28"/>
          <w:lang w:val="uk-UA"/>
        </w:rPr>
      </w:pPr>
      <w:r w:rsidRPr="001F79E5">
        <w:rPr>
          <w:sz w:val="28"/>
          <w:szCs w:val="28"/>
          <w:lang w:val="uk-UA"/>
        </w:rPr>
        <w:t>допомоги сім’ям з дітьми, мал</w:t>
      </w:r>
      <w:r>
        <w:rPr>
          <w:sz w:val="28"/>
          <w:szCs w:val="28"/>
          <w:lang w:val="uk-UA"/>
        </w:rPr>
        <w:t xml:space="preserve">озабезпеченим сім’ям, інвалідам, </w:t>
      </w:r>
      <w:r w:rsidRPr="00672A2B">
        <w:rPr>
          <w:sz w:val="28"/>
          <w:szCs w:val="28"/>
          <w:lang w:val="uk-UA"/>
        </w:rPr>
        <w:t>непрацюючим особам, як</w:t>
      </w:r>
      <w:r>
        <w:rPr>
          <w:sz w:val="28"/>
          <w:szCs w:val="28"/>
          <w:lang w:val="uk-UA"/>
        </w:rPr>
        <w:t xml:space="preserve">і </w:t>
      </w:r>
      <w:r w:rsidRPr="00672A2B">
        <w:rPr>
          <w:sz w:val="28"/>
          <w:szCs w:val="28"/>
          <w:lang w:val="uk-UA"/>
        </w:rPr>
        <w:t>досягл</w:t>
      </w:r>
      <w:r>
        <w:rPr>
          <w:sz w:val="28"/>
          <w:szCs w:val="28"/>
          <w:lang w:val="uk-UA"/>
        </w:rPr>
        <w:t xml:space="preserve">и </w:t>
      </w:r>
      <w:r w:rsidRPr="00672A2B">
        <w:rPr>
          <w:sz w:val="28"/>
          <w:szCs w:val="28"/>
          <w:lang w:val="uk-UA"/>
        </w:rPr>
        <w:t xml:space="preserve"> загального пенсійного віку, але не набул</w:t>
      </w:r>
      <w:r>
        <w:rPr>
          <w:sz w:val="28"/>
          <w:szCs w:val="28"/>
          <w:lang w:val="uk-UA"/>
        </w:rPr>
        <w:t>и</w:t>
      </w:r>
      <w:r w:rsidRPr="00672A2B">
        <w:rPr>
          <w:sz w:val="28"/>
          <w:szCs w:val="28"/>
          <w:lang w:val="uk-UA"/>
        </w:rPr>
        <w:t xml:space="preserve"> права на пенсійну виплату</w:t>
      </w:r>
      <w:r>
        <w:rPr>
          <w:sz w:val="28"/>
          <w:szCs w:val="28"/>
          <w:lang w:val="uk-UA"/>
        </w:rPr>
        <w:t xml:space="preserve"> </w:t>
      </w:r>
      <w:r w:rsidR="002026EA">
        <w:rPr>
          <w:sz w:val="28"/>
          <w:szCs w:val="28"/>
          <w:lang w:val="uk-UA"/>
        </w:rPr>
        <w:t>- 711,9 млн.грн.</w:t>
      </w:r>
      <w:r w:rsidR="002026EA" w:rsidRPr="002026EA">
        <w:rPr>
          <w:bCs/>
          <w:sz w:val="28"/>
          <w:szCs w:val="28"/>
          <w:lang w:val="uk-UA"/>
        </w:rPr>
        <w:t xml:space="preserve"> </w:t>
      </w:r>
      <w:r w:rsidR="002026EA">
        <w:rPr>
          <w:bCs/>
          <w:sz w:val="28"/>
          <w:szCs w:val="28"/>
          <w:lang w:val="uk-UA"/>
        </w:rPr>
        <w:t>(</w:t>
      </w:r>
      <w:r w:rsidR="002408AA">
        <w:rPr>
          <w:sz w:val="28"/>
          <w:szCs w:val="28"/>
          <w:lang w:val="uk-UA"/>
        </w:rPr>
        <w:t>щ</w:t>
      </w:r>
      <w:r w:rsidR="002408AA" w:rsidRPr="002408AA">
        <w:rPr>
          <w:sz w:val="28"/>
          <w:szCs w:val="28"/>
          <w:lang w:val="uk-UA"/>
        </w:rPr>
        <w:t>омісячна кількість одержувачів вказаного виду допомоги склада</w:t>
      </w:r>
      <w:r w:rsidR="002408AA">
        <w:rPr>
          <w:sz w:val="28"/>
          <w:szCs w:val="28"/>
          <w:lang w:val="uk-UA"/>
        </w:rPr>
        <w:t>є</w:t>
      </w:r>
      <w:r w:rsidR="00EB6709">
        <w:rPr>
          <w:sz w:val="28"/>
          <w:szCs w:val="28"/>
          <w:lang w:val="uk-UA"/>
        </w:rPr>
        <w:t xml:space="preserve"> більш ніж</w:t>
      </w:r>
      <w:r w:rsidR="002408AA" w:rsidRPr="002408AA">
        <w:rPr>
          <w:sz w:val="28"/>
          <w:szCs w:val="28"/>
          <w:lang w:val="uk-UA"/>
        </w:rPr>
        <w:t xml:space="preserve"> 40,9 тис. осіб</w:t>
      </w:r>
      <w:r w:rsidR="002408AA">
        <w:rPr>
          <w:sz w:val="28"/>
          <w:szCs w:val="28"/>
          <w:lang w:val="uk-UA"/>
        </w:rPr>
        <w:t>)</w:t>
      </w:r>
      <w:r w:rsidR="002026EA">
        <w:rPr>
          <w:sz w:val="28"/>
          <w:szCs w:val="28"/>
          <w:lang w:val="uk-UA"/>
        </w:rPr>
        <w:t>;</w:t>
      </w:r>
    </w:p>
    <w:p w:rsidR="00553ABE" w:rsidRDefault="00553ABE" w:rsidP="002026EA">
      <w:pPr>
        <w:pStyle w:val="justifyfull"/>
        <w:numPr>
          <w:ilvl w:val="0"/>
          <w:numId w:val="22"/>
        </w:numPr>
        <w:spacing w:before="0" w:beforeAutospacing="0" w:after="0" w:afterAutospacing="0"/>
        <w:ind w:left="0" w:firstLine="1068"/>
        <w:jc w:val="both"/>
        <w:rPr>
          <w:sz w:val="28"/>
          <w:szCs w:val="28"/>
          <w:lang w:val="uk-UA"/>
        </w:rPr>
      </w:pPr>
      <w:r w:rsidRPr="00B10AD0">
        <w:rPr>
          <w:sz w:val="28"/>
          <w:szCs w:val="28"/>
          <w:lang w:val="uk-UA"/>
        </w:rPr>
        <w:t>державної соціальної допомоги на дітей-сиріт та дітей, позбавлених батьківського піклування в рамках програ</w:t>
      </w:r>
      <w:r>
        <w:rPr>
          <w:sz w:val="28"/>
          <w:szCs w:val="28"/>
          <w:lang w:val="uk-UA"/>
        </w:rPr>
        <w:t>ми «Гроші ходять за дитиною»</w:t>
      </w:r>
      <w:r w:rsidR="002026EA">
        <w:rPr>
          <w:sz w:val="28"/>
          <w:szCs w:val="28"/>
          <w:lang w:val="uk-UA"/>
        </w:rPr>
        <w:t xml:space="preserve"> -</w:t>
      </w:r>
      <w:r w:rsidR="002026EA" w:rsidRPr="002026EA">
        <w:rPr>
          <w:sz w:val="28"/>
          <w:szCs w:val="28"/>
          <w:lang w:val="uk-UA"/>
        </w:rPr>
        <w:t xml:space="preserve"> </w:t>
      </w:r>
      <w:r w:rsidR="002026EA">
        <w:rPr>
          <w:sz w:val="28"/>
          <w:szCs w:val="28"/>
          <w:lang w:val="uk-UA"/>
        </w:rPr>
        <w:t>3,4 млн.грн.;</w:t>
      </w:r>
    </w:p>
    <w:p w:rsidR="00E34313" w:rsidRPr="002026EA" w:rsidRDefault="00E34313" w:rsidP="002026EA">
      <w:pPr>
        <w:pStyle w:val="justifyfull"/>
        <w:numPr>
          <w:ilvl w:val="0"/>
          <w:numId w:val="22"/>
        </w:numPr>
        <w:spacing w:before="0" w:beforeAutospacing="0" w:after="0" w:afterAutospacing="0"/>
        <w:ind w:left="0" w:firstLine="1068"/>
        <w:jc w:val="both"/>
        <w:rPr>
          <w:sz w:val="28"/>
          <w:szCs w:val="28"/>
          <w:lang w:val="uk-UA"/>
        </w:rPr>
      </w:pPr>
      <w:r w:rsidRPr="002026EA">
        <w:rPr>
          <w:sz w:val="28"/>
          <w:szCs w:val="28"/>
          <w:lang w:val="uk-UA"/>
        </w:rPr>
        <w:t>грошов</w:t>
      </w:r>
      <w:r w:rsidR="002026EA">
        <w:rPr>
          <w:sz w:val="28"/>
          <w:szCs w:val="28"/>
          <w:lang w:val="uk-UA"/>
        </w:rPr>
        <w:t>ої</w:t>
      </w:r>
      <w:r w:rsidRPr="002026EA">
        <w:rPr>
          <w:sz w:val="28"/>
          <w:szCs w:val="28"/>
          <w:lang w:val="uk-UA"/>
        </w:rPr>
        <w:t xml:space="preserve"> компенсаці</w:t>
      </w:r>
      <w:r w:rsidR="002026EA">
        <w:rPr>
          <w:sz w:val="28"/>
          <w:szCs w:val="28"/>
          <w:lang w:val="uk-UA"/>
        </w:rPr>
        <w:t>ї</w:t>
      </w:r>
      <w:r w:rsidRPr="002026EA">
        <w:rPr>
          <w:sz w:val="28"/>
          <w:szCs w:val="28"/>
          <w:lang w:val="uk-UA"/>
        </w:rPr>
        <w:t xml:space="preserve"> двом сім’ям загиблих осіб під час участі в антитерористичній операції та особі з інвалідністю ІІ групи з числа учасників бойових дій на території інших держав </w:t>
      </w:r>
      <w:r w:rsidR="002026EA">
        <w:rPr>
          <w:sz w:val="28"/>
          <w:szCs w:val="28"/>
          <w:lang w:val="uk-UA"/>
        </w:rPr>
        <w:t>-</w:t>
      </w:r>
      <w:r w:rsidRPr="002026EA">
        <w:rPr>
          <w:sz w:val="28"/>
          <w:szCs w:val="28"/>
          <w:lang w:val="uk-UA"/>
        </w:rPr>
        <w:t xml:space="preserve"> 4,5 млн.грн.</w:t>
      </w:r>
    </w:p>
    <w:p w:rsidR="00553ABE" w:rsidRPr="00E47DF6" w:rsidRDefault="002026EA" w:rsidP="00553ABE">
      <w:pPr>
        <w:pStyle w:val="justifyfull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="00553ABE" w:rsidRPr="00E47DF6">
        <w:rPr>
          <w:bCs/>
          <w:sz w:val="28"/>
          <w:szCs w:val="28"/>
          <w:lang w:val="uk-UA"/>
        </w:rPr>
        <w:t xml:space="preserve">ротягом </w:t>
      </w:r>
      <w:r>
        <w:rPr>
          <w:bCs/>
          <w:sz w:val="28"/>
          <w:szCs w:val="28"/>
          <w:lang w:val="uk-UA"/>
        </w:rPr>
        <w:t>звітного періоду також</w:t>
      </w:r>
      <w:r w:rsidR="00553ABE" w:rsidRPr="00E47DF6">
        <w:rPr>
          <w:bCs/>
          <w:sz w:val="28"/>
          <w:szCs w:val="28"/>
          <w:lang w:val="uk-UA"/>
        </w:rPr>
        <w:t xml:space="preserve"> проводилис</w:t>
      </w:r>
      <w:r>
        <w:rPr>
          <w:bCs/>
          <w:sz w:val="28"/>
          <w:szCs w:val="28"/>
          <w:lang w:val="uk-UA"/>
        </w:rPr>
        <w:t>ь</w:t>
      </w:r>
      <w:r w:rsidR="00553ABE" w:rsidRPr="00E47DF6">
        <w:rPr>
          <w:bCs/>
          <w:sz w:val="28"/>
          <w:szCs w:val="28"/>
          <w:lang w:val="uk-UA"/>
        </w:rPr>
        <w:t xml:space="preserve"> міські заходи, спрямовані на соціальний захист і соціальне забезпечення мешканців міста.</w:t>
      </w:r>
    </w:p>
    <w:p w:rsidR="00553ABE" w:rsidRDefault="00AD4010" w:rsidP="000D0648">
      <w:pPr>
        <w:pStyle w:val="justifyfull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Так, </w:t>
      </w:r>
      <w:r w:rsidR="00747042">
        <w:rPr>
          <w:bCs/>
          <w:sz w:val="28"/>
          <w:szCs w:val="28"/>
          <w:lang w:val="uk-UA"/>
        </w:rPr>
        <w:t xml:space="preserve">в цілому </w:t>
      </w:r>
      <w:r w:rsidR="000D0648">
        <w:rPr>
          <w:bCs/>
          <w:sz w:val="28"/>
          <w:szCs w:val="28"/>
          <w:lang w:val="uk-UA"/>
        </w:rPr>
        <w:t>на</w:t>
      </w:r>
      <w:r w:rsidR="00553ABE" w:rsidRPr="00E47DF6">
        <w:rPr>
          <w:bCs/>
          <w:sz w:val="28"/>
          <w:szCs w:val="28"/>
          <w:lang w:val="uk-UA"/>
        </w:rPr>
        <w:t xml:space="preserve"> реалізаці</w:t>
      </w:r>
      <w:r w:rsidR="000D0648">
        <w:rPr>
          <w:bCs/>
          <w:sz w:val="28"/>
          <w:szCs w:val="28"/>
          <w:lang w:val="uk-UA"/>
        </w:rPr>
        <w:t>ю</w:t>
      </w:r>
      <w:r w:rsidR="00553ABE" w:rsidRPr="00E47DF6">
        <w:rPr>
          <w:bCs/>
          <w:sz w:val="28"/>
          <w:szCs w:val="28"/>
          <w:lang w:val="uk-UA"/>
        </w:rPr>
        <w:t xml:space="preserve"> </w:t>
      </w:r>
      <w:r w:rsidR="00553ABE" w:rsidRPr="002026EA">
        <w:rPr>
          <w:bCs/>
          <w:sz w:val="28"/>
          <w:szCs w:val="28"/>
          <w:lang w:val="uk-UA"/>
        </w:rPr>
        <w:t>Міської комплексної програми соціального захисту населення міста</w:t>
      </w:r>
      <w:r w:rsidR="00553ABE" w:rsidRPr="00E47DF6">
        <w:rPr>
          <w:bCs/>
          <w:sz w:val="28"/>
          <w:szCs w:val="28"/>
          <w:lang w:val="uk-UA"/>
        </w:rPr>
        <w:t xml:space="preserve"> </w:t>
      </w:r>
      <w:r w:rsidR="000D0648">
        <w:rPr>
          <w:bCs/>
          <w:sz w:val="28"/>
          <w:szCs w:val="28"/>
          <w:lang w:val="uk-UA"/>
        </w:rPr>
        <w:t>з бюджету міста направлено кошти у розмірі 194,6</w:t>
      </w:r>
      <w:r w:rsidR="00747042">
        <w:rPr>
          <w:bCs/>
          <w:sz w:val="28"/>
          <w:szCs w:val="28"/>
          <w:lang w:val="uk-UA"/>
        </w:rPr>
        <w:t> </w:t>
      </w:r>
      <w:r w:rsidR="000D0648">
        <w:rPr>
          <w:bCs/>
          <w:sz w:val="28"/>
          <w:szCs w:val="28"/>
          <w:lang w:val="uk-UA"/>
        </w:rPr>
        <w:t>млн.грн., в т</w:t>
      </w:r>
      <w:r w:rsidR="00747042">
        <w:rPr>
          <w:bCs/>
          <w:sz w:val="28"/>
          <w:szCs w:val="28"/>
          <w:lang w:val="uk-UA"/>
        </w:rPr>
        <w:t>ому числі</w:t>
      </w:r>
      <w:r w:rsidR="000D0648">
        <w:rPr>
          <w:bCs/>
          <w:sz w:val="28"/>
          <w:szCs w:val="28"/>
          <w:lang w:val="uk-UA"/>
        </w:rPr>
        <w:t xml:space="preserve"> на </w:t>
      </w:r>
      <w:r w:rsidR="00553ABE" w:rsidRPr="00E47DF6">
        <w:rPr>
          <w:bCs/>
          <w:sz w:val="28"/>
          <w:szCs w:val="28"/>
          <w:lang w:val="uk-UA"/>
        </w:rPr>
        <w:t xml:space="preserve">компенсацію пільгового проїзду окремих категорій громадян на водному, залізничному, </w:t>
      </w:r>
      <w:proofErr w:type="spellStart"/>
      <w:r w:rsidR="00553ABE" w:rsidRPr="00E47DF6">
        <w:rPr>
          <w:bCs/>
          <w:sz w:val="28"/>
          <w:szCs w:val="28"/>
          <w:lang w:val="uk-UA"/>
        </w:rPr>
        <w:t>авто-</w:t>
      </w:r>
      <w:proofErr w:type="spellEnd"/>
      <w:r w:rsidR="00553ABE" w:rsidRPr="00E47DF6">
        <w:rPr>
          <w:bCs/>
          <w:sz w:val="28"/>
          <w:szCs w:val="28"/>
          <w:lang w:val="uk-UA"/>
        </w:rPr>
        <w:t xml:space="preserve">, та електротранспорті </w:t>
      </w:r>
      <w:r w:rsidR="00063880">
        <w:rPr>
          <w:bCs/>
          <w:sz w:val="28"/>
          <w:szCs w:val="28"/>
          <w:lang w:val="uk-UA"/>
        </w:rPr>
        <w:t>-</w:t>
      </w:r>
      <w:r w:rsidR="00553ABE">
        <w:rPr>
          <w:bCs/>
          <w:sz w:val="28"/>
          <w:szCs w:val="28"/>
          <w:lang w:val="uk-UA"/>
        </w:rPr>
        <w:t xml:space="preserve"> </w:t>
      </w:r>
      <w:r w:rsidR="00553ABE" w:rsidRPr="00E47DF6">
        <w:rPr>
          <w:bCs/>
          <w:sz w:val="28"/>
          <w:szCs w:val="28"/>
          <w:lang w:val="uk-UA"/>
        </w:rPr>
        <w:lastRenderedPageBreak/>
        <w:t>108,2</w:t>
      </w:r>
      <w:r w:rsidR="003E420B">
        <w:rPr>
          <w:bCs/>
          <w:sz w:val="28"/>
          <w:szCs w:val="28"/>
          <w:lang w:val="uk-UA"/>
        </w:rPr>
        <w:t> </w:t>
      </w:r>
      <w:r w:rsidR="000D0648">
        <w:rPr>
          <w:bCs/>
          <w:sz w:val="28"/>
          <w:szCs w:val="28"/>
          <w:lang w:val="uk-UA"/>
        </w:rPr>
        <w:t>млн.грн., на надання м</w:t>
      </w:r>
      <w:r w:rsidR="00553ABE" w:rsidRPr="000D0648">
        <w:rPr>
          <w:bCs/>
          <w:sz w:val="28"/>
          <w:szCs w:val="28"/>
          <w:lang w:val="uk-UA"/>
        </w:rPr>
        <w:t>атеріальн</w:t>
      </w:r>
      <w:r w:rsidR="000D0648">
        <w:rPr>
          <w:bCs/>
          <w:sz w:val="28"/>
          <w:szCs w:val="28"/>
          <w:lang w:val="uk-UA"/>
        </w:rPr>
        <w:t>ої д</w:t>
      </w:r>
      <w:r w:rsidR="00553ABE" w:rsidRPr="000D0648">
        <w:rPr>
          <w:bCs/>
          <w:sz w:val="28"/>
          <w:szCs w:val="28"/>
          <w:lang w:val="uk-UA"/>
        </w:rPr>
        <w:t>опомог</w:t>
      </w:r>
      <w:r w:rsidR="000D0648">
        <w:rPr>
          <w:bCs/>
          <w:sz w:val="28"/>
          <w:szCs w:val="28"/>
          <w:lang w:val="uk-UA"/>
        </w:rPr>
        <w:t>и</w:t>
      </w:r>
      <w:r w:rsidR="00553ABE" w:rsidRPr="000D0648">
        <w:rPr>
          <w:bCs/>
          <w:sz w:val="28"/>
          <w:szCs w:val="28"/>
          <w:lang w:val="uk-UA"/>
        </w:rPr>
        <w:t xml:space="preserve"> </w:t>
      </w:r>
      <w:r w:rsidR="000D0648" w:rsidRPr="000D0648">
        <w:rPr>
          <w:bCs/>
          <w:sz w:val="28"/>
          <w:szCs w:val="28"/>
          <w:lang w:val="uk-UA"/>
        </w:rPr>
        <w:t>24,5</w:t>
      </w:r>
      <w:r w:rsidR="000D0648" w:rsidRPr="002319C0">
        <w:rPr>
          <w:bCs/>
          <w:sz w:val="28"/>
          <w:szCs w:val="28"/>
        </w:rPr>
        <w:t> </w:t>
      </w:r>
      <w:r w:rsidR="000D0648" w:rsidRPr="000D0648">
        <w:rPr>
          <w:bCs/>
          <w:sz w:val="28"/>
          <w:szCs w:val="28"/>
          <w:lang w:val="uk-UA"/>
        </w:rPr>
        <w:t>тис.</w:t>
      </w:r>
      <w:r w:rsidR="000D0648" w:rsidRPr="002319C0">
        <w:rPr>
          <w:bCs/>
          <w:sz w:val="28"/>
          <w:szCs w:val="28"/>
        </w:rPr>
        <w:t> </w:t>
      </w:r>
      <w:r w:rsidR="000D0648">
        <w:rPr>
          <w:bCs/>
          <w:sz w:val="28"/>
          <w:szCs w:val="28"/>
          <w:lang w:val="uk-UA"/>
        </w:rPr>
        <w:t xml:space="preserve">мешканцям </w:t>
      </w:r>
      <w:r w:rsidR="000D0648" w:rsidRPr="000D0648">
        <w:rPr>
          <w:bCs/>
          <w:sz w:val="28"/>
          <w:szCs w:val="28"/>
          <w:lang w:val="uk-UA"/>
        </w:rPr>
        <w:t>міста</w:t>
      </w:r>
      <w:r w:rsidR="000D0648">
        <w:rPr>
          <w:bCs/>
          <w:sz w:val="28"/>
          <w:szCs w:val="28"/>
          <w:lang w:val="uk-UA"/>
        </w:rPr>
        <w:t xml:space="preserve"> </w:t>
      </w:r>
      <w:r w:rsidR="00063880">
        <w:rPr>
          <w:bCs/>
          <w:sz w:val="28"/>
          <w:szCs w:val="28"/>
          <w:lang w:val="uk-UA"/>
        </w:rPr>
        <w:t xml:space="preserve">- </w:t>
      </w:r>
      <w:r w:rsidR="000D0648" w:rsidRPr="000D0648">
        <w:rPr>
          <w:bCs/>
          <w:sz w:val="28"/>
          <w:szCs w:val="28"/>
          <w:lang w:val="uk-UA"/>
        </w:rPr>
        <w:t>37,7</w:t>
      </w:r>
      <w:r w:rsidR="000D0648">
        <w:rPr>
          <w:bCs/>
          <w:sz w:val="28"/>
          <w:szCs w:val="28"/>
        </w:rPr>
        <w:t> </w:t>
      </w:r>
      <w:r w:rsidR="000D0648" w:rsidRPr="000D0648">
        <w:rPr>
          <w:bCs/>
          <w:sz w:val="28"/>
          <w:szCs w:val="28"/>
          <w:lang w:val="uk-UA"/>
        </w:rPr>
        <w:t>млн.грн.</w:t>
      </w:r>
      <w:r w:rsidR="0067425D" w:rsidRPr="000D0648">
        <w:rPr>
          <w:bCs/>
          <w:sz w:val="28"/>
          <w:szCs w:val="28"/>
          <w:lang w:val="uk-UA"/>
        </w:rPr>
        <w:t xml:space="preserve"> (</w:t>
      </w:r>
      <w:r w:rsidR="000D0648">
        <w:rPr>
          <w:bCs/>
          <w:sz w:val="28"/>
          <w:szCs w:val="28"/>
          <w:lang w:val="uk-UA"/>
        </w:rPr>
        <w:t>у</w:t>
      </w:r>
      <w:r w:rsidR="0067425D" w:rsidRPr="000D0648">
        <w:rPr>
          <w:bCs/>
          <w:sz w:val="28"/>
          <w:szCs w:val="28"/>
          <w:lang w:val="uk-UA"/>
        </w:rPr>
        <w:t xml:space="preserve"> т.ч. за рахунок коштів депутатського фонду 18,1</w:t>
      </w:r>
      <w:r w:rsidR="003E420B">
        <w:rPr>
          <w:bCs/>
          <w:sz w:val="28"/>
          <w:szCs w:val="28"/>
        </w:rPr>
        <w:t> </w:t>
      </w:r>
      <w:r w:rsidR="0067425D" w:rsidRPr="000D0648">
        <w:rPr>
          <w:bCs/>
          <w:sz w:val="28"/>
          <w:szCs w:val="28"/>
          <w:lang w:val="uk-UA"/>
        </w:rPr>
        <w:t>млн.грн.)</w:t>
      </w:r>
      <w:r w:rsidR="0042175B">
        <w:rPr>
          <w:bCs/>
          <w:sz w:val="28"/>
          <w:szCs w:val="28"/>
          <w:lang w:val="uk-UA"/>
        </w:rPr>
        <w:t>.</w:t>
      </w:r>
    </w:p>
    <w:p w:rsidR="00EE71C1" w:rsidRPr="001428DA" w:rsidRDefault="00EE71C1" w:rsidP="00EE71C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428DA">
        <w:rPr>
          <w:color w:val="000000" w:themeColor="text1"/>
          <w:sz w:val="28"/>
          <w:szCs w:val="28"/>
        </w:rPr>
        <w:t>Запорізьк</w:t>
      </w:r>
      <w:r w:rsidR="00051492" w:rsidRPr="001428DA">
        <w:rPr>
          <w:color w:val="000000" w:themeColor="text1"/>
          <w:sz w:val="28"/>
          <w:szCs w:val="28"/>
        </w:rPr>
        <w:t>им</w:t>
      </w:r>
      <w:r w:rsidRPr="001428DA">
        <w:rPr>
          <w:color w:val="000000" w:themeColor="text1"/>
          <w:sz w:val="28"/>
          <w:szCs w:val="28"/>
        </w:rPr>
        <w:t xml:space="preserve"> міськ</w:t>
      </w:r>
      <w:r w:rsidR="00051492" w:rsidRPr="001428DA">
        <w:rPr>
          <w:color w:val="000000" w:themeColor="text1"/>
          <w:sz w:val="28"/>
          <w:szCs w:val="28"/>
        </w:rPr>
        <w:t>им</w:t>
      </w:r>
      <w:r w:rsidRPr="001428DA">
        <w:rPr>
          <w:color w:val="000000" w:themeColor="text1"/>
          <w:sz w:val="28"/>
          <w:szCs w:val="28"/>
        </w:rPr>
        <w:t xml:space="preserve"> територіальн</w:t>
      </w:r>
      <w:r w:rsidR="00051492" w:rsidRPr="001428DA">
        <w:rPr>
          <w:color w:val="000000" w:themeColor="text1"/>
          <w:sz w:val="28"/>
          <w:szCs w:val="28"/>
        </w:rPr>
        <w:t>им</w:t>
      </w:r>
      <w:r w:rsidRPr="001428DA">
        <w:rPr>
          <w:color w:val="000000" w:themeColor="text1"/>
          <w:sz w:val="28"/>
          <w:szCs w:val="28"/>
        </w:rPr>
        <w:t xml:space="preserve"> центр</w:t>
      </w:r>
      <w:r w:rsidR="00051492" w:rsidRPr="001428DA">
        <w:rPr>
          <w:color w:val="000000" w:themeColor="text1"/>
          <w:sz w:val="28"/>
          <w:szCs w:val="28"/>
        </w:rPr>
        <w:t>ом</w:t>
      </w:r>
      <w:r w:rsidRPr="001428DA">
        <w:rPr>
          <w:color w:val="000000" w:themeColor="text1"/>
          <w:sz w:val="28"/>
          <w:szCs w:val="28"/>
        </w:rPr>
        <w:t xml:space="preserve"> соціального обслуговування (надання соціальних послуг)</w:t>
      </w:r>
      <w:r w:rsidRPr="001428DA">
        <w:rPr>
          <w:bCs/>
          <w:color w:val="000000" w:themeColor="text1"/>
          <w:sz w:val="28"/>
          <w:szCs w:val="28"/>
        </w:rPr>
        <w:t xml:space="preserve"> використано </w:t>
      </w:r>
      <w:r w:rsidR="004F1AB4" w:rsidRPr="001428DA">
        <w:rPr>
          <w:bCs/>
          <w:color w:val="000000" w:themeColor="text1"/>
          <w:sz w:val="28"/>
          <w:szCs w:val="28"/>
        </w:rPr>
        <w:t>44,4</w:t>
      </w:r>
      <w:r w:rsidRPr="001428DA">
        <w:rPr>
          <w:bCs/>
          <w:color w:val="000000" w:themeColor="text1"/>
          <w:sz w:val="28"/>
          <w:szCs w:val="28"/>
        </w:rPr>
        <w:t> млн.грн.</w:t>
      </w:r>
      <w:r w:rsidRPr="001428DA">
        <w:rPr>
          <w:color w:val="000000" w:themeColor="text1"/>
          <w:sz w:val="28"/>
          <w:szCs w:val="28"/>
        </w:rPr>
        <w:t xml:space="preserve"> </w:t>
      </w:r>
      <w:r w:rsidR="00051492" w:rsidRPr="001428DA">
        <w:rPr>
          <w:bCs/>
          <w:color w:val="000000" w:themeColor="text1"/>
          <w:sz w:val="28"/>
          <w:szCs w:val="28"/>
        </w:rPr>
        <w:t>Проведено</w:t>
      </w:r>
      <w:r w:rsidRPr="001428DA">
        <w:rPr>
          <w:bCs/>
          <w:color w:val="000000" w:themeColor="text1"/>
          <w:sz w:val="28"/>
          <w:szCs w:val="28"/>
        </w:rPr>
        <w:t xml:space="preserve"> капітальний ремонт відділень соціальної допомоги </w:t>
      </w:r>
      <w:r w:rsidR="00051492" w:rsidRPr="001428DA">
        <w:rPr>
          <w:bCs/>
          <w:color w:val="000000" w:themeColor="text1"/>
          <w:sz w:val="28"/>
          <w:szCs w:val="28"/>
        </w:rPr>
        <w:t>(</w:t>
      </w:r>
      <w:r w:rsidR="004F1AB4" w:rsidRPr="001428DA">
        <w:rPr>
          <w:bCs/>
          <w:color w:val="000000" w:themeColor="text1"/>
          <w:sz w:val="28"/>
          <w:szCs w:val="28"/>
        </w:rPr>
        <w:t>0,7</w:t>
      </w:r>
      <w:r w:rsidRPr="001428DA">
        <w:rPr>
          <w:bCs/>
          <w:color w:val="000000" w:themeColor="text1"/>
          <w:sz w:val="28"/>
          <w:szCs w:val="28"/>
        </w:rPr>
        <w:t> млн.грн.</w:t>
      </w:r>
      <w:r w:rsidR="00051492" w:rsidRPr="001428DA">
        <w:rPr>
          <w:bCs/>
          <w:color w:val="000000" w:themeColor="text1"/>
          <w:sz w:val="28"/>
          <w:szCs w:val="28"/>
        </w:rPr>
        <w:t>)</w:t>
      </w:r>
      <w:r w:rsidRPr="001428DA">
        <w:rPr>
          <w:bCs/>
          <w:color w:val="000000" w:themeColor="text1"/>
          <w:sz w:val="28"/>
          <w:szCs w:val="28"/>
        </w:rPr>
        <w:t>, реконструкці</w:t>
      </w:r>
      <w:r w:rsidR="00051492" w:rsidRPr="001428DA">
        <w:rPr>
          <w:bCs/>
          <w:color w:val="000000" w:themeColor="text1"/>
          <w:sz w:val="28"/>
          <w:szCs w:val="28"/>
        </w:rPr>
        <w:t>ю</w:t>
      </w:r>
      <w:r w:rsidRPr="001428DA">
        <w:rPr>
          <w:bCs/>
          <w:color w:val="000000" w:themeColor="text1"/>
          <w:sz w:val="28"/>
          <w:szCs w:val="28"/>
        </w:rPr>
        <w:t xml:space="preserve"> об’єктів </w:t>
      </w:r>
      <w:r w:rsidR="00051492" w:rsidRPr="001428DA">
        <w:rPr>
          <w:bCs/>
          <w:color w:val="000000" w:themeColor="text1"/>
          <w:sz w:val="28"/>
          <w:szCs w:val="28"/>
        </w:rPr>
        <w:t>(</w:t>
      </w:r>
      <w:r w:rsidR="004F1AB4" w:rsidRPr="001428DA">
        <w:rPr>
          <w:bCs/>
          <w:color w:val="000000" w:themeColor="text1"/>
          <w:sz w:val="28"/>
          <w:szCs w:val="28"/>
        </w:rPr>
        <w:t>3,1</w:t>
      </w:r>
      <w:r w:rsidR="003E420B">
        <w:rPr>
          <w:bCs/>
          <w:color w:val="000000" w:themeColor="text1"/>
          <w:sz w:val="28"/>
          <w:szCs w:val="28"/>
        </w:rPr>
        <w:t> </w:t>
      </w:r>
      <w:r w:rsidRPr="001428DA">
        <w:rPr>
          <w:bCs/>
          <w:color w:val="000000" w:themeColor="text1"/>
          <w:sz w:val="28"/>
          <w:szCs w:val="28"/>
        </w:rPr>
        <w:t>млн.грн</w:t>
      </w:r>
      <w:r w:rsidR="008C15CA" w:rsidRPr="001428DA">
        <w:rPr>
          <w:bCs/>
          <w:color w:val="000000" w:themeColor="text1"/>
          <w:sz w:val="28"/>
          <w:szCs w:val="28"/>
        </w:rPr>
        <w:t>.).</w:t>
      </w:r>
    </w:p>
    <w:p w:rsidR="00A87778" w:rsidRPr="001428DA" w:rsidRDefault="00EE71C1" w:rsidP="003E420B">
      <w:pPr>
        <w:ind w:firstLine="709"/>
        <w:jc w:val="both"/>
        <w:rPr>
          <w:color w:val="000000" w:themeColor="text1"/>
          <w:sz w:val="28"/>
          <w:szCs w:val="28"/>
        </w:rPr>
      </w:pPr>
      <w:r w:rsidRPr="001428DA">
        <w:rPr>
          <w:bCs/>
          <w:color w:val="000000" w:themeColor="text1"/>
          <w:sz w:val="28"/>
          <w:szCs w:val="28"/>
        </w:rPr>
        <w:t xml:space="preserve">На надання соціальних послуг та </w:t>
      </w:r>
      <w:r w:rsidR="008C15CA" w:rsidRPr="001428DA">
        <w:rPr>
          <w:bCs/>
          <w:color w:val="000000" w:themeColor="text1"/>
          <w:sz w:val="28"/>
          <w:szCs w:val="28"/>
        </w:rPr>
        <w:t xml:space="preserve">проведення </w:t>
      </w:r>
      <w:r w:rsidRPr="001428DA">
        <w:rPr>
          <w:bCs/>
          <w:color w:val="000000" w:themeColor="text1"/>
          <w:sz w:val="28"/>
          <w:szCs w:val="28"/>
        </w:rPr>
        <w:t>заход</w:t>
      </w:r>
      <w:r w:rsidR="008C15CA" w:rsidRPr="001428DA">
        <w:rPr>
          <w:bCs/>
          <w:color w:val="000000" w:themeColor="text1"/>
          <w:sz w:val="28"/>
          <w:szCs w:val="28"/>
        </w:rPr>
        <w:t>ів</w:t>
      </w:r>
      <w:r w:rsidRPr="001428DA">
        <w:rPr>
          <w:bCs/>
          <w:color w:val="000000" w:themeColor="text1"/>
          <w:sz w:val="28"/>
          <w:szCs w:val="28"/>
        </w:rPr>
        <w:t xml:space="preserve"> для сім’ї, дітей і молоді </w:t>
      </w:r>
      <w:r w:rsidR="00E85992">
        <w:rPr>
          <w:bCs/>
          <w:color w:val="000000" w:themeColor="text1"/>
          <w:sz w:val="28"/>
          <w:szCs w:val="28"/>
        </w:rPr>
        <w:t>проведено видатків у сумі</w:t>
      </w:r>
      <w:r w:rsidRPr="001428DA">
        <w:rPr>
          <w:bCs/>
          <w:color w:val="000000" w:themeColor="text1"/>
          <w:sz w:val="28"/>
          <w:szCs w:val="28"/>
        </w:rPr>
        <w:t xml:space="preserve"> </w:t>
      </w:r>
      <w:r w:rsidR="004A3840" w:rsidRPr="001428DA">
        <w:rPr>
          <w:bCs/>
          <w:color w:val="000000" w:themeColor="text1"/>
          <w:sz w:val="28"/>
          <w:szCs w:val="28"/>
        </w:rPr>
        <w:t>8</w:t>
      </w:r>
      <w:r w:rsidR="008C15CA" w:rsidRPr="001428DA">
        <w:rPr>
          <w:bCs/>
          <w:color w:val="000000" w:themeColor="text1"/>
          <w:sz w:val="28"/>
          <w:szCs w:val="28"/>
        </w:rPr>
        <w:t>,</w:t>
      </w:r>
      <w:r w:rsidR="004A3840" w:rsidRPr="001428DA">
        <w:rPr>
          <w:bCs/>
          <w:color w:val="000000" w:themeColor="text1"/>
          <w:sz w:val="28"/>
          <w:szCs w:val="28"/>
        </w:rPr>
        <w:t>8</w:t>
      </w:r>
      <w:r w:rsidRPr="001428DA">
        <w:rPr>
          <w:bCs/>
          <w:color w:val="000000" w:themeColor="text1"/>
          <w:sz w:val="28"/>
          <w:szCs w:val="28"/>
        </w:rPr>
        <w:t> млн.грн.</w:t>
      </w:r>
      <w:r w:rsidR="003E420B">
        <w:rPr>
          <w:bCs/>
          <w:color w:val="000000" w:themeColor="text1"/>
          <w:sz w:val="28"/>
          <w:szCs w:val="28"/>
        </w:rPr>
        <w:t xml:space="preserve"> </w:t>
      </w:r>
      <w:r w:rsidR="00A87778" w:rsidRPr="001428DA">
        <w:rPr>
          <w:color w:val="000000" w:themeColor="text1"/>
          <w:sz w:val="28"/>
          <w:szCs w:val="28"/>
        </w:rPr>
        <w:t>На матеріальну підтримку обдарованої молоді спрямовано 2,7 млн.грн.</w:t>
      </w:r>
    </w:p>
    <w:p w:rsidR="001072CC" w:rsidRPr="003E420B" w:rsidRDefault="00EE71C1" w:rsidP="001072CC">
      <w:pPr>
        <w:ind w:firstLine="709"/>
        <w:contextualSpacing/>
        <w:jc w:val="both"/>
        <w:rPr>
          <w:sz w:val="28"/>
          <w:szCs w:val="28"/>
        </w:rPr>
      </w:pPr>
      <w:r w:rsidRPr="001428DA">
        <w:rPr>
          <w:color w:val="000000" w:themeColor="text1"/>
          <w:sz w:val="28"/>
          <w:szCs w:val="28"/>
        </w:rPr>
        <w:t>В літній період оздоровлен</w:t>
      </w:r>
      <w:r w:rsidR="00AE295D" w:rsidRPr="001428DA">
        <w:rPr>
          <w:color w:val="000000" w:themeColor="text1"/>
          <w:sz w:val="28"/>
          <w:szCs w:val="28"/>
        </w:rPr>
        <w:t>о</w:t>
      </w:r>
      <w:r w:rsidRPr="001428DA">
        <w:rPr>
          <w:color w:val="000000" w:themeColor="text1"/>
          <w:sz w:val="28"/>
          <w:szCs w:val="28"/>
        </w:rPr>
        <w:t xml:space="preserve"> </w:t>
      </w:r>
      <w:r w:rsidR="008D69E9" w:rsidRPr="001428DA">
        <w:rPr>
          <w:color w:val="000000" w:themeColor="text1"/>
          <w:sz w:val="28"/>
          <w:szCs w:val="28"/>
        </w:rPr>
        <w:t>1</w:t>
      </w:r>
      <w:r w:rsidR="003E420B">
        <w:rPr>
          <w:color w:val="000000" w:themeColor="text1"/>
          <w:sz w:val="28"/>
          <w:szCs w:val="28"/>
        </w:rPr>
        <w:t> </w:t>
      </w:r>
      <w:r w:rsidR="008D69E9" w:rsidRPr="001428DA">
        <w:rPr>
          <w:color w:val="000000" w:themeColor="text1"/>
          <w:sz w:val="28"/>
          <w:szCs w:val="28"/>
        </w:rPr>
        <w:t>9</w:t>
      </w:r>
      <w:r w:rsidR="00BF2A60" w:rsidRPr="001428DA">
        <w:rPr>
          <w:color w:val="000000" w:themeColor="text1"/>
          <w:sz w:val="28"/>
          <w:szCs w:val="28"/>
        </w:rPr>
        <w:t>26</w:t>
      </w:r>
      <w:r w:rsidRPr="001428DA">
        <w:rPr>
          <w:color w:val="000000" w:themeColor="text1"/>
          <w:sz w:val="28"/>
          <w:szCs w:val="28"/>
        </w:rPr>
        <w:t xml:space="preserve"> дитин</w:t>
      </w:r>
      <w:r w:rsidR="008D69E9" w:rsidRPr="001428DA">
        <w:rPr>
          <w:color w:val="000000" w:themeColor="text1"/>
          <w:sz w:val="28"/>
          <w:szCs w:val="28"/>
        </w:rPr>
        <w:t>и</w:t>
      </w:r>
      <w:r w:rsidRPr="001428DA">
        <w:rPr>
          <w:color w:val="000000" w:themeColor="text1"/>
          <w:sz w:val="28"/>
          <w:szCs w:val="28"/>
        </w:rPr>
        <w:t>, з яких 1</w:t>
      </w:r>
      <w:r w:rsidR="003E420B">
        <w:rPr>
          <w:color w:val="000000" w:themeColor="text1"/>
          <w:sz w:val="28"/>
          <w:szCs w:val="28"/>
        </w:rPr>
        <w:t> </w:t>
      </w:r>
      <w:r w:rsidR="00BF2A60" w:rsidRPr="001428DA">
        <w:rPr>
          <w:color w:val="000000" w:themeColor="text1"/>
          <w:sz w:val="28"/>
          <w:szCs w:val="28"/>
        </w:rPr>
        <w:t>605</w:t>
      </w:r>
      <w:r w:rsidRPr="001428DA">
        <w:rPr>
          <w:color w:val="000000" w:themeColor="text1"/>
          <w:sz w:val="28"/>
          <w:szCs w:val="28"/>
        </w:rPr>
        <w:t xml:space="preserve"> дітей, які потребують особливої соціальної уваги та підтримки. На зазначені цілі </w:t>
      </w:r>
      <w:r w:rsidR="00051492" w:rsidRPr="001428DA">
        <w:rPr>
          <w:color w:val="000000" w:themeColor="text1"/>
          <w:sz w:val="28"/>
          <w:szCs w:val="28"/>
        </w:rPr>
        <w:t>витрачено</w:t>
      </w:r>
      <w:r w:rsidRPr="001428DA">
        <w:rPr>
          <w:color w:val="000000" w:themeColor="text1"/>
          <w:sz w:val="28"/>
          <w:szCs w:val="28"/>
        </w:rPr>
        <w:t xml:space="preserve"> </w:t>
      </w:r>
      <w:r w:rsidR="00556CA4" w:rsidRPr="001428DA">
        <w:rPr>
          <w:color w:val="000000" w:themeColor="text1"/>
          <w:sz w:val="28"/>
          <w:szCs w:val="28"/>
        </w:rPr>
        <w:t>11,3</w:t>
      </w:r>
      <w:r w:rsidRPr="001428DA">
        <w:rPr>
          <w:color w:val="000000" w:themeColor="text1"/>
          <w:sz w:val="28"/>
          <w:szCs w:val="28"/>
        </w:rPr>
        <w:t> млн.грн</w:t>
      </w:r>
      <w:r w:rsidRPr="003E420B">
        <w:rPr>
          <w:sz w:val="28"/>
          <w:szCs w:val="28"/>
        </w:rPr>
        <w:t>.</w:t>
      </w:r>
      <w:r w:rsidR="001072CC" w:rsidRPr="003E420B">
        <w:rPr>
          <w:sz w:val="28"/>
          <w:szCs w:val="28"/>
        </w:rPr>
        <w:t xml:space="preserve"> Крім того, </w:t>
      </w:r>
      <w:r w:rsidR="003E420B" w:rsidRPr="003E420B">
        <w:rPr>
          <w:sz w:val="28"/>
          <w:szCs w:val="28"/>
        </w:rPr>
        <w:t xml:space="preserve">за рахунок коштів субвенції з обласного бюджету </w:t>
      </w:r>
      <w:r w:rsidR="001072CC" w:rsidRPr="003E420B">
        <w:rPr>
          <w:sz w:val="28"/>
          <w:szCs w:val="28"/>
        </w:rPr>
        <w:t>відшкодовано 50% вартості 16</w:t>
      </w:r>
      <w:r w:rsidR="003E420B" w:rsidRPr="003E420B">
        <w:rPr>
          <w:sz w:val="28"/>
          <w:szCs w:val="28"/>
        </w:rPr>
        <w:t>-ти</w:t>
      </w:r>
      <w:r w:rsidR="001072CC" w:rsidRPr="003E420B">
        <w:rPr>
          <w:sz w:val="28"/>
          <w:szCs w:val="28"/>
        </w:rPr>
        <w:t xml:space="preserve"> путівок</w:t>
      </w:r>
      <w:r w:rsidR="003E420B" w:rsidRPr="003E420B">
        <w:rPr>
          <w:sz w:val="28"/>
          <w:szCs w:val="28"/>
        </w:rPr>
        <w:t xml:space="preserve"> на оздоровлення дітей, які виховуються в сім’ях, де один із батьків працює в бюджетній установі</w:t>
      </w:r>
      <w:r w:rsidR="001072CC" w:rsidRPr="003E420B">
        <w:rPr>
          <w:sz w:val="28"/>
          <w:szCs w:val="28"/>
        </w:rPr>
        <w:t>.</w:t>
      </w:r>
    </w:p>
    <w:p w:rsidR="000F0E12" w:rsidRPr="001428DA" w:rsidRDefault="000F0E12" w:rsidP="00EE71C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428DA">
        <w:rPr>
          <w:color w:val="000000" w:themeColor="text1"/>
          <w:sz w:val="28"/>
          <w:szCs w:val="28"/>
        </w:rPr>
        <w:t>На виконання заходів Програм</w:t>
      </w:r>
      <w:r w:rsidR="003E420B">
        <w:rPr>
          <w:color w:val="000000" w:themeColor="text1"/>
          <w:sz w:val="28"/>
          <w:szCs w:val="28"/>
        </w:rPr>
        <w:t>и</w:t>
      </w:r>
      <w:r w:rsidRPr="001428DA">
        <w:rPr>
          <w:color w:val="000000" w:themeColor="text1"/>
          <w:sz w:val="28"/>
          <w:szCs w:val="28"/>
        </w:rPr>
        <w:t xml:space="preserve"> соціального захисту дітей та розвитку сімейних форм виховання дітей-сиріт та дітей, позбавлених батьківського піклування, </w:t>
      </w:r>
      <w:r w:rsidR="00E85992">
        <w:rPr>
          <w:color w:val="000000" w:themeColor="text1"/>
          <w:sz w:val="28"/>
          <w:szCs w:val="28"/>
        </w:rPr>
        <w:t>спрямовано</w:t>
      </w:r>
      <w:r w:rsidRPr="001428DA">
        <w:rPr>
          <w:color w:val="000000" w:themeColor="text1"/>
          <w:sz w:val="28"/>
          <w:szCs w:val="28"/>
        </w:rPr>
        <w:t xml:space="preserve"> </w:t>
      </w:r>
      <w:r w:rsidR="000771F8" w:rsidRPr="001428DA">
        <w:rPr>
          <w:color w:val="000000" w:themeColor="text1"/>
          <w:sz w:val="28"/>
          <w:szCs w:val="28"/>
        </w:rPr>
        <w:t>0,7</w:t>
      </w:r>
      <w:r w:rsidR="003E420B">
        <w:rPr>
          <w:color w:val="000000" w:themeColor="text1"/>
          <w:sz w:val="28"/>
          <w:szCs w:val="28"/>
        </w:rPr>
        <w:t> </w:t>
      </w:r>
      <w:proofErr w:type="spellStart"/>
      <w:r w:rsidR="000771F8" w:rsidRPr="001428DA">
        <w:rPr>
          <w:color w:val="000000" w:themeColor="text1"/>
          <w:sz w:val="28"/>
          <w:szCs w:val="28"/>
        </w:rPr>
        <w:t>млн.</w:t>
      </w:r>
      <w:r w:rsidRPr="001428DA">
        <w:rPr>
          <w:color w:val="000000" w:themeColor="text1"/>
          <w:sz w:val="28"/>
          <w:szCs w:val="28"/>
        </w:rPr>
        <w:t>грн</w:t>
      </w:r>
      <w:proofErr w:type="spellEnd"/>
      <w:r w:rsidRPr="001428DA">
        <w:rPr>
          <w:color w:val="000000" w:themeColor="text1"/>
          <w:sz w:val="28"/>
          <w:szCs w:val="28"/>
        </w:rPr>
        <w:t>.</w:t>
      </w:r>
      <w:r w:rsidR="00E85992">
        <w:rPr>
          <w:color w:val="000000" w:themeColor="text1"/>
          <w:sz w:val="28"/>
          <w:szCs w:val="28"/>
        </w:rPr>
        <w:t>(</w:t>
      </w:r>
      <w:r w:rsidR="003E420B">
        <w:rPr>
          <w:color w:val="000000" w:themeColor="text1"/>
          <w:sz w:val="28"/>
          <w:szCs w:val="28"/>
        </w:rPr>
        <w:t xml:space="preserve">проведення </w:t>
      </w:r>
      <w:r w:rsidRPr="001428DA">
        <w:rPr>
          <w:color w:val="000000" w:themeColor="text1"/>
          <w:sz w:val="28"/>
          <w:szCs w:val="28"/>
        </w:rPr>
        <w:t>інформаційних кампаній, міських заходів, семінарів-тренінгів тощо</w:t>
      </w:r>
      <w:r w:rsidR="00E85992">
        <w:rPr>
          <w:color w:val="000000" w:themeColor="text1"/>
          <w:sz w:val="28"/>
          <w:szCs w:val="28"/>
        </w:rPr>
        <w:t>)</w:t>
      </w:r>
      <w:r w:rsidRPr="001428DA">
        <w:rPr>
          <w:color w:val="000000" w:themeColor="text1"/>
          <w:sz w:val="28"/>
          <w:szCs w:val="28"/>
        </w:rPr>
        <w:t>.</w:t>
      </w:r>
    </w:p>
    <w:p w:rsidR="00553ABE" w:rsidRPr="00682072" w:rsidRDefault="00A56684" w:rsidP="00A56684">
      <w:pPr>
        <w:ind w:firstLine="709"/>
        <w:jc w:val="both"/>
        <w:rPr>
          <w:sz w:val="28"/>
          <w:szCs w:val="28"/>
        </w:rPr>
      </w:pPr>
      <w:r w:rsidRPr="00407546">
        <w:rPr>
          <w:color w:val="000000" w:themeColor="text1"/>
          <w:sz w:val="28"/>
          <w:szCs w:val="28"/>
        </w:rPr>
        <w:t xml:space="preserve">Видатки на </w:t>
      </w:r>
      <w:r w:rsidRPr="00682072">
        <w:rPr>
          <w:sz w:val="28"/>
          <w:szCs w:val="28"/>
        </w:rPr>
        <w:t xml:space="preserve">організацію та проведення громадських робіт у звітному </w:t>
      </w:r>
      <w:r w:rsidR="00E85992">
        <w:rPr>
          <w:sz w:val="28"/>
          <w:szCs w:val="28"/>
        </w:rPr>
        <w:t>періоді</w:t>
      </w:r>
      <w:r w:rsidRPr="00682072">
        <w:rPr>
          <w:sz w:val="28"/>
          <w:szCs w:val="28"/>
        </w:rPr>
        <w:t xml:space="preserve"> склали </w:t>
      </w:r>
      <w:r w:rsidR="008C15CA" w:rsidRPr="00682072">
        <w:rPr>
          <w:sz w:val="28"/>
          <w:szCs w:val="28"/>
        </w:rPr>
        <w:t>1,</w:t>
      </w:r>
      <w:r w:rsidR="00407546" w:rsidRPr="00682072">
        <w:rPr>
          <w:sz w:val="28"/>
          <w:szCs w:val="28"/>
        </w:rPr>
        <w:t>9</w:t>
      </w:r>
      <w:r w:rsidRPr="00682072">
        <w:rPr>
          <w:sz w:val="28"/>
          <w:szCs w:val="28"/>
        </w:rPr>
        <w:t> млн.грн.</w:t>
      </w:r>
      <w:r w:rsidR="008C15CA" w:rsidRPr="00682072">
        <w:rPr>
          <w:sz w:val="28"/>
          <w:szCs w:val="28"/>
        </w:rPr>
        <w:t xml:space="preserve">, в тому числі за рахунок фонду соціального страхування на випадок безробіття </w:t>
      </w:r>
      <w:r w:rsidR="009A33B4" w:rsidRPr="00682072">
        <w:rPr>
          <w:sz w:val="28"/>
          <w:szCs w:val="28"/>
        </w:rPr>
        <w:t>–</w:t>
      </w:r>
      <w:r w:rsidR="008C15CA" w:rsidRPr="00682072">
        <w:rPr>
          <w:sz w:val="28"/>
          <w:szCs w:val="28"/>
        </w:rPr>
        <w:t xml:space="preserve"> </w:t>
      </w:r>
      <w:r w:rsidR="009A33B4" w:rsidRPr="00682072">
        <w:rPr>
          <w:sz w:val="28"/>
          <w:szCs w:val="28"/>
        </w:rPr>
        <w:t>0,</w:t>
      </w:r>
      <w:r w:rsidR="00407546" w:rsidRPr="00682072">
        <w:rPr>
          <w:sz w:val="28"/>
          <w:szCs w:val="28"/>
        </w:rPr>
        <w:t>8</w:t>
      </w:r>
      <w:r w:rsidR="009A33B4" w:rsidRPr="00682072">
        <w:rPr>
          <w:sz w:val="28"/>
          <w:szCs w:val="28"/>
        </w:rPr>
        <w:t> млн.грн.</w:t>
      </w:r>
      <w:r w:rsidRPr="00682072">
        <w:rPr>
          <w:sz w:val="28"/>
          <w:szCs w:val="28"/>
        </w:rPr>
        <w:t xml:space="preserve"> </w:t>
      </w:r>
    </w:p>
    <w:p w:rsidR="00EE71C1" w:rsidRPr="00D93439" w:rsidRDefault="00EE71C1" w:rsidP="00EE71C1">
      <w:pPr>
        <w:ind w:firstLine="709"/>
        <w:contextualSpacing/>
        <w:jc w:val="both"/>
        <w:rPr>
          <w:sz w:val="16"/>
          <w:szCs w:val="16"/>
        </w:rPr>
      </w:pPr>
    </w:p>
    <w:p w:rsidR="00364E17" w:rsidRPr="00682072" w:rsidRDefault="00BD45E8" w:rsidP="004C1623">
      <w:pPr>
        <w:ind w:firstLine="709"/>
        <w:contextualSpacing/>
        <w:jc w:val="center"/>
        <w:rPr>
          <w:b/>
          <w:sz w:val="28"/>
          <w:szCs w:val="28"/>
        </w:rPr>
      </w:pPr>
      <w:r w:rsidRPr="00682072">
        <w:rPr>
          <w:b/>
          <w:sz w:val="28"/>
          <w:szCs w:val="28"/>
        </w:rPr>
        <w:t>Житлово-комунальне господарство</w:t>
      </w:r>
    </w:p>
    <w:p w:rsidR="00E33F5B" w:rsidRPr="00D93439" w:rsidRDefault="00E33F5B" w:rsidP="00BD45E8">
      <w:pPr>
        <w:ind w:firstLine="709"/>
        <w:contextualSpacing/>
        <w:jc w:val="center"/>
        <w:rPr>
          <w:b/>
          <w:sz w:val="16"/>
          <w:szCs w:val="16"/>
        </w:rPr>
      </w:pPr>
    </w:p>
    <w:p w:rsidR="00553ABE" w:rsidRPr="00682072" w:rsidRDefault="00553ABE" w:rsidP="00553ABE">
      <w:pPr>
        <w:ind w:firstLine="708"/>
        <w:jc w:val="both"/>
        <w:rPr>
          <w:sz w:val="28"/>
          <w:szCs w:val="28"/>
        </w:rPr>
      </w:pPr>
      <w:r w:rsidRPr="00682072">
        <w:rPr>
          <w:sz w:val="28"/>
          <w:szCs w:val="28"/>
        </w:rPr>
        <w:t>Видатки на житлово-комунальне господарство проведені у сумі 1 728,4 млн.грн. або 96,8 % планових показників, що майже дорівнює минулорічним показникам.</w:t>
      </w:r>
    </w:p>
    <w:p w:rsidR="00553ABE" w:rsidRDefault="00553ABE" w:rsidP="00553ABE">
      <w:pPr>
        <w:ind w:firstLine="708"/>
        <w:jc w:val="both"/>
        <w:rPr>
          <w:sz w:val="28"/>
          <w:szCs w:val="28"/>
        </w:rPr>
      </w:pPr>
      <w:r w:rsidRPr="00682072">
        <w:rPr>
          <w:sz w:val="28"/>
          <w:szCs w:val="28"/>
        </w:rPr>
        <w:t xml:space="preserve">На реалізацію заходів </w:t>
      </w:r>
      <w:r w:rsidRPr="00682072">
        <w:rPr>
          <w:b/>
          <w:i/>
          <w:sz w:val="28"/>
          <w:szCs w:val="28"/>
        </w:rPr>
        <w:t>програми розвитку інфраструктури та комплексного благоустрою міста</w:t>
      </w:r>
      <w:r w:rsidRPr="00682072">
        <w:rPr>
          <w:sz w:val="28"/>
          <w:szCs w:val="28"/>
        </w:rPr>
        <w:t xml:space="preserve"> з урахуванням коштів депутатського фонду спрямовано 744,7 млн.грн., що становить 96,8% плану. Видатки на благоустрій міста склали 206,1 млн.грн., що на 14 % більше </w:t>
      </w:r>
      <w:r w:rsidR="00D93439">
        <w:rPr>
          <w:sz w:val="28"/>
          <w:szCs w:val="28"/>
        </w:rPr>
        <w:t>показників попереднього бюджетного періоду</w:t>
      </w:r>
      <w:r w:rsidRPr="00682072">
        <w:rPr>
          <w:sz w:val="28"/>
          <w:szCs w:val="28"/>
        </w:rPr>
        <w:t xml:space="preserve">. </w:t>
      </w:r>
      <w:r w:rsidR="00175C50">
        <w:rPr>
          <w:sz w:val="28"/>
          <w:szCs w:val="28"/>
        </w:rPr>
        <w:t>Кошти витрачені на:</w:t>
      </w:r>
    </w:p>
    <w:p w:rsidR="00175C50" w:rsidRPr="00175C50" w:rsidRDefault="00175C50" w:rsidP="00175C50">
      <w:pPr>
        <w:numPr>
          <w:ilvl w:val="0"/>
          <w:numId w:val="31"/>
        </w:numPr>
        <w:jc w:val="both"/>
        <w:rPr>
          <w:sz w:val="28"/>
          <w:szCs w:val="28"/>
        </w:rPr>
      </w:pPr>
      <w:r w:rsidRPr="00175C50">
        <w:rPr>
          <w:bCs/>
          <w:sz w:val="28"/>
          <w:szCs w:val="28"/>
        </w:rPr>
        <w:t>утримання, поточний ремонт ліній зовнішнього освітлення, оплата за електроенергію - 67,6 млн.грн.</w:t>
      </w:r>
      <w:r>
        <w:rPr>
          <w:bCs/>
          <w:sz w:val="28"/>
          <w:szCs w:val="28"/>
        </w:rPr>
        <w:t>;</w:t>
      </w:r>
    </w:p>
    <w:p w:rsidR="00175C50" w:rsidRPr="00175C50" w:rsidRDefault="00175C50" w:rsidP="00175C50">
      <w:pPr>
        <w:numPr>
          <w:ilvl w:val="0"/>
          <w:numId w:val="31"/>
        </w:numPr>
        <w:jc w:val="both"/>
        <w:rPr>
          <w:sz w:val="28"/>
          <w:szCs w:val="28"/>
        </w:rPr>
      </w:pPr>
      <w:r w:rsidRPr="00175C50">
        <w:rPr>
          <w:bCs/>
          <w:sz w:val="28"/>
          <w:szCs w:val="28"/>
        </w:rPr>
        <w:t>догляд за зеленими насадженнями - 56,0 млн.грн.</w:t>
      </w:r>
      <w:r>
        <w:rPr>
          <w:bCs/>
          <w:sz w:val="28"/>
          <w:szCs w:val="28"/>
        </w:rPr>
        <w:t>;</w:t>
      </w:r>
    </w:p>
    <w:p w:rsidR="00175C50" w:rsidRPr="00175C50" w:rsidRDefault="00175C50" w:rsidP="00175C50">
      <w:pPr>
        <w:numPr>
          <w:ilvl w:val="0"/>
          <w:numId w:val="31"/>
        </w:numPr>
        <w:jc w:val="both"/>
        <w:rPr>
          <w:sz w:val="28"/>
          <w:szCs w:val="28"/>
        </w:rPr>
      </w:pPr>
      <w:r w:rsidRPr="00175C50">
        <w:rPr>
          <w:bCs/>
          <w:sz w:val="28"/>
          <w:szCs w:val="28"/>
        </w:rPr>
        <w:t xml:space="preserve">ліквідація стихійних звалищ, поточний ремонт та утримання об'єктів благоустрою, меморіальних комплексів тощо - 30,5 </w:t>
      </w:r>
      <w:r w:rsidRPr="00175C50">
        <w:rPr>
          <w:sz w:val="28"/>
          <w:szCs w:val="28"/>
        </w:rPr>
        <w:t>млн.грн</w:t>
      </w:r>
      <w:r w:rsidRPr="00175C5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175C50" w:rsidRPr="00175C50" w:rsidRDefault="00175C50" w:rsidP="00175C50">
      <w:pPr>
        <w:numPr>
          <w:ilvl w:val="0"/>
          <w:numId w:val="31"/>
        </w:numPr>
        <w:jc w:val="both"/>
        <w:rPr>
          <w:sz w:val="28"/>
          <w:szCs w:val="28"/>
        </w:rPr>
      </w:pPr>
      <w:r w:rsidRPr="00175C50">
        <w:rPr>
          <w:bCs/>
          <w:sz w:val="28"/>
          <w:szCs w:val="28"/>
        </w:rPr>
        <w:t>утримання парків та скверів, пляжів, фонтанів, громадських вбиралень -18,3млн.грн.</w:t>
      </w:r>
      <w:r>
        <w:rPr>
          <w:bCs/>
          <w:sz w:val="28"/>
          <w:szCs w:val="28"/>
        </w:rPr>
        <w:t>;</w:t>
      </w:r>
    </w:p>
    <w:p w:rsidR="00175C50" w:rsidRPr="00175C50" w:rsidRDefault="00175C50" w:rsidP="00175C50">
      <w:pPr>
        <w:numPr>
          <w:ilvl w:val="0"/>
          <w:numId w:val="31"/>
        </w:numPr>
        <w:jc w:val="both"/>
        <w:rPr>
          <w:sz w:val="28"/>
          <w:szCs w:val="28"/>
        </w:rPr>
      </w:pPr>
      <w:r w:rsidRPr="00175C50">
        <w:rPr>
          <w:bCs/>
          <w:sz w:val="28"/>
          <w:szCs w:val="28"/>
        </w:rPr>
        <w:t>капітальний ремонт об’єктів благоустрою - 14,0 млн.грн.</w:t>
      </w:r>
      <w:r>
        <w:rPr>
          <w:bCs/>
          <w:sz w:val="28"/>
          <w:szCs w:val="28"/>
        </w:rPr>
        <w:t>;</w:t>
      </w:r>
    </w:p>
    <w:p w:rsidR="00175C50" w:rsidRPr="00175C50" w:rsidRDefault="00175C50" w:rsidP="00175C50">
      <w:pPr>
        <w:numPr>
          <w:ilvl w:val="0"/>
          <w:numId w:val="31"/>
        </w:numPr>
        <w:jc w:val="both"/>
        <w:rPr>
          <w:sz w:val="28"/>
          <w:szCs w:val="28"/>
        </w:rPr>
      </w:pPr>
      <w:r w:rsidRPr="00175C50">
        <w:rPr>
          <w:bCs/>
          <w:sz w:val="28"/>
          <w:szCs w:val="28"/>
        </w:rPr>
        <w:t>ремонт та технічне обслуговування засобів дорожнього руху, нанесення дорожньої розмітки, енергопостачання світлофорів - 11,6 млн.грн.</w:t>
      </w:r>
      <w:r>
        <w:rPr>
          <w:bCs/>
          <w:sz w:val="28"/>
          <w:szCs w:val="28"/>
        </w:rPr>
        <w:t>;</w:t>
      </w:r>
    </w:p>
    <w:p w:rsidR="00175C50" w:rsidRPr="00175C50" w:rsidRDefault="00175C50" w:rsidP="00175C50">
      <w:pPr>
        <w:numPr>
          <w:ilvl w:val="0"/>
          <w:numId w:val="31"/>
        </w:numPr>
        <w:jc w:val="both"/>
        <w:rPr>
          <w:sz w:val="28"/>
          <w:szCs w:val="28"/>
        </w:rPr>
      </w:pPr>
      <w:r w:rsidRPr="00175C50">
        <w:rPr>
          <w:bCs/>
          <w:sz w:val="28"/>
          <w:szCs w:val="28"/>
        </w:rPr>
        <w:t xml:space="preserve">утримання кладовищ </w:t>
      </w:r>
      <w:r>
        <w:rPr>
          <w:bCs/>
          <w:sz w:val="28"/>
          <w:szCs w:val="28"/>
        </w:rPr>
        <w:t xml:space="preserve">тощо </w:t>
      </w:r>
      <w:r w:rsidRPr="00175C50">
        <w:rPr>
          <w:bCs/>
          <w:sz w:val="28"/>
          <w:szCs w:val="28"/>
        </w:rPr>
        <w:t>- 8,1 млн.грн</w:t>
      </w:r>
      <w:r w:rsidRPr="00175C50">
        <w:rPr>
          <w:sz w:val="28"/>
          <w:szCs w:val="28"/>
        </w:rPr>
        <w:t>.</w:t>
      </w:r>
      <w:r w:rsidRPr="00175C50">
        <w:rPr>
          <w:bCs/>
          <w:sz w:val="28"/>
          <w:szCs w:val="28"/>
        </w:rPr>
        <w:t xml:space="preserve"> </w:t>
      </w:r>
    </w:p>
    <w:p w:rsidR="00553ABE" w:rsidRDefault="00553ABE" w:rsidP="000D0648">
      <w:pPr>
        <w:pStyle w:val="27"/>
        <w:spacing w:after="0" w:line="240" w:lineRule="auto"/>
        <w:ind w:firstLine="709"/>
        <w:jc w:val="both"/>
        <w:rPr>
          <w:sz w:val="28"/>
          <w:szCs w:val="28"/>
        </w:rPr>
      </w:pPr>
      <w:r w:rsidRPr="00A06D1A">
        <w:rPr>
          <w:sz w:val="28"/>
          <w:szCs w:val="28"/>
        </w:rPr>
        <w:t>На будівництво, реконструкцію, ремонт і утримання автомобільних доріг витрачено 440,1 </w:t>
      </w:r>
      <w:proofErr w:type="spellStart"/>
      <w:r w:rsidRPr="00A06D1A">
        <w:rPr>
          <w:sz w:val="28"/>
          <w:szCs w:val="28"/>
        </w:rPr>
        <w:t>млн.грн</w:t>
      </w:r>
      <w:proofErr w:type="spellEnd"/>
      <w:r w:rsidRPr="00A06D1A">
        <w:rPr>
          <w:sz w:val="28"/>
          <w:szCs w:val="28"/>
        </w:rPr>
        <w:t xml:space="preserve">. (96,5% планових показників), що на 4,8 % більше ніж в попередньому році. </w:t>
      </w:r>
    </w:p>
    <w:p w:rsidR="00553ABE" w:rsidRDefault="00D93439" w:rsidP="00553ABE">
      <w:pPr>
        <w:pStyle w:val="af2"/>
        <w:suppressAutoHyphens/>
        <w:ind w:left="0" w:firstLine="709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lastRenderedPageBreak/>
        <w:t>П</w:t>
      </w:r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роведено поточний ремонт доріг на площі </w:t>
      </w:r>
      <w:r w:rsidR="00553AB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401,2</w:t>
      </w:r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 </w:t>
      </w:r>
      <w:proofErr w:type="spellStart"/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тис.кв.м</w:t>
      </w:r>
      <w:proofErr w:type="spellEnd"/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, доріг приватного сектору – </w:t>
      </w:r>
      <w:r w:rsidR="00553AB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56,6</w:t>
      </w:r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 </w:t>
      </w:r>
      <w:proofErr w:type="spellStart"/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тис.кв.м</w:t>
      </w:r>
      <w:proofErr w:type="spellEnd"/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, тротуарів – </w:t>
      </w:r>
      <w:r w:rsidR="00553AB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18,1</w:t>
      </w:r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 </w:t>
      </w:r>
      <w:proofErr w:type="spellStart"/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тис.кв.м</w:t>
      </w:r>
      <w:proofErr w:type="spellEnd"/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. Завершено роботи з реконструкції вул. Земського лікаря Лукашевича від пр. Соборн</w:t>
      </w:r>
      <w:r w:rsidR="00553AB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ого</w:t>
      </w:r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до вул. Жуковського, капітального ремонту дорожнього покриття трамвайного переїзду по вул.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 </w:t>
      </w:r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 </w:t>
      </w:r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Березня - вул.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 </w:t>
      </w:r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Верещагіна</w:t>
      </w:r>
      <w:r w:rsidR="00553AB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, </w:t>
      </w:r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ремонту дороги приватного сектору по вул. Піонерській</w:t>
      </w:r>
      <w:r w:rsidR="00553AB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та капітального ремонту </w:t>
      </w:r>
      <w:r w:rsidR="00553ABE" w:rsidRPr="00DB0D9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дороги з влаштуванням </w:t>
      </w:r>
      <w:proofErr w:type="spellStart"/>
      <w:r w:rsidR="00553ABE" w:rsidRPr="00DB0D9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паркувальних</w:t>
      </w:r>
      <w:proofErr w:type="spellEnd"/>
      <w:r w:rsidR="00553ABE" w:rsidRPr="00DB0D9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кишень по Прибережній магістралі в районі Центрального пляжу</w:t>
      </w:r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. Продовжу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вались</w:t>
      </w:r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роботи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з</w:t>
      </w:r>
      <w:r w:rsidR="00553AB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</w:t>
      </w:r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реконструкці</w:t>
      </w:r>
      <w:r w:rsidR="00553AB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ї</w:t>
      </w:r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автодороги по вул. Тиражній та автомобільної дороги, яка з'єднує автодорогу Н-08 Борис</w:t>
      </w:r>
      <w:r w:rsidR="00553AB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піль-Дніпропетровськ-Запоріжжя. </w:t>
      </w:r>
      <w:r w:rsidR="00553ABE" w:rsidRPr="00C929F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Розпочато реконструкцію вул. Ферганської, вул. Шкільної від вул. Фортечної до вул. Першої ливарної, пішохідного мосту по пр. Металургів та шляхопроводу №1 по вул. Калібровій.</w:t>
      </w:r>
    </w:p>
    <w:p w:rsidR="00553ABE" w:rsidRPr="000C0D75" w:rsidRDefault="00553ABE" w:rsidP="00175C50">
      <w:pPr>
        <w:pStyle w:val="21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70A3F">
        <w:rPr>
          <w:sz w:val="28"/>
          <w:szCs w:val="28"/>
        </w:rPr>
        <w:t>На реконструкцію та будівництво об’єктів комунального господарства міста спрямовано 94,3 млн.грн.</w:t>
      </w:r>
      <w:r>
        <w:rPr>
          <w:sz w:val="28"/>
          <w:szCs w:val="28"/>
        </w:rPr>
        <w:t>(94,2% планових видатків)</w:t>
      </w:r>
      <w:r w:rsidR="000D0648">
        <w:rPr>
          <w:sz w:val="28"/>
          <w:szCs w:val="28"/>
        </w:rPr>
        <w:t>.</w:t>
      </w:r>
      <w:r w:rsidR="001A34D6">
        <w:rPr>
          <w:sz w:val="28"/>
          <w:szCs w:val="28"/>
        </w:rPr>
        <w:t xml:space="preserve"> </w:t>
      </w:r>
      <w:r w:rsidRPr="00A2024D">
        <w:rPr>
          <w:sz w:val="28"/>
          <w:szCs w:val="28"/>
        </w:rPr>
        <w:t xml:space="preserve">Протягом року завершено реконструкцію скверу Театрального в </w:t>
      </w:r>
      <w:proofErr w:type="spellStart"/>
      <w:r w:rsidRPr="00A2024D">
        <w:rPr>
          <w:sz w:val="28"/>
          <w:szCs w:val="28"/>
        </w:rPr>
        <w:t>Олександрівському</w:t>
      </w:r>
      <w:proofErr w:type="spellEnd"/>
      <w:r w:rsidRPr="00A2024D">
        <w:rPr>
          <w:sz w:val="28"/>
          <w:szCs w:val="28"/>
        </w:rPr>
        <w:t xml:space="preserve"> районі,</w:t>
      </w:r>
      <w:r w:rsidR="001A34D6">
        <w:rPr>
          <w:sz w:val="28"/>
          <w:szCs w:val="28"/>
        </w:rPr>
        <w:t xml:space="preserve"> роботи зі</w:t>
      </w:r>
      <w:r w:rsidRPr="00A2024D">
        <w:rPr>
          <w:sz w:val="28"/>
          <w:szCs w:val="28"/>
        </w:rPr>
        <w:t xml:space="preserve"> встановлення</w:t>
      </w:r>
      <w:r>
        <w:rPr>
          <w:sz w:val="28"/>
          <w:szCs w:val="28"/>
        </w:rPr>
        <w:t xml:space="preserve"> д</w:t>
      </w:r>
      <w:r w:rsidRPr="00B83AA6">
        <w:rPr>
          <w:sz w:val="28"/>
          <w:szCs w:val="28"/>
        </w:rPr>
        <w:t xml:space="preserve">екоративної скульптури, присвяченої ліквідаторам Чорнобильської катастрофи вздовж </w:t>
      </w:r>
      <w:proofErr w:type="spellStart"/>
      <w:r w:rsidRPr="00B83AA6">
        <w:rPr>
          <w:sz w:val="28"/>
          <w:szCs w:val="28"/>
        </w:rPr>
        <w:t>Вознесенівського</w:t>
      </w:r>
      <w:proofErr w:type="spellEnd"/>
      <w:r w:rsidRPr="00B83AA6">
        <w:rPr>
          <w:sz w:val="28"/>
          <w:szCs w:val="28"/>
        </w:rPr>
        <w:t xml:space="preserve"> узвозу</w:t>
      </w:r>
      <w:r>
        <w:rPr>
          <w:sz w:val="28"/>
          <w:szCs w:val="28"/>
        </w:rPr>
        <w:t>, створення «Алеї троянд» по вул.</w:t>
      </w:r>
      <w:r w:rsidR="001A34D6">
        <w:rPr>
          <w:sz w:val="28"/>
          <w:szCs w:val="28"/>
        </w:rPr>
        <w:t> </w:t>
      </w:r>
      <w:r>
        <w:rPr>
          <w:sz w:val="28"/>
          <w:szCs w:val="28"/>
        </w:rPr>
        <w:t>Я.</w:t>
      </w:r>
      <w:r w:rsidR="001A34D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Новицького</w:t>
      </w:r>
      <w:proofErr w:type="spellEnd"/>
      <w:r>
        <w:rPr>
          <w:sz w:val="28"/>
          <w:szCs w:val="28"/>
        </w:rPr>
        <w:t xml:space="preserve">, </w:t>
      </w:r>
      <w:r w:rsidRPr="000C0D75">
        <w:rPr>
          <w:sz w:val="28"/>
          <w:szCs w:val="28"/>
        </w:rPr>
        <w:t xml:space="preserve">будівництво мереж водопостачання та </w:t>
      </w:r>
      <w:r w:rsidRPr="00A2024D">
        <w:rPr>
          <w:sz w:val="28"/>
          <w:szCs w:val="28"/>
        </w:rPr>
        <w:t>водовідведення Центрального міського пляжу, капітальний ремонт тротуару по Прибережній магістралі, роботи на 57-ми об’єктах мереж зовнішнього освітлення</w:t>
      </w:r>
      <w:r w:rsidR="003B7E71">
        <w:rPr>
          <w:sz w:val="28"/>
          <w:szCs w:val="28"/>
        </w:rPr>
        <w:t xml:space="preserve"> </w:t>
      </w:r>
      <w:r w:rsidRPr="00A2024D">
        <w:rPr>
          <w:sz w:val="28"/>
          <w:szCs w:val="28"/>
        </w:rPr>
        <w:t xml:space="preserve"> (змонтовано 440 опор, 1,7 тис. світильників), на етапі завершення </w:t>
      </w:r>
      <w:r w:rsidR="003B7E71">
        <w:rPr>
          <w:sz w:val="28"/>
          <w:szCs w:val="28"/>
        </w:rPr>
        <w:t xml:space="preserve"> </w:t>
      </w:r>
      <w:r w:rsidRPr="00A2024D">
        <w:rPr>
          <w:sz w:val="28"/>
          <w:szCs w:val="28"/>
        </w:rPr>
        <w:t>3</w:t>
      </w:r>
      <w:r w:rsidR="00D92BD1">
        <w:rPr>
          <w:sz w:val="28"/>
          <w:szCs w:val="28"/>
        </w:rPr>
        <w:t>-я</w:t>
      </w:r>
      <w:r w:rsidRPr="00A2024D">
        <w:rPr>
          <w:sz w:val="28"/>
          <w:szCs w:val="28"/>
        </w:rPr>
        <w:t xml:space="preserve"> черга реконструкції пішохідної частини проспекту Маяковського</w:t>
      </w:r>
      <w:r w:rsidR="00175C50">
        <w:rPr>
          <w:sz w:val="28"/>
          <w:szCs w:val="28"/>
        </w:rPr>
        <w:t>.</w:t>
      </w:r>
    </w:p>
    <w:p w:rsidR="00484D1E" w:rsidRDefault="00553ABE" w:rsidP="00553ABE">
      <w:pPr>
        <w:pStyle w:val="213"/>
        <w:spacing w:after="0" w:line="100" w:lineRule="atLeast"/>
        <w:ind w:firstLine="851"/>
        <w:jc w:val="both"/>
        <w:rPr>
          <w:sz w:val="28"/>
          <w:szCs w:val="28"/>
        </w:rPr>
      </w:pPr>
      <w:r w:rsidRPr="00E66818">
        <w:rPr>
          <w:sz w:val="28"/>
          <w:szCs w:val="28"/>
        </w:rPr>
        <w:t xml:space="preserve">На фінансування заходів </w:t>
      </w:r>
      <w:r w:rsidRPr="00E66818">
        <w:rPr>
          <w:b/>
          <w:i/>
          <w:sz w:val="28"/>
          <w:szCs w:val="28"/>
        </w:rPr>
        <w:t>програми розвитку та утримання житлово-комунального господарства</w:t>
      </w:r>
      <w:r w:rsidRPr="00E66818">
        <w:rPr>
          <w:sz w:val="28"/>
          <w:szCs w:val="28"/>
        </w:rPr>
        <w:t xml:space="preserve"> </w:t>
      </w:r>
      <w:r w:rsidRPr="00C60038">
        <w:rPr>
          <w:sz w:val="28"/>
          <w:szCs w:val="28"/>
        </w:rPr>
        <w:t xml:space="preserve">витрачено </w:t>
      </w:r>
      <w:r w:rsidR="00FF51A2">
        <w:rPr>
          <w:sz w:val="28"/>
          <w:szCs w:val="28"/>
        </w:rPr>
        <w:t>891,6</w:t>
      </w:r>
      <w:r w:rsidRPr="00C60038">
        <w:rPr>
          <w:sz w:val="28"/>
          <w:szCs w:val="28"/>
        </w:rPr>
        <w:t> млн.грн.</w:t>
      </w:r>
      <w:r>
        <w:rPr>
          <w:sz w:val="28"/>
          <w:szCs w:val="28"/>
        </w:rPr>
        <w:t xml:space="preserve"> або 96,7% планових показників. </w:t>
      </w:r>
    </w:p>
    <w:p w:rsidR="00553ABE" w:rsidRDefault="00511EF1" w:rsidP="00381807">
      <w:pPr>
        <w:pStyle w:val="213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Кошти спрямовані на</w:t>
      </w:r>
      <w:r w:rsidR="00553ABE">
        <w:rPr>
          <w:sz w:val="28"/>
          <w:szCs w:val="28"/>
        </w:rPr>
        <w:t>:</w:t>
      </w:r>
    </w:p>
    <w:p w:rsidR="00381807" w:rsidRPr="00381807" w:rsidRDefault="00381807" w:rsidP="00381807">
      <w:pPr>
        <w:pStyle w:val="af2"/>
        <w:numPr>
          <w:ilvl w:val="0"/>
          <w:numId w:val="19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проведен</w:t>
      </w:r>
      <w:r w:rsidR="00511EF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ня</w:t>
      </w: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капітальн</w:t>
      </w:r>
      <w:r w:rsidR="00511EF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ого</w:t>
      </w: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ремонт</w:t>
      </w:r>
      <w:r w:rsidR="00511EF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у </w:t>
      </w: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житлового фонду</w:t>
      </w:r>
      <w:r w:rsidR="00511EF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- </w:t>
      </w: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408,9</w:t>
      </w:r>
      <w:r w:rsidR="00511EF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 </w:t>
      </w: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млн.грн. Виконано вибірковий-капітальний ремонт 73</w:t>
      </w:r>
      <w:r w:rsidR="000F1AD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-х</w:t>
      </w: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житлових будинків, ремонт 83,3 </w:t>
      </w:r>
      <w:proofErr w:type="spellStart"/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тис.кв.м</w:t>
      </w:r>
      <w:proofErr w:type="spellEnd"/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покрівель на 76 будинках, роботи з модернізації, заміни та капітального ремонту 54</w:t>
      </w:r>
      <w:r w:rsidR="000F1AD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-х</w:t>
      </w: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ліфтів, малого капітального ремонту 61</w:t>
      </w:r>
      <w:r w:rsidR="000F1AD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-ого</w:t>
      </w: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ліфту, експертне обстеження та технічний огляд ліфтів на 381</w:t>
      </w:r>
      <w:r w:rsidR="000F1AD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-ому</w:t>
      </w: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об’єкті, заміна </w:t>
      </w:r>
      <w:r w:rsidR="003B7E7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          </w:t>
      </w: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68,5 </w:t>
      </w:r>
      <w:proofErr w:type="spellStart"/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тис.м</w:t>
      </w:r>
      <w:proofErr w:type="spellEnd"/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/п інженерних мереж водо-теплопостачання у 108</w:t>
      </w:r>
      <w:r w:rsidR="000F1AD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-ми</w:t>
      </w: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будинках</w:t>
      </w:r>
      <w:r w:rsidR="009A095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, </w:t>
      </w: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інструментальне обстеження </w:t>
      </w:r>
      <w:r w:rsidR="00B94E16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49</w:t>
      </w:r>
      <w:r w:rsidR="000F1AD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-ти</w:t>
      </w:r>
      <w:r w:rsidR="00B94E16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будинків, моніторинг </w:t>
      </w:r>
      <w:r w:rsidR="00B94E16" w:rsidRPr="00B94E16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за деформаціями житлових будинків та по усуненню їх наднормативних кренів</w:t>
      </w:r>
      <w:r w:rsidR="00B94E16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</w:t>
      </w:r>
      <w:r w:rsidR="000F1AD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в </w:t>
      </w:r>
      <w:r w:rsidR="00B94E16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63</w:t>
      </w:r>
      <w:r w:rsidR="000F1AD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-х</w:t>
      </w:r>
      <w:r w:rsidR="00B94E16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</w:t>
      </w: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будинк</w:t>
      </w:r>
      <w:r w:rsidR="000F1AD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ах</w:t>
      </w:r>
      <w:r w:rsidR="00B94E16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, в т.ч. </w:t>
      </w: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вирівнювання </w:t>
      </w:r>
      <w:r w:rsidR="00B94E16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3 </w:t>
      </w: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блок-секцій 2</w:t>
      </w:r>
      <w:r w:rsidR="000F1AD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-х</w:t>
      </w:r>
      <w:r w:rsidRPr="0038180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будинків.</w:t>
      </w:r>
    </w:p>
    <w:p w:rsidR="00553ABE" w:rsidRDefault="00553ABE" w:rsidP="000F1ADE">
      <w:pPr>
        <w:pStyle w:val="213"/>
        <w:spacing w:after="0" w:line="240" w:lineRule="auto"/>
        <w:ind w:firstLine="709"/>
        <w:jc w:val="both"/>
        <w:rPr>
          <w:sz w:val="28"/>
          <w:szCs w:val="28"/>
        </w:rPr>
      </w:pPr>
      <w:r w:rsidRPr="0013674B">
        <w:rPr>
          <w:sz w:val="28"/>
          <w:szCs w:val="28"/>
        </w:rPr>
        <w:t>Також, в рамках реалізації міських програм проводився ка</w:t>
      </w:r>
      <w:r w:rsidR="00734026">
        <w:rPr>
          <w:sz w:val="28"/>
          <w:szCs w:val="28"/>
        </w:rPr>
        <w:t>пітальний ремонт будинків ОСББ.</w:t>
      </w:r>
    </w:p>
    <w:p w:rsidR="000F1ADE" w:rsidRPr="0013674B" w:rsidRDefault="000F1ADE" w:rsidP="000D0648">
      <w:pPr>
        <w:pStyle w:val="af"/>
        <w:autoSpaceDE w:val="0"/>
        <w:spacing w:after="0"/>
        <w:ind w:firstLine="708"/>
        <w:jc w:val="both"/>
        <w:rPr>
          <w:b/>
          <w:color w:val="FF0000"/>
          <w:sz w:val="28"/>
          <w:szCs w:val="28"/>
        </w:rPr>
      </w:pPr>
      <w:r w:rsidRPr="0013674B">
        <w:rPr>
          <w:sz w:val="28"/>
          <w:szCs w:val="28"/>
        </w:rPr>
        <w:t>Загалом ремонто</w:t>
      </w:r>
      <w:r>
        <w:rPr>
          <w:sz w:val="28"/>
          <w:szCs w:val="28"/>
        </w:rPr>
        <w:t xml:space="preserve">м </w:t>
      </w:r>
      <w:r w:rsidR="003F1FCC">
        <w:rPr>
          <w:sz w:val="28"/>
          <w:szCs w:val="28"/>
        </w:rPr>
        <w:t xml:space="preserve">було </w:t>
      </w:r>
      <w:r>
        <w:rPr>
          <w:sz w:val="28"/>
          <w:szCs w:val="28"/>
        </w:rPr>
        <w:t>охоплено 136 будинків, в т.ч. 81</w:t>
      </w:r>
      <w:r w:rsidRPr="0013674B">
        <w:rPr>
          <w:sz w:val="28"/>
          <w:szCs w:val="28"/>
        </w:rPr>
        <w:t xml:space="preserve"> в рамках реалізації пілотного проекту проведення капітальних ремонтів спільного майна багатоквартирних будинків на умовах </w:t>
      </w:r>
      <w:proofErr w:type="spellStart"/>
      <w:r w:rsidRPr="0013674B">
        <w:rPr>
          <w:sz w:val="28"/>
          <w:szCs w:val="28"/>
        </w:rPr>
        <w:t>співфінансування</w:t>
      </w:r>
      <w:proofErr w:type="spellEnd"/>
      <w:r w:rsidRPr="0013674B">
        <w:rPr>
          <w:sz w:val="28"/>
          <w:szCs w:val="28"/>
        </w:rPr>
        <w:t>.</w:t>
      </w:r>
    </w:p>
    <w:p w:rsidR="000F1ADE" w:rsidRDefault="000F1ADE" w:rsidP="000F1ADE">
      <w:pPr>
        <w:pStyle w:val="27"/>
        <w:spacing w:after="0" w:line="240" w:lineRule="auto"/>
        <w:ind w:firstLine="709"/>
        <w:jc w:val="both"/>
        <w:rPr>
          <w:sz w:val="28"/>
          <w:szCs w:val="28"/>
        </w:rPr>
      </w:pPr>
      <w:r w:rsidRPr="0013674B">
        <w:rPr>
          <w:sz w:val="28"/>
          <w:szCs w:val="28"/>
        </w:rPr>
        <w:t>Крім того, за рахунок субвенції з державного бюджету проведено заміну вікон у 78</w:t>
      </w:r>
      <w:r>
        <w:rPr>
          <w:sz w:val="28"/>
          <w:szCs w:val="28"/>
        </w:rPr>
        <w:t>-ми</w:t>
      </w:r>
      <w:r w:rsidRPr="0013674B">
        <w:rPr>
          <w:sz w:val="28"/>
          <w:szCs w:val="28"/>
        </w:rPr>
        <w:t xml:space="preserve"> будинках ОСББ та ЖБК. Загальний обсяг видатків на підтримку ефективного власника житла склав 162,2 млн.грн.</w:t>
      </w:r>
    </w:p>
    <w:p w:rsidR="00553ABE" w:rsidRPr="0083357B" w:rsidRDefault="00553ABE" w:rsidP="0083357B">
      <w:pPr>
        <w:pStyle w:val="af2"/>
        <w:numPr>
          <w:ilvl w:val="0"/>
          <w:numId w:val="13"/>
        </w:numPr>
        <w:suppressAutoHyphens/>
        <w:ind w:left="0" w:firstLine="709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83357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надан</w:t>
      </w:r>
      <w:r w:rsidR="003F1FC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ня</w:t>
      </w:r>
      <w:r w:rsidRPr="0083357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фінансов</w:t>
      </w:r>
      <w:r w:rsidR="003F1FC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ої</w:t>
      </w:r>
      <w:r w:rsidRPr="0083357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підтримк</w:t>
      </w:r>
      <w:r w:rsidR="003F1FC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и</w:t>
      </w:r>
      <w:r w:rsidRPr="0083357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комунальним підприємствам галузі та здійснен</w:t>
      </w:r>
      <w:r w:rsidR="003F1FC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ня</w:t>
      </w:r>
      <w:r w:rsidRPr="0083357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внеск</w:t>
      </w:r>
      <w:r w:rsidR="003F1FC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ів</w:t>
      </w:r>
      <w:r w:rsidRPr="0083357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у їх статутні капітали </w:t>
      </w:r>
      <w:r w:rsidR="003F1FC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-</w:t>
      </w:r>
      <w:r w:rsidRPr="0083357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367,2  млн.грн. Кошти </w:t>
      </w:r>
      <w:r w:rsidRPr="0083357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lastRenderedPageBreak/>
        <w:t>використано на забезпечення функціонування комунальних підприємств, що надають житлово-комунальні послуги населенню міста та оновлення їх матеріально-технічної бази. Придбано 4 екскаватори-навантажувачі та</w:t>
      </w:r>
      <w:r w:rsidR="003F1FC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</w:t>
      </w:r>
      <w:r w:rsidRPr="0083357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3</w:t>
      </w:r>
      <w:r w:rsidR="003F1FC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 </w:t>
      </w:r>
      <w:r w:rsidRPr="0083357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подрібнювачі деревини.</w:t>
      </w:r>
    </w:p>
    <w:p w:rsidR="00553ABE" w:rsidRPr="008A1BCB" w:rsidRDefault="00553ABE" w:rsidP="00553ABE">
      <w:pPr>
        <w:pStyle w:val="af2"/>
        <w:numPr>
          <w:ilvl w:val="0"/>
          <w:numId w:val="13"/>
        </w:numPr>
        <w:ind w:left="0" w:firstLine="709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8A1BC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проведен</w:t>
      </w:r>
      <w:r w:rsidR="003F1FC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ня</w:t>
      </w:r>
      <w:r w:rsidRPr="008A1BC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поточни</w:t>
      </w:r>
      <w:r w:rsidR="003F1FC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х</w:t>
      </w:r>
      <w:r w:rsidRPr="008A1BC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ремонт</w:t>
      </w:r>
      <w:r w:rsidR="003F1FC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ів</w:t>
      </w:r>
      <w:r w:rsidRPr="008A1BC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асфальтного покриття прибудинкових територій та </w:t>
      </w:r>
      <w:proofErr w:type="spellStart"/>
      <w:r w:rsidRPr="008A1BC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внутрішньоквартальних</w:t>
      </w:r>
      <w:proofErr w:type="spellEnd"/>
      <w:r w:rsidRPr="008A1BC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проїздів. Роботи виконані на площі 144,2</w:t>
      </w:r>
      <w:r w:rsidR="003F1FC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 </w:t>
      </w:r>
      <w:proofErr w:type="spellStart"/>
      <w:r w:rsidRPr="008A1BC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тис.кв.м</w:t>
      </w:r>
      <w:proofErr w:type="spellEnd"/>
      <w:r w:rsidRPr="008A1BC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. на загальну суму 48,4</w:t>
      </w:r>
      <w:r w:rsidR="003F1FC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 </w:t>
      </w:r>
      <w:r w:rsidR="00734026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млн.грн.</w:t>
      </w:r>
    </w:p>
    <w:p w:rsidR="00553ABE" w:rsidRPr="008A1BCB" w:rsidRDefault="00553ABE" w:rsidP="00553ABE">
      <w:pPr>
        <w:pStyle w:val="af2"/>
        <w:numPr>
          <w:ilvl w:val="0"/>
          <w:numId w:val="13"/>
        </w:numPr>
        <w:ind w:left="0" w:firstLine="709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8A1BC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забезпечен</w:t>
      </w:r>
      <w:r w:rsidR="003F1FC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ня</w:t>
      </w:r>
      <w:r w:rsidRPr="008A1BC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</w:t>
      </w:r>
      <w:r w:rsidR="003F1FC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належного утримання кварталів житлової забудови -</w:t>
      </w:r>
      <w:r w:rsidRPr="008A1BC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29,7</w:t>
      </w:r>
      <w:r w:rsidR="003F1FC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 </w:t>
      </w:r>
      <w:r w:rsidRPr="008A1BC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млн.грн. </w:t>
      </w:r>
    </w:p>
    <w:p w:rsidR="00553ABE" w:rsidRPr="00175C50" w:rsidRDefault="000B7B19" w:rsidP="000B7B19">
      <w:pPr>
        <w:pStyle w:val="af2"/>
        <w:numPr>
          <w:ilvl w:val="0"/>
          <w:numId w:val="13"/>
        </w:numPr>
        <w:suppressAutoHyphens/>
        <w:ind w:left="0" w:firstLine="709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175C50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та реконструкцію об’єктів житлово-комунального господарства – </w:t>
      </w:r>
      <w:r w:rsidR="00FF51A2" w:rsidRPr="00175C50">
        <w:rPr>
          <w:rFonts w:ascii="Times New Roman" w:hAnsi="Times New Roman" w:cs="Times New Roman"/>
          <w:sz w:val="28"/>
          <w:szCs w:val="28"/>
          <w:lang w:val="uk-UA"/>
        </w:rPr>
        <w:t>15,5</w:t>
      </w:r>
      <w:r w:rsidRPr="00175C50">
        <w:rPr>
          <w:rFonts w:ascii="Times New Roman" w:hAnsi="Times New Roman" w:cs="Times New Roman"/>
          <w:sz w:val="28"/>
          <w:szCs w:val="28"/>
          <w:lang w:val="uk-UA"/>
        </w:rPr>
        <w:t xml:space="preserve"> млн.грн. </w:t>
      </w:r>
    </w:p>
    <w:p w:rsidR="00553ABE" w:rsidRPr="000B7B19" w:rsidRDefault="000B7B19" w:rsidP="000B7B19">
      <w:pPr>
        <w:pStyle w:val="af2"/>
        <w:numPr>
          <w:ilvl w:val="0"/>
          <w:numId w:val="13"/>
        </w:numPr>
        <w:suppressAutoHyphens/>
        <w:ind w:left="0" w:firstLine="709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175C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поліпшення житлових умов мешканців міста - 16,3 млн.грн., в тому числі за рахунок субвенцій з державного та обласного бюджетів – 12,2 млн.грн. П</w:t>
      </w:r>
      <w:r w:rsidR="00553ABE" w:rsidRPr="00175C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ридбан</w:t>
      </w:r>
      <w:r w:rsidRPr="00175C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о 24 квартири, з яких </w:t>
      </w:r>
      <w:r w:rsidR="00553ABE" w:rsidRPr="00175C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9 квартир для дітей-сиріт та осіб, прирівняних до них, 7 квартир для відселення сімей з аварійних будинків. Також, 3,2 млн.грн. спрямовано на будівництво будинку сімейного типу у </w:t>
      </w:r>
      <w:proofErr w:type="spellStart"/>
      <w:r w:rsidR="00553ABE" w:rsidRPr="00175C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сел.Тепличне</w:t>
      </w:r>
      <w:proofErr w:type="spellEnd"/>
      <w:r w:rsidR="00553ABE" w:rsidRPr="00175C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.</w:t>
      </w:r>
    </w:p>
    <w:p w:rsidR="00FB215B" w:rsidRPr="00FB215B" w:rsidRDefault="00FB215B" w:rsidP="00FB215B">
      <w:pPr>
        <w:pStyle w:val="af2"/>
        <w:numPr>
          <w:ilvl w:val="0"/>
          <w:numId w:val="13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3674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проведен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ня</w:t>
      </w:r>
      <w:r w:rsidRPr="0013674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ремонт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у теплової мережі по пр. Маяковського, водопроводу по вул. О.Говорухи та </w:t>
      </w:r>
      <w:r w:rsidRPr="0013674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придба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ння</w:t>
      </w:r>
      <w:r w:rsidRPr="0013674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33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-х</w:t>
      </w:r>
      <w:r w:rsidRPr="0013674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пожежних гідрант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ів -</w:t>
      </w:r>
      <w:r w:rsidRPr="0013674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1,1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 </w:t>
      </w:r>
      <w:r w:rsidRPr="0013674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млн.грн.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,</w:t>
      </w:r>
      <w:r w:rsidRPr="0013674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відновлен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ня</w:t>
      </w:r>
      <w:r w:rsidRPr="0013674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193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-х</w:t>
      </w:r>
      <w:r w:rsidRPr="0013674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засоб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ів</w:t>
      </w:r>
      <w:r w:rsidRPr="0013674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обліку теплової енергії після крадіжок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- </w:t>
      </w:r>
      <w:r w:rsidRPr="0013674B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4,5 млн.грн.</w:t>
      </w:r>
    </w:p>
    <w:p w:rsidR="00553ABE" w:rsidRDefault="00553ABE" w:rsidP="00553ABE">
      <w:pPr>
        <w:pStyle w:val="213"/>
        <w:spacing w:after="0" w:line="100" w:lineRule="atLeast"/>
        <w:ind w:firstLine="709"/>
        <w:jc w:val="both"/>
        <w:rPr>
          <w:sz w:val="28"/>
          <w:szCs w:val="28"/>
        </w:rPr>
      </w:pPr>
      <w:r w:rsidRPr="0083447A">
        <w:rPr>
          <w:sz w:val="28"/>
          <w:szCs w:val="28"/>
        </w:rPr>
        <w:t xml:space="preserve">На виконання заходів </w:t>
      </w:r>
      <w:r w:rsidRPr="005B3EDA">
        <w:rPr>
          <w:b/>
          <w:i/>
          <w:sz w:val="28"/>
          <w:szCs w:val="28"/>
        </w:rPr>
        <w:t>Програми «Муніципальної аварійної служби та служби технічного обслуговування систем диспетчеризації ліфтів»</w:t>
      </w:r>
      <w:r w:rsidRPr="0083447A">
        <w:rPr>
          <w:sz w:val="28"/>
          <w:szCs w:val="28"/>
        </w:rPr>
        <w:t xml:space="preserve"> використано </w:t>
      </w:r>
      <w:r w:rsidR="00FD1F84">
        <w:rPr>
          <w:sz w:val="28"/>
          <w:szCs w:val="28"/>
        </w:rPr>
        <w:t>86,2</w:t>
      </w:r>
      <w:r>
        <w:rPr>
          <w:sz w:val="28"/>
          <w:szCs w:val="28"/>
        </w:rPr>
        <w:t> млн.грн.</w:t>
      </w:r>
      <w:r w:rsidRPr="0083447A">
        <w:rPr>
          <w:sz w:val="28"/>
          <w:szCs w:val="28"/>
        </w:rPr>
        <w:t xml:space="preserve"> або 98,</w:t>
      </w:r>
      <w:r w:rsidR="00FD1F84">
        <w:rPr>
          <w:sz w:val="28"/>
          <w:szCs w:val="28"/>
        </w:rPr>
        <w:t>0</w:t>
      </w:r>
      <w:r w:rsidRPr="0083447A">
        <w:rPr>
          <w:sz w:val="28"/>
          <w:szCs w:val="28"/>
        </w:rPr>
        <w:t>% планових показників.</w:t>
      </w:r>
      <w:r>
        <w:rPr>
          <w:sz w:val="28"/>
          <w:szCs w:val="28"/>
        </w:rPr>
        <w:t xml:space="preserve"> Муніципальною аварійною службою опрацьовано 73 тисячі заявок мешканців міста, службою диспетчеризації ліфтів обслуговувалося 3,8 тисяч ліфтів. </w:t>
      </w:r>
      <w:r w:rsidR="00FD1F84">
        <w:rPr>
          <w:sz w:val="28"/>
          <w:szCs w:val="28"/>
        </w:rPr>
        <w:t>Також с</w:t>
      </w:r>
      <w:r w:rsidR="00FD1F84" w:rsidRPr="008A1BCB">
        <w:rPr>
          <w:sz w:val="28"/>
          <w:szCs w:val="28"/>
        </w:rPr>
        <w:t>творен</w:t>
      </w:r>
      <w:r w:rsidR="00BF4F04">
        <w:rPr>
          <w:sz w:val="28"/>
          <w:szCs w:val="28"/>
        </w:rPr>
        <w:t>а</w:t>
      </w:r>
      <w:r w:rsidR="00FD1F84" w:rsidRPr="008A1BCB">
        <w:rPr>
          <w:sz w:val="28"/>
          <w:szCs w:val="28"/>
        </w:rPr>
        <w:t xml:space="preserve"> диспетчерськ</w:t>
      </w:r>
      <w:r w:rsidR="00FD1F84">
        <w:rPr>
          <w:sz w:val="28"/>
          <w:szCs w:val="28"/>
        </w:rPr>
        <w:t>а</w:t>
      </w:r>
      <w:r w:rsidR="00FD1F84" w:rsidRPr="008A1BCB">
        <w:rPr>
          <w:sz w:val="28"/>
          <w:szCs w:val="28"/>
        </w:rPr>
        <w:t xml:space="preserve"> систем</w:t>
      </w:r>
      <w:r w:rsidR="00FD1F84">
        <w:rPr>
          <w:sz w:val="28"/>
          <w:szCs w:val="28"/>
        </w:rPr>
        <w:t>а</w:t>
      </w:r>
      <w:r w:rsidR="00FD1F84" w:rsidRPr="008A1BCB">
        <w:rPr>
          <w:sz w:val="28"/>
          <w:szCs w:val="28"/>
        </w:rPr>
        <w:t xml:space="preserve"> зв’язку типу GSM у 56</w:t>
      </w:r>
      <w:r w:rsidR="00FD1F84">
        <w:rPr>
          <w:sz w:val="28"/>
          <w:szCs w:val="28"/>
        </w:rPr>
        <w:t>-ти</w:t>
      </w:r>
      <w:r w:rsidR="00FD1F84" w:rsidRPr="008A1BCB">
        <w:rPr>
          <w:sz w:val="28"/>
          <w:szCs w:val="28"/>
        </w:rPr>
        <w:t xml:space="preserve"> будинках</w:t>
      </w:r>
      <w:r w:rsidR="00FD1F84">
        <w:rPr>
          <w:sz w:val="28"/>
          <w:szCs w:val="28"/>
        </w:rPr>
        <w:t xml:space="preserve"> -</w:t>
      </w:r>
      <w:r w:rsidR="00FD1F84" w:rsidRPr="008A1BCB">
        <w:rPr>
          <w:sz w:val="28"/>
          <w:szCs w:val="28"/>
        </w:rPr>
        <w:t xml:space="preserve"> 2,5 млн.грн</w:t>
      </w:r>
      <w:r w:rsidR="00FD1F84">
        <w:rPr>
          <w:sz w:val="28"/>
          <w:szCs w:val="28"/>
        </w:rPr>
        <w:t>.</w:t>
      </w:r>
    </w:p>
    <w:p w:rsidR="00553ABE" w:rsidRPr="0083447A" w:rsidRDefault="00553ABE" w:rsidP="00553ABE">
      <w:pPr>
        <w:pStyle w:val="213"/>
        <w:spacing w:after="0" w:line="100" w:lineRule="atLeast"/>
        <w:ind w:firstLine="709"/>
        <w:jc w:val="both"/>
        <w:rPr>
          <w:sz w:val="28"/>
          <w:szCs w:val="28"/>
        </w:rPr>
      </w:pPr>
      <w:r w:rsidRPr="0083447A">
        <w:rPr>
          <w:sz w:val="28"/>
          <w:szCs w:val="28"/>
        </w:rPr>
        <w:t xml:space="preserve">У звітному періоді в рамках реалізації </w:t>
      </w:r>
      <w:r w:rsidRPr="005B3EDA">
        <w:rPr>
          <w:b/>
          <w:i/>
          <w:sz w:val="28"/>
          <w:szCs w:val="28"/>
        </w:rPr>
        <w:t xml:space="preserve">Програми відшкодування відсоткових ставок за залученими в кредитно-фінансових установах короткостроковими кредитами, </w:t>
      </w:r>
      <w:r w:rsidRPr="0083447A">
        <w:rPr>
          <w:sz w:val="28"/>
          <w:szCs w:val="28"/>
        </w:rPr>
        <w:t xml:space="preserve">що надаються ОСББ та ЖБК на реалізацію енергозберігаючих та </w:t>
      </w:r>
      <w:proofErr w:type="spellStart"/>
      <w:r w:rsidRPr="0083447A">
        <w:rPr>
          <w:sz w:val="28"/>
          <w:szCs w:val="28"/>
        </w:rPr>
        <w:t>енергоефективних</w:t>
      </w:r>
      <w:proofErr w:type="spellEnd"/>
      <w:r w:rsidRPr="0083447A">
        <w:rPr>
          <w:sz w:val="28"/>
          <w:szCs w:val="28"/>
        </w:rPr>
        <w:t xml:space="preserve"> проектів в житлово-комунальному господарстві проведені видатки у сумі 2,9 млн.грн. </w:t>
      </w:r>
      <w:r w:rsidR="00516FB9">
        <w:rPr>
          <w:sz w:val="28"/>
          <w:szCs w:val="28"/>
        </w:rPr>
        <w:t xml:space="preserve">Співвласниками житлових будинків </w:t>
      </w:r>
      <w:r w:rsidRPr="0083447A">
        <w:rPr>
          <w:sz w:val="28"/>
          <w:szCs w:val="28"/>
        </w:rPr>
        <w:t xml:space="preserve">оформлено 128 кредитів на впровадження </w:t>
      </w:r>
      <w:proofErr w:type="spellStart"/>
      <w:r w:rsidRPr="0083447A">
        <w:rPr>
          <w:sz w:val="28"/>
          <w:szCs w:val="28"/>
        </w:rPr>
        <w:t>енергоефективних</w:t>
      </w:r>
      <w:proofErr w:type="spellEnd"/>
      <w:r w:rsidRPr="0083447A">
        <w:rPr>
          <w:sz w:val="28"/>
          <w:szCs w:val="28"/>
        </w:rPr>
        <w:t xml:space="preserve"> заходів, відсотки по яким будуть відшкодовуватися за рахунок коштів бюджету міста. </w:t>
      </w:r>
    </w:p>
    <w:p w:rsidR="00DD5585" w:rsidRPr="005A1203" w:rsidRDefault="00DD5585" w:rsidP="00AD4010">
      <w:pPr>
        <w:pStyle w:val="210"/>
        <w:spacing w:after="0" w:line="240" w:lineRule="auto"/>
        <w:contextualSpacing/>
        <w:jc w:val="both"/>
        <w:rPr>
          <w:color w:val="FF0000"/>
          <w:sz w:val="16"/>
          <w:szCs w:val="16"/>
        </w:rPr>
      </w:pPr>
    </w:p>
    <w:p w:rsidR="00DD5585" w:rsidRPr="001C5198" w:rsidRDefault="00DD5585" w:rsidP="00DD5585">
      <w:pPr>
        <w:pStyle w:val="23"/>
        <w:spacing w:after="0" w:line="240" w:lineRule="auto"/>
        <w:ind w:left="360"/>
        <w:contextualSpacing/>
        <w:jc w:val="center"/>
        <w:rPr>
          <w:b/>
          <w:bCs/>
          <w:sz w:val="28"/>
          <w:szCs w:val="28"/>
        </w:rPr>
      </w:pPr>
      <w:r w:rsidRPr="001C5198">
        <w:rPr>
          <w:b/>
          <w:bCs/>
          <w:sz w:val="28"/>
          <w:szCs w:val="28"/>
        </w:rPr>
        <w:t>Транспорт</w:t>
      </w:r>
      <w:r w:rsidR="00AD4010">
        <w:rPr>
          <w:b/>
          <w:bCs/>
          <w:sz w:val="28"/>
          <w:szCs w:val="28"/>
        </w:rPr>
        <w:t>не забезпечення</w:t>
      </w:r>
    </w:p>
    <w:p w:rsidR="00FD29F1" w:rsidRPr="005A1203" w:rsidRDefault="00FD29F1" w:rsidP="00DD5585">
      <w:pPr>
        <w:pStyle w:val="23"/>
        <w:spacing w:after="0" w:line="240" w:lineRule="auto"/>
        <w:ind w:left="360"/>
        <w:contextualSpacing/>
        <w:jc w:val="center"/>
        <w:rPr>
          <w:b/>
          <w:bCs/>
          <w:color w:val="FF0000"/>
          <w:sz w:val="12"/>
          <w:szCs w:val="12"/>
        </w:rPr>
      </w:pPr>
    </w:p>
    <w:p w:rsidR="007B5EBC" w:rsidRDefault="001C5198" w:rsidP="007B5EBC">
      <w:pPr>
        <w:pStyle w:val="27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2307C8">
        <w:rPr>
          <w:sz w:val="28"/>
          <w:szCs w:val="28"/>
        </w:rPr>
        <w:t>В цілому на функціонування та розвиток транспортної галузі</w:t>
      </w:r>
      <w:r>
        <w:rPr>
          <w:sz w:val="28"/>
          <w:szCs w:val="28"/>
        </w:rPr>
        <w:t xml:space="preserve"> міста</w:t>
      </w:r>
      <w:r w:rsidRPr="002307C8">
        <w:rPr>
          <w:sz w:val="28"/>
          <w:szCs w:val="28"/>
        </w:rPr>
        <w:t xml:space="preserve"> спрямовано 588,7 млн.грн. або 99,9% планових показників</w:t>
      </w:r>
      <w:r w:rsidR="00734026">
        <w:rPr>
          <w:sz w:val="28"/>
          <w:szCs w:val="28"/>
        </w:rPr>
        <w:t>.</w:t>
      </w:r>
      <w:r w:rsidR="007B5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Зазначені кошти направлено на розвиток </w:t>
      </w:r>
      <w:r w:rsidRPr="002307C8">
        <w:rPr>
          <w:sz w:val="28"/>
          <w:szCs w:val="28"/>
        </w:rPr>
        <w:t>ЗКП</w:t>
      </w:r>
      <w:r>
        <w:rPr>
          <w:sz w:val="28"/>
          <w:szCs w:val="28"/>
        </w:rPr>
        <w:t>МЕ "</w:t>
      </w:r>
      <w:proofErr w:type="spellStart"/>
      <w:r>
        <w:rPr>
          <w:sz w:val="28"/>
          <w:szCs w:val="28"/>
        </w:rPr>
        <w:t>Запоріжелектротранс</w:t>
      </w:r>
      <w:proofErr w:type="spellEnd"/>
      <w:r>
        <w:rPr>
          <w:sz w:val="28"/>
          <w:szCs w:val="28"/>
        </w:rPr>
        <w:t>"</w:t>
      </w:r>
      <w:r w:rsidR="007B5EBC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«М</w:t>
      </w:r>
      <w:r w:rsidR="007B5EBC">
        <w:rPr>
          <w:sz w:val="28"/>
          <w:szCs w:val="28"/>
        </w:rPr>
        <w:t>іжнародний аеропорт Запоріжжя».</w:t>
      </w:r>
    </w:p>
    <w:p w:rsidR="001C5198" w:rsidRDefault="001C5198" w:rsidP="007B5EBC">
      <w:pPr>
        <w:pStyle w:val="27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563FFE">
        <w:rPr>
          <w:sz w:val="28"/>
          <w:szCs w:val="28"/>
        </w:rPr>
        <w:t>Для забезпечення стабільного функціонування та розвитку</w:t>
      </w:r>
      <w:r w:rsidRPr="0023018D">
        <w:rPr>
          <w:b/>
          <w:i/>
          <w:sz w:val="28"/>
          <w:szCs w:val="28"/>
        </w:rPr>
        <w:t xml:space="preserve"> </w:t>
      </w:r>
      <w:r w:rsidRPr="00E55ECF">
        <w:rPr>
          <w:i/>
          <w:sz w:val="28"/>
          <w:szCs w:val="28"/>
        </w:rPr>
        <w:t>ЗКПМЕ</w:t>
      </w:r>
      <w:r w:rsidR="00E55ECF" w:rsidRPr="00E55ECF">
        <w:rPr>
          <w:i/>
          <w:sz w:val="28"/>
          <w:szCs w:val="28"/>
        </w:rPr>
        <w:t> </w:t>
      </w:r>
      <w:r w:rsidRPr="00E55ECF">
        <w:rPr>
          <w:i/>
          <w:sz w:val="28"/>
          <w:szCs w:val="28"/>
        </w:rPr>
        <w:t>«</w:t>
      </w:r>
      <w:proofErr w:type="spellStart"/>
      <w:r w:rsidRPr="00E55ECF">
        <w:rPr>
          <w:i/>
          <w:sz w:val="28"/>
          <w:szCs w:val="28"/>
        </w:rPr>
        <w:t>Запоріжелектротранс</w:t>
      </w:r>
      <w:proofErr w:type="spellEnd"/>
      <w:r w:rsidRPr="00E55ECF">
        <w:rPr>
          <w:i/>
          <w:sz w:val="28"/>
          <w:szCs w:val="28"/>
        </w:rPr>
        <w:t>»</w:t>
      </w:r>
      <w:r w:rsidRPr="00E55ECF">
        <w:rPr>
          <w:sz w:val="28"/>
          <w:szCs w:val="28"/>
        </w:rPr>
        <w:t xml:space="preserve"> з бюджету</w:t>
      </w:r>
      <w:r>
        <w:rPr>
          <w:sz w:val="28"/>
          <w:szCs w:val="28"/>
        </w:rPr>
        <w:t xml:space="preserve"> міста з</w:t>
      </w:r>
      <w:r w:rsidR="003B7E71">
        <w:rPr>
          <w:sz w:val="28"/>
          <w:szCs w:val="28"/>
        </w:rPr>
        <w:t>дійснено видатки у розмірі 311,8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>., в т</w:t>
      </w:r>
      <w:r w:rsidR="00967939">
        <w:rPr>
          <w:sz w:val="28"/>
          <w:szCs w:val="28"/>
        </w:rPr>
        <w:t>ому числі</w:t>
      </w:r>
      <w:r>
        <w:rPr>
          <w:sz w:val="28"/>
          <w:szCs w:val="28"/>
        </w:rPr>
        <w:t xml:space="preserve"> на:</w:t>
      </w:r>
    </w:p>
    <w:p w:rsidR="001C5198" w:rsidRPr="00354F78" w:rsidRDefault="001C5198" w:rsidP="001C5198">
      <w:pPr>
        <w:pStyle w:val="27"/>
        <w:numPr>
          <w:ilvl w:val="0"/>
          <w:numId w:val="16"/>
        </w:numPr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 w:rsidRPr="00354F78">
        <w:rPr>
          <w:sz w:val="28"/>
          <w:szCs w:val="28"/>
        </w:rPr>
        <w:t>фінансов</w:t>
      </w:r>
      <w:r>
        <w:rPr>
          <w:sz w:val="28"/>
          <w:szCs w:val="28"/>
        </w:rPr>
        <w:t xml:space="preserve">у підтримку підприємства </w:t>
      </w:r>
      <w:r w:rsidRPr="00354F78">
        <w:rPr>
          <w:sz w:val="28"/>
          <w:szCs w:val="28"/>
        </w:rPr>
        <w:t>– 138,7 млн.грн.;</w:t>
      </w:r>
    </w:p>
    <w:p w:rsidR="001C5198" w:rsidRDefault="001C5198" w:rsidP="001C5198">
      <w:pPr>
        <w:pStyle w:val="27"/>
        <w:numPr>
          <w:ilvl w:val="0"/>
          <w:numId w:val="16"/>
        </w:numPr>
        <w:spacing w:after="0" w:line="240" w:lineRule="auto"/>
        <w:ind w:left="0"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сплату планових платежів за</w:t>
      </w:r>
      <w:r w:rsidRPr="00354F78">
        <w:rPr>
          <w:sz w:val="28"/>
          <w:szCs w:val="28"/>
        </w:rPr>
        <w:t xml:space="preserve"> договорами лізингу, укладених у </w:t>
      </w:r>
      <w:r w:rsidR="005C501E">
        <w:rPr>
          <w:sz w:val="28"/>
          <w:szCs w:val="28"/>
        </w:rPr>
        <w:t xml:space="preserve">                 </w:t>
      </w:r>
      <w:r w:rsidRPr="00354F78">
        <w:rPr>
          <w:sz w:val="28"/>
          <w:szCs w:val="28"/>
        </w:rPr>
        <w:t>2017</w:t>
      </w:r>
      <w:r w:rsidR="00981A58">
        <w:rPr>
          <w:sz w:val="28"/>
          <w:szCs w:val="28"/>
        </w:rPr>
        <w:t xml:space="preserve"> році на придбання 35 автобусів </w:t>
      </w:r>
      <w:r w:rsidRPr="00354F78">
        <w:rPr>
          <w:sz w:val="28"/>
          <w:szCs w:val="28"/>
        </w:rPr>
        <w:t xml:space="preserve">та </w:t>
      </w:r>
      <w:r w:rsidR="00981A58">
        <w:rPr>
          <w:sz w:val="28"/>
          <w:szCs w:val="28"/>
        </w:rPr>
        <w:t xml:space="preserve">у </w:t>
      </w:r>
      <w:r w:rsidRPr="00354F78">
        <w:rPr>
          <w:sz w:val="28"/>
          <w:szCs w:val="28"/>
        </w:rPr>
        <w:t>2018</w:t>
      </w:r>
      <w:r w:rsidR="00981A58">
        <w:rPr>
          <w:sz w:val="28"/>
          <w:szCs w:val="28"/>
        </w:rPr>
        <w:t xml:space="preserve"> році на придбання 50 автобусів </w:t>
      </w:r>
      <w:r>
        <w:rPr>
          <w:sz w:val="28"/>
          <w:szCs w:val="28"/>
        </w:rPr>
        <w:t>великої місткості</w:t>
      </w:r>
      <w:r w:rsidRPr="00354F78">
        <w:rPr>
          <w:sz w:val="28"/>
          <w:szCs w:val="28"/>
        </w:rPr>
        <w:t xml:space="preserve"> – 11</w:t>
      </w:r>
      <w:r>
        <w:rPr>
          <w:sz w:val="28"/>
          <w:szCs w:val="28"/>
        </w:rPr>
        <w:t>3,0</w:t>
      </w:r>
      <w:r w:rsidRPr="00354F78">
        <w:rPr>
          <w:sz w:val="28"/>
          <w:szCs w:val="28"/>
        </w:rPr>
        <w:t xml:space="preserve"> млн.грн.;</w:t>
      </w:r>
    </w:p>
    <w:p w:rsidR="001C5198" w:rsidRPr="007B5EBC" w:rsidRDefault="001C5198" w:rsidP="001C5198">
      <w:pPr>
        <w:pStyle w:val="27"/>
        <w:numPr>
          <w:ilvl w:val="0"/>
          <w:numId w:val="16"/>
        </w:numPr>
        <w:spacing w:after="0" w:line="240" w:lineRule="auto"/>
        <w:ind w:left="0" w:firstLine="993"/>
        <w:jc w:val="both"/>
        <w:outlineLvl w:val="0"/>
        <w:rPr>
          <w:sz w:val="28"/>
          <w:szCs w:val="28"/>
        </w:rPr>
      </w:pPr>
      <w:r w:rsidRPr="007B5EBC">
        <w:rPr>
          <w:sz w:val="28"/>
          <w:szCs w:val="28"/>
        </w:rPr>
        <w:t>капітальний ремонт 4-х трамваїв Т3 з заміною кузова на новий – 28,0 млн.грн.</w:t>
      </w:r>
      <w:r w:rsidR="007B5EBC" w:rsidRPr="007B5EBC">
        <w:rPr>
          <w:sz w:val="28"/>
          <w:szCs w:val="28"/>
        </w:rPr>
        <w:t xml:space="preserve"> та</w:t>
      </w:r>
      <w:r w:rsidR="007B5EBC">
        <w:rPr>
          <w:sz w:val="28"/>
          <w:szCs w:val="28"/>
        </w:rPr>
        <w:t xml:space="preserve"> </w:t>
      </w:r>
      <w:r w:rsidRPr="007B5EBC">
        <w:rPr>
          <w:sz w:val="28"/>
          <w:szCs w:val="28"/>
        </w:rPr>
        <w:t>придбання 12 трамваїв, які раніше експлуатувалися в країнах ЄС – 27,3 млн.грн.;</w:t>
      </w:r>
    </w:p>
    <w:p w:rsidR="001C5198" w:rsidRDefault="001C5198" w:rsidP="001C5198">
      <w:pPr>
        <w:pStyle w:val="27"/>
        <w:numPr>
          <w:ilvl w:val="0"/>
          <w:numId w:val="16"/>
        </w:numPr>
        <w:spacing w:after="0" w:line="240" w:lineRule="auto"/>
        <w:ind w:left="0"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4449F">
        <w:rPr>
          <w:sz w:val="28"/>
          <w:szCs w:val="28"/>
        </w:rPr>
        <w:t xml:space="preserve">блаштування </w:t>
      </w:r>
      <w:r>
        <w:rPr>
          <w:sz w:val="28"/>
          <w:szCs w:val="28"/>
        </w:rPr>
        <w:t>17</w:t>
      </w:r>
      <w:r w:rsidRPr="0044449F">
        <w:rPr>
          <w:sz w:val="28"/>
          <w:szCs w:val="28"/>
        </w:rPr>
        <w:t xml:space="preserve"> тягових перетворювальних підстанцій міського електротранспорту системами мон</w:t>
      </w:r>
      <w:r>
        <w:rPr>
          <w:sz w:val="28"/>
          <w:szCs w:val="28"/>
        </w:rPr>
        <w:t>і</w:t>
      </w:r>
      <w:r w:rsidRPr="0044449F">
        <w:rPr>
          <w:sz w:val="28"/>
          <w:szCs w:val="28"/>
        </w:rPr>
        <w:t>торингу для захисту тягової мережі</w:t>
      </w:r>
      <w:r>
        <w:rPr>
          <w:sz w:val="28"/>
          <w:szCs w:val="28"/>
        </w:rPr>
        <w:t xml:space="preserve"> – 3,0</w:t>
      </w:r>
      <w:r w:rsidR="00E55ECF">
        <w:rPr>
          <w:sz w:val="28"/>
          <w:szCs w:val="28"/>
        </w:rPr>
        <w:t> </w:t>
      </w:r>
      <w:r>
        <w:rPr>
          <w:sz w:val="28"/>
          <w:szCs w:val="28"/>
        </w:rPr>
        <w:t>млн.грн.;</w:t>
      </w:r>
    </w:p>
    <w:p w:rsidR="001C5198" w:rsidRDefault="001C5198" w:rsidP="001C5198">
      <w:pPr>
        <w:pStyle w:val="27"/>
        <w:numPr>
          <w:ilvl w:val="0"/>
          <w:numId w:val="16"/>
        </w:numPr>
        <w:spacing w:after="0" w:line="240" w:lineRule="auto"/>
        <w:ind w:left="0"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44449F">
        <w:rPr>
          <w:sz w:val="28"/>
          <w:szCs w:val="28"/>
        </w:rPr>
        <w:t xml:space="preserve">апровадження системи моніторингу та диспетчеризації (GPS) </w:t>
      </w:r>
      <w:r>
        <w:rPr>
          <w:sz w:val="28"/>
          <w:szCs w:val="28"/>
        </w:rPr>
        <w:t>на рухомому складі – 1,8</w:t>
      </w:r>
      <w:r w:rsidR="00E55ECF">
        <w:rPr>
          <w:sz w:val="28"/>
          <w:szCs w:val="28"/>
        </w:rPr>
        <w:t> </w:t>
      </w:r>
      <w:r>
        <w:rPr>
          <w:sz w:val="28"/>
          <w:szCs w:val="28"/>
        </w:rPr>
        <w:t>млн.грн. (встановлено 16</w:t>
      </w:r>
      <w:r w:rsidR="00E55ECF">
        <w:rPr>
          <w:sz w:val="28"/>
          <w:szCs w:val="28"/>
        </w:rPr>
        <w:t>-ти</w:t>
      </w:r>
      <w:r>
        <w:rPr>
          <w:sz w:val="28"/>
          <w:szCs w:val="28"/>
        </w:rPr>
        <w:t xml:space="preserve"> інтерактивних екранів на </w:t>
      </w:r>
      <w:r w:rsidR="005C501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8</w:t>
      </w:r>
      <w:r w:rsidR="00E55ECF">
        <w:rPr>
          <w:sz w:val="28"/>
          <w:szCs w:val="28"/>
        </w:rPr>
        <w:t>-ми</w:t>
      </w:r>
      <w:r>
        <w:rPr>
          <w:sz w:val="28"/>
          <w:szCs w:val="28"/>
        </w:rPr>
        <w:t xml:space="preserve"> зупинках громадського транспорту, оснащено 166 одиниць рухомого складу пристроями дистанційного моніторингу).</w:t>
      </w:r>
    </w:p>
    <w:p w:rsidR="001C5198" w:rsidRPr="0023018D" w:rsidRDefault="001C5198" w:rsidP="001C5198">
      <w:pPr>
        <w:pStyle w:val="27"/>
        <w:numPr>
          <w:ilvl w:val="0"/>
          <w:numId w:val="20"/>
        </w:numPr>
        <w:spacing w:after="0" w:line="240" w:lineRule="auto"/>
        <w:ind w:left="0" w:firstLine="709"/>
        <w:jc w:val="both"/>
        <w:outlineLvl w:val="0"/>
        <w:rPr>
          <w:b/>
          <w:i/>
          <w:sz w:val="28"/>
          <w:szCs w:val="28"/>
        </w:rPr>
      </w:pPr>
      <w:r w:rsidRPr="00563FFE">
        <w:rPr>
          <w:sz w:val="28"/>
          <w:szCs w:val="28"/>
        </w:rPr>
        <w:t>На розвиток</w:t>
      </w:r>
      <w:r w:rsidRPr="0023018D">
        <w:rPr>
          <w:b/>
          <w:i/>
          <w:sz w:val="28"/>
          <w:szCs w:val="28"/>
        </w:rPr>
        <w:t xml:space="preserve"> </w:t>
      </w:r>
      <w:proofErr w:type="spellStart"/>
      <w:r w:rsidRPr="0023018D">
        <w:rPr>
          <w:b/>
          <w:i/>
          <w:sz w:val="28"/>
          <w:szCs w:val="28"/>
        </w:rPr>
        <w:t>КП</w:t>
      </w:r>
      <w:proofErr w:type="spellEnd"/>
      <w:r w:rsidRPr="0023018D">
        <w:rPr>
          <w:b/>
          <w:i/>
          <w:sz w:val="28"/>
          <w:szCs w:val="28"/>
        </w:rPr>
        <w:t xml:space="preserve"> «Міжнародний аеропорт Запоріжжя» </w:t>
      </w:r>
      <w:r w:rsidRPr="0023018D">
        <w:rPr>
          <w:sz w:val="28"/>
          <w:szCs w:val="28"/>
        </w:rPr>
        <w:t>направлено кошти у розмірі 276,8 млн.грн.</w:t>
      </w:r>
      <w:r w:rsidR="00967939">
        <w:rPr>
          <w:sz w:val="28"/>
          <w:szCs w:val="28"/>
        </w:rPr>
        <w:t>, з яких на</w:t>
      </w:r>
      <w:r w:rsidRPr="0023018D">
        <w:rPr>
          <w:sz w:val="28"/>
          <w:szCs w:val="28"/>
        </w:rPr>
        <w:t>:</w:t>
      </w:r>
    </w:p>
    <w:p w:rsidR="001C5198" w:rsidRPr="0074670E" w:rsidRDefault="001C5198" w:rsidP="001C5198">
      <w:pPr>
        <w:pStyle w:val="27"/>
        <w:numPr>
          <w:ilvl w:val="0"/>
          <w:numId w:val="16"/>
        </w:numPr>
        <w:spacing w:after="0" w:line="240" w:lineRule="auto"/>
        <w:ind w:left="0"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продовження </w:t>
      </w:r>
      <w:r w:rsidRPr="0074670E">
        <w:rPr>
          <w:sz w:val="28"/>
          <w:szCs w:val="28"/>
        </w:rPr>
        <w:t>будівництв</w:t>
      </w:r>
      <w:r>
        <w:rPr>
          <w:sz w:val="28"/>
          <w:szCs w:val="28"/>
        </w:rPr>
        <w:t>а</w:t>
      </w:r>
      <w:r w:rsidRPr="0074670E">
        <w:rPr>
          <w:sz w:val="28"/>
          <w:szCs w:val="28"/>
        </w:rPr>
        <w:t xml:space="preserve"> пасажирського терміналу </w:t>
      </w:r>
      <w:r w:rsidR="00967939">
        <w:rPr>
          <w:sz w:val="28"/>
          <w:szCs w:val="28"/>
        </w:rPr>
        <w:t xml:space="preserve">та обслуговуючих споруд аеропорту </w:t>
      </w:r>
      <w:r w:rsidRPr="007467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4670E">
        <w:rPr>
          <w:sz w:val="28"/>
          <w:szCs w:val="28"/>
        </w:rPr>
        <w:t>236,9</w:t>
      </w:r>
      <w:r w:rsidR="00967939">
        <w:rPr>
          <w:sz w:val="28"/>
          <w:szCs w:val="28"/>
        </w:rPr>
        <w:t> </w:t>
      </w:r>
      <w:r w:rsidRPr="0074670E">
        <w:rPr>
          <w:sz w:val="28"/>
          <w:szCs w:val="28"/>
        </w:rPr>
        <w:t>млн.грн.;</w:t>
      </w:r>
    </w:p>
    <w:p w:rsidR="001C5198" w:rsidRPr="0074670E" w:rsidRDefault="001C5198" w:rsidP="001C5198">
      <w:pPr>
        <w:pStyle w:val="27"/>
        <w:numPr>
          <w:ilvl w:val="0"/>
          <w:numId w:val="16"/>
        </w:numPr>
        <w:spacing w:after="0" w:line="240" w:lineRule="auto"/>
        <w:ind w:left="0" w:firstLine="993"/>
        <w:jc w:val="both"/>
        <w:outlineLvl w:val="0"/>
        <w:rPr>
          <w:sz w:val="28"/>
          <w:szCs w:val="28"/>
        </w:rPr>
      </w:pPr>
      <w:r w:rsidRPr="0074670E">
        <w:rPr>
          <w:sz w:val="28"/>
          <w:szCs w:val="28"/>
        </w:rPr>
        <w:t xml:space="preserve">капітальний ремонт злітно-посадкової смуги </w:t>
      </w:r>
      <w:r>
        <w:rPr>
          <w:sz w:val="28"/>
          <w:szCs w:val="28"/>
        </w:rPr>
        <w:t>(7,0</w:t>
      </w:r>
      <w:r w:rsidR="00967939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тис.кв.м</w:t>
      </w:r>
      <w:proofErr w:type="spellEnd"/>
      <w:r>
        <w:rPr>
          <w:sz w:val="28"/>
          <w:szCs w:val="28"/>
        </w:rPr>
        <w:t xml:space="preserve">) </w:t>
      </w:r>
      <w:r w:rsidRPr="0074670E">
        <w:rPr>
          <w:sz w:val="28"/>
          <w:szCs w:val="28"/>
        </w:rPr>
        <w:t>– 19,4 </w:t>
      </w:r>
      <w:proofErr w:type="spellStart"/>
      <w:r w:rsidRPr="0074670E">
        <w:rPr>
          <w:sz w:val="28"/>
          <w:szCs w:val="28"/>
        </w:rPr>
        <w:t>млн.грн</w:t>
      </w:r>
      <w:proofErr w:type="spellEnd"/>
      <w:r w:rsidRPr="0074670E">
        <w:rPr>
          <w:sz w:val="28"/>
          <w:szCs w:val="28"/>
        </w:rPr>
        <w:t>.;</w:t>
      </w:r>
    </w:p>
    <w:p w:rsidR="001C5198" w:rsidRPr="007B5EBC" w:rsidRDefault="001C5198" w:rsidP="001C5198">
      <w:pPr>
        <w:pStyle w:val="27"/>
        <w:numPr>
          <w:ilvl w:val="0"/>
          <w:numId w:val="16"/>
        </w:numPr>
        <w:spacing w:after="0" w:line="240" w:lineRule="auto"/>
        <w:ind w:left="0" w:firstLine="993"/>
        <w:jc w:val="both"/>
        <w:outlineLvl w:val="0"/>
        <w:rPr>
          <w:sz w:val="28"/>
          <w:szCs w:val="28"/>
        </w:rPr>
      </w:pPr>
      <w:r w:rsidRPr="007B5EBC">
        <w:rPr>
          <w:sz w:val="28"/>
          <w:szCs w:val="28"/>
        </w:rPr>
        <w:t>технічне переоснащення радіотехнічних засобів навігації та посадки аеродромного комплексу – 16,0 млн.грн.</w:t>
      </w:r>
      <w:r w:rsidR="007B5EBC" w:rsidRPr="007B5EBC">
        <w:rPr>
          <w:sz w:val="28"/>
          <w:szCs w:val="28"/>
        </w:rPr>
        <w:t xml:space="preserve"> та</w:t>
      </w:r>
      <w:r w:rsidR="007B5EBC">
        <w:rPr>
          <w:sz w:val="28"/>
          <w:szCs w:val="28"/>
        </w:rPr>
        <w:t xml:space="preserve"> </w:t>
      </w:r>
      <w:r w:rsidRPr="007B5EBC">
        <w:rPr>
          <w:sz w:val="28"/>
          <w:szCs w:val="28"/>
        </w:rPr>
        <w:t>продовження будівництва огородження по периметру аеропорту (1,7</w:t>
      </w:r>
      <w:r w:rsidR="00967939" w:rsidRPr="007B5EBC">
        <w:rPr>
          <w:sz w:val="28"/>
          <w:szCs w:val="28"/>
        </w:rPr>
        <w:t> </w:t>
      </w:r>
      <w:r w:rsidRPr="007B5EBC">
        <w:rPr>
          <w:sz w:val="28"/>
          <w:szCs w:val="28"/>
        </w:rPr>
        <w:t>км) – 4,5 млн.грн.</w:t>
      </w:r>
    </w:p>
    <w:p w:rsidR="006303C5" w:rsidRPr="007B5EBC" w:rsidRDefault="006303C5" w:rsidP="00AD4010">
      <w:pPr>
        <w:pStyle w:val="23"/>
        <w:spacing w:after="0" w:line="240" w:lineRule="auto"/>
        <w:ind w:left="360"/>
        <w:contextualSpacing/>
        <w:jc w:val="center"/>
        <w:rPr>
          <w:b/>
          <w:bCs/>
          <w:sz w:val="16"/>
          <w:szCs w:val="16"/>
        </w:rPr>
      </w:pPr>
    </w:p>
    <w:p w:rsidR="003B7612" w:rsidRDefault="003B7612" w:rsidP="00AD4010">
      <w:pPr>
        <w:pStyle w:val="23"/>
        <w:spacing w:after="0" w:line="240" w:lineRule="auto"/>
        <w:ind w:left="360"/>
        <w:contextualSpacing/>
        <w:jc w:val="center"/>
        <w:rPr>
          <w:b/>
          <w:bCs/>
          <w:sz w:val="28"/>
          <w:szCs w:val="28"/>
        </w:rPr>
      </w:pPr>
      <w:r w:rsidRPr="00AD4010">
        <w:rPr>
          <w:b/>
          <w:bCs/>
          <w:sz w:val="28"/>
          <w:szCs w:val="28"/>
        </w:rPr>
        <w:t xml:space="preserve">Зв'язок, телекомунікації та інформатика </w:t>
      </w:r>
    </w:p>
    <w:p w:rsidR="00AD4010" w:rsidRPr="00967939" w:rsidRDefault="00AD4010" w:rsidP="00AD4010">
      <w:pPr>
        <w:pStyle w:val="23"/>
        <w:spacing w:after="0" w:line="240" w:lineRule="auto"/>
        <w:ind w:left="360"/>
        <w:contextualSpacing/>
        <w:jc w:val="center"/>
        <w:rPr>
          <w:b/>
          <w:bCs/>
          <w:sz w:val="16"/>
          <w:szCs w:val="16"/>
        </w:rPr>
      </w:pPr>
    </w:p>
    <w:p w:rsidR="00967939" w:rsidRDefault="003B7612" w:rsidP="00232C23">
      <w:pPr>
        <w:pStyle w:val="27"/>
        <w:spacing w:after="0" w:line="240" w:lineRule="auto"/>
        <w:ind w:firstLine="709"/>
        <w:jc w:val="both"/>
        <w:outlineLvl w:val="0"/>
        <w:rPr>
          <w:color w:val="FF0000"/>
          <w:kern w:val="0"/>
          <w:sz w:val="28"/>
          <w:szCs w:val="28"/>
          <w:lang w:eastAsia="ru-RU"/>
        </w:rPr>
      </w:pPr>
      <w:r w:rsidRPr="00656E0B">
        <w:rPr>
          <w:color w:val="000000" w:themeColor="text1"/>
          <w:kern w:val="0"/>
          <w:sz w:val="28"/>
          <w:szCs w:val="28"/>
          <w:lang w:eastAsia="ru-RU"/>
        </w:rPr>
        <w:t xml:space="preserve">На заходи у сфері зв’язку, телекомунікації та інформатики з бюджету виділено </w:t>
      </w:r>
      <w:r w:rsidR="00656E0B" w:rsidRPr="00656E0B">
        <w:rPr>
          <w:color w:val="000000" w:themeColor="text1"/>
          <w:kern w:val="0"/>
          <w:sz w:val="28"/>
          <w:szCs w:val="28"/>
          <w:lang w:eastAsia="ru-RU"/>
        </w:rPr>
        <w:t>44</w:t>
      </w:r>
      <w:r w:rsidRPr="00656E0B">
        <w:rPr>
          <w:color w:val="000000" w:themeColor="text1"/>
          <w:kern w:val="0"/>
          <w:sz w:val="28"/>
          <w:szCs w:val="28"/>
          <w:lang w:eastAsia="ru-RU"/>
        </w:rPr>
        <w:t>,</w:t>
      </w:r>
      <w:r w:rsidR="00656E0B" w:rsidRPr="00656E0B">
        <w:rPr>
          <w:color w:val="000000" w:themeColor="text1"/>
          <w:kern w:val="0"/>
          <w:sz w:val="28"/>
          <w:szCs w:val="28"/>
          <w:lang w:eastAsia="ru-RU"/>
        </w:rPr>
        <w:t>6</w:t>
      </w:r>
      <w:r w:rsidRPr="00656E0B">
        <w:rPr>
          <w:color w:val="000000" w:themeColor="text1"/>
          <w:kern w:val="0"/>
          <w:sz w:val="28"/>
          <w:szCs w:val="28"/>
          <w:lang w:eastAsia="ru-RU"/>
        </w:rPr>
        <w:t> млн.грн.</w:t>
      </w:r>
      <w:r w:rsidRPr="00656E0B">
        <w:rPr>
          <w:color w:val="FF0000"/>
          <w:kern w:val="0"/>
          <w:sz w:val="28"/>
          <w:szCs w:val="28"/>
          <w:lang w:eastAsia="ru-RU"/>
        </w:rPr>
        <w:t xml:space="preserve"> </w:t>
      </w:r>
    </w:p>
    <w:p w:rsidR="00967939" w:rsidRDefault="00AD4010" w:rsidP="00232C23">
      <w:pPr>
        <w:pStyle w:val="27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BA0D30">
        <w:rPr>
          <w:sz w:val="28"/>
          <w:szCs w:val="28"/>
        </w:rPr>
        <w:t xml:space="preserve">На реалізацію заходів </w:t>
      </w:r>
      <w:r w:rsidRPr="00967939">
        <w:rPr>
          <w:b/>
          <w:sz w:val="28"/>
          <w:szCs w:val="28"/>
        </w:rPr>
        <w:t>міської цільової програми «Безпечне місто</w:t>
      </w:r>
      <w:r w:rsidRPr="00967939">
        <w:rPr>
          <w:sz w:val="28"/>
          <w:szCs w:val="28"/>
        </w:rPr>
        <w:t>»</w:t>
      </w:r>
      <w:r w:rsidRPr="00BA0D30">
        <w:rPr>
          <w:sz w:val="28"/>
          <w:szCs w:val="28"/>
        </w:rPr>
        <w:t xml:space="preserve"> проведені видатки у розмірі 28,4 млн.грн., що становить 99,6</w:t>
      </w:r>
      <w:r w:rsidRPr="00AD4010">
        <w:rPr>
          <w:sz w:val="28"/>
          <w:szCs w:val="28"/>
        </w:rPr>
        <w:t xml:space="preserve">% </w:t>
      </w:r>
      <w:r w:rsidRPr="00BA0D30">
        <w:rPr>
          <w:sz w:val="28"/>
          <w:szCs w:val="28"/>
        </w:rPr>
        <w:t xml:space="preserve">планових показників. За рахунок цих коштів продовжено будівельні роботи для створення Ситуаційного командного центра, центра обробки відеоданих, програмно-апаратного комплексу </w:t>
      </w:r>
      <w:proofErr w:type="spellStart"/>
      <w:r w:rsidRPr="00BA0D30">
        <w:rPr>
          <w:sz w:val="28"/>
          <w:szCs w:val="28"/>
        </w:rPr>
        <w:t>відеоспостереження</w:t>
      </w:r>
      <w:proofErr w:type="spellEnd"/>
      <w:r w:rsidRPr="00BA0D30">
        <w:rPr>
          <w:sz w:val="28"/>
          <w:szCs w:val="28"/>
        </w:rPr>
        <w:t xml:space="preserve">, введено в експлуатацію 38 та запроектовано ще 40 вузлів </w:t>
      </w:r>
      <w:proofErr w:type="spellStart"/>
      <w:r w:rsidRPr="00BA0D30">
        <w:rPr>
          <w:sz w:val="28"/>
          <w:szCs w:val="28"/>
        </w:rPr>
        <w:t>відеоспостереження</w:t>
      </w:r>
      <w:proofErr w:type="spellEnd"/>
      <w:r w:rsidRPr="00BA0D30">
        <w:rPr>
          <w:sz w:val="28"/>
          <w:szCs w:val="28"/>
        </w:rPr>
        <w:t xml:space="preserve">. </w:t>
      </w:r>
    </w:p>
    <w:p w:rsidR="007C2166" w:rsidRDefault="00AD4010" w:rsidP="00232C23">
      <w:pPr>
        <w:pStyle w:val="27"/>
        <w:spacing w:after="0" w:line="240" w:lineRule="auto"/>
        <w:ind w:firstLine="709"/>
        <w:jc w:val="both"/>
        <w:outlineLvl w:val="0"/>
        <w:rPr>
          <w:color w:val="000000" w:themeColor="text1"/>
          <w:kern w:val="0"/>
          <w:sz w:val="28"/>
          <w:szCs w:val="28"/>
          <w:lang w:eastAsia="ru-RU"/>
        </w:rPr>
      </w:pPr>
      <w:r w:rsidRPr="00AD4010">
        <w:rPr>
          <w:color w:val="000000" w:themeColor="text1"/>
          <w:kern w:val="0"/>
          <w:sz w:val="28"/>
          <w:szCs w:val="28"/>
          <w:lang w:eastAsia="ru-RU"/>
        </w:rPr>
        <w:t>Н</w:t>
      </w:r>
      <w:r w:rsidR="003B7612" w:rsidRPr="00AD4010">
        <w:rPr>
          <w:color w:val="000000" w:themeColor="text1"/>
          <w:kern w:val="0"/>
          <w:sz w:val="28"/>
          <w:szCs w:val="28"/>
          <w:lang w:eastAsia="ru-RU"/>
        </w:rPr>
        <w:t xml:space="preserve">а реалізацію заходів </w:t>
      </w:r>
      <w:r w:rsidR="003B7612" w:rsidRPr="00115EF3">
        <w:rPr>
          <w:b/>
          <w:sz w:val="28"/>
          <w:szCs w:val="28"/>
        </w:rPr>
        <w:t>програми "Цифрова стратегія міста на 2017-2020 роки"</w:t>
      </w:r>
      <w:r w:rsidR="003B7612" w:rsidRPr="00967939">
        <w:rPr>
          <w:color w:val="000000" w:themeColor="text1"/>
          <w:kern w:val="0"/>
          <w:sz w:val="28"/>
          <w:szCs w:val="28"/>
          <w:lang w:eastAsia="ru-RU"/>
        </w:rPr>
        <w:t xml:space="preserve"> спрямовано </w:t>
      </w:r>
      <w:r w:rsidR="007C2166" w:rsidRPr="00967939">
        <w:rPr>
          <w:color w:val="000000" w:themeColor="text1"/>
          <w:kern w:val="0"/>
          <w:sz w:val="28"/>
          <w:szCs w:val="28"/>
          <w:lang w:eastAsia="ru-RU"/>
        </w:rPr>
        <w:t>16,3</w:t>
      </w:r>
      <w:r w:rsidR="003B7612" w:rsidRPr="00967939">
        <w:rPr>
          <w:color w:val="000000" w:themeColor="text1"/>
          <w:kern w:val="0"/>
          <w:sz w:val="28"/>
          <w:szCs w:val="28"/>
          <w:lang w:eastAsia="ru-RU"/>
        </w:rPr>
        <w:t> млн.грн.</w:t>
      </w:r>
      <w:r w:rsidRPr="00967939">
        <w:rPr>
          <w:color w:val="000000" w:themeColor="text1"/>
          <w:kern w:val="0"/>
          <w:sz w:val="28"/>
          <w:szCs w:val="28"/>
          <w:lang w:eastAsia="ru-RU"/>
        </w:rPr>
        <w:t xml:space="preserve">, в тому числі на </w:t>
      </w:r>
      <w:r w:rsidR="00747042">
        <w:rPr>
          <w:color w:val="000000" w:themeColor="text1"/>
          <w:kern w:val="0"/>
          <w:sz w:val="28"/>
          <w:szCs w:val="28"/>
          <w:lang w:eastAsia="ru-RU"/>
        </w:rPr>
        <w:t>придбання мережевого обладнання</w:t>
      </w:r>
      <w:r w:rsidR="00232C23" w:rsidRPr="00967939">
        <w:rPr>
          <w:color w:val="000000" w:themeColor="text1"/>
          <w:kern w:val="0"/>
          <w:sz w:val="28"/>
          <w:szCs w:val="28"/>
          <w:lang w:eastAsia="ru-RU"/>
        </w:rPr>
        <w:t>, сервісної платформи, центрів обробки та зберігання</w:t>
      </w:r>
      <w:r w:rsidR="00232C23">
        <w:rPr>
          <w:color w:val="000000" w:themeColor="text1"/>
          <w:kern w:val="0"/>
          <w:sz w:val="28"/>
          <w:szCs w:val="28"/>
          <w:lang w:eastAsia="ru-RU"/>
        </w:rPr>
        <w:t xml:space="preserve"> даних з ліцензійним сервісним програмним забезпеченням, ліцензійного програмного забезпечення, </w:t>
      </w:r>
      <w:r w:rsidR="00293FC3">
        <w:rPr>
          <w:color w:val="000000" w:themeColor="text1"/>
          <w:kern w:val="0"/>
          <w:sz w:val="28"/>
          <w:szCs w:val="28"/>
          <w:lang w:eastAsia="ru-RU"/>
        </w:rPr>
        <w:t>створення та функціонування муніципальної інтегрованої системи обробки інформації</w:t>
      </w:r>
      <w:r w:rsidR="004C1623">
        <w:rPr>
          <w:color w:val="000000" w:themeColor="text1"/>
          <w:kern w:val="0"/>
          <w:sz w:val="28"/>
          <w:szCs w:val="28"/>
          <w:lang w:eastAsia="ru-RU"/>
        </w:rPr>
        <w:t>.</w:t>
      </w:r>
    </w:p>
    <w:p w:rsidR="00AD4010" w:rsidRPr="00967939" w:rsidRDefault="00AD4010" w:rsidP="00AD4010">
      <w:pPr>
        <w:pStyle w:val="27"/>
        <w:spacing w:after="0" w:line="240" w:lineRule="auto"/>
        <w:ind w:firstLine="709"/>
        <w:jc w:val="both"/>
        <w:outlineLvl w:val="0"/>
        <w:rPr>
          <w:color w:val="000000" w:themeColor="text1"/>
          <w:kern w:val="0"/>
          <w:sz w:val="16"/>
          <w:szCs w:val="16"/>
          <w:lang w:eastAsia="ru-RU"/>
        </w:rPr>
      </w:pPr>
    </w:p>
    <w:p w:rsidR="00DD5585" w:rsidRPr="00E243E1" w:rsidRDefault="007B5EBC" w:rsidP="00E243E1">
      <w:pPr>
        <w:pStyle w:val="23"/>
        <w:spacing w:after="0" w:line="240" w:lineRule="auto"/>
        <w:ind w:left="3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Природоохоронні заходи</w:t>
      </w:r>
    </w:p>
    <w:p w:rsidR="00FD29F1" w:rsidRPr="005A1203" w:rsidRDefault="00FD29F1" w:rsidP="007E5325">
      <w:pPr>
        <w:pStyle w:val="210"/>
        <w:spacing w:after="0" w:line="240" w:lineRule="auto"/>
        <w:contextualSpacing/>
        <w:jc w:val="center"/>
        <w:rPr>
          <w:b/>
          <w:color w:val="FF0000"/>
          <w:sz w:val="12"/>
          <w:szCs w:val="12"/>
        </w:rPr>
      </w:pPr>
    </w:p>
    <w:p w:rsidR="001C5198" w:rsidRPr="00D05F1A" w:rsidRDefault="001C5198" w:rsidP="001C5198">
      <w:pPr>
        <w:ind w:firstLine="709"/>
        <w:contextualSpacing/>
        <w:jc w:val="both"/>
        <w:rPr>
          <w:sz w:val="28"/>
          <w:szCs w:val="28"/>
        </w:rPr>
      </w:pPr>
      <w:r w:rsidRPr="00D05F1A">
        <w:rPr>
          <w:sz w:val="28"/>
          <w:szCs w:val="28"/>
        </w:rPr>
        <w:t xml:space="preserve">Видатки на виконання </w:t>
      </w:r>
      <w:r w:rsidRPr="00967939">
        <w:rPr>
          <w:i/>
          <w:sz w:val="28"/>
          <w:szCs w:val="28"/>
        </w:rPr>
        <w:t>природоохоронних заходів</w:t>
      </w:r>
      <w:r w:rsidRPr="00D05F1A">
        <w:rPr>
          <w:sz w:val="28"/>
          <w:szCs w:val="28"/>
        </w:rPr>
        <w:t xml:space="preserve"> за рахунок фонду охорони навколишнього природного середовища склали 18,1 млн.грн., або </w:t>
      </w:r>
      <w:r>
        <w:rPr>
          <w:sz w:val="28"/>
          <w:szCs w:val="28"/>
        </w:rPr>
        <w:t>64,5</w:t>
      </w:r>
      <w:r w:rsidRPr="00D05F1A">
        <w:rPr>
          <w:sz w:val="28"/>
          <w:szCs w:val="28"/>
        </w:rPr>
        <w:t>% річного плану.</w:t>
      </w:r>
    </w:p>
    <w:p w:rsidR="001C5198" w:rsidRPr="00107F67" w:rsidRDefault="001C5198" w:rsidP="001C5198">
      <w:pPr>
        <w:ind w:firstLine="708"/>
        <w:jc w:val="both"/>
        <w:rPr>
          <w:sz w:val="28"/>
          <w:szCs w:val="28"/>
        </w:rPr>
      </w:pPr>
      <w:r w:rsidRPr="00413C2E">
        <w:rPr>
          <w:kern w:val="2"/>
          <w:sz w:val="28"/>
          <w:szCs w:val="28"/>
          <w:lang w:eastAsia="ar-SA"/>
        </w:rPr>
        <w:t>За рахунок зазначених коштів п</w:t>
      </w:r>
      <w:r w:rsidRPr="00413C2E">
        <w:rPr>
          <w:rFonts w:eastAsia="Calibri"/>
          <w:sz w:val="28"/>
          <w:szCs w:val="28"/>
        </w:rPr>
        <w:t>родовжено</w:t>
      </w:r>
      <w:r>
        <w:rPr>
          <w:rFonts w:eastAsia="Calibri"/>
          <w:sz w:val="28"/>
          <w:szCs w:val="28"/>
        </w:rPr>
        <w:t xml:space="preserve"> </w:t>
      </w:r>
      <w:r w:rsidRPr="004150C5">
        <w:rPr>
          <w:rFonts w:eastAsia="Calibri"/>
          <w:sz w:val="28"/>
          <w:szCs w:val="28"/>
        </w:rPr>
        <w:t>роботи з будівництва Ландшафтного парку вздовж Прибережної магістралі</w:t>
      </w:r>
      <w:r>
        <w:rPr>
          <w:rFonts w:eastAsia="Calibri"/>
          <w:sz w:val="28"/>
          <w:szCs w:val="28"/>
        </w:rPr>
        <w:t xml:space="preserve"> (9,5 млн.грн.), р</w:t>
      </w:r>
      <w:r w:rsidRPr="00A20A56">
        <w:rPr>
          <w:rFonts w:eastAsia="Calibri"/>
          <w:sz w:val="28"/>
          <w:szCs w:val="28"/>
        </w:rPr>
        <w:t>озчистк</w:t>
      </w:r>
      <w:r>
        <w:rPr>
          <w:rFonts w:eastAsia="Calibri"/>
          <w:sz w:val="28"/>
          <w:szCs w:val="28"/>
        </w:rPr>
        <w:t>и</w:t>
      </w:r>
      <w:r w:rsidRPr="00A20A56">
        <w:rPr>
          <w:rFonts w:eastAsia="Calibri"/>
          <w:sz w:val="28"/>
          <w:szCs w:val="28"/>
        </w:rPr>
        <w:t xml:space="preserve"> </w:t>
      </w:r>
      <w:r w:rsidRPr="00A20A56">
        <w:rPr>
          <w:rFonts w:eastAsia="Calibri"/>
          <w:sz w:val="28"/>
          <w:szCs w:val="28"/>
        </w:rPr>
        <w:lastRenderedPageBreak/>
        <w:t>русла р.</w:t>
      </w:r>
      <w:r w:rsidR="00967939">
        <w:rPr>
          <w:rFonts w:eastAsia="Calibri"/>
          <w:sz w:val="28"/>
          <w:szCs w:val="28"/>
        </w:rPr>
        <w:t> </w:t>
      </w:r>
      <w:r w:rsidRPr="00A20A56">
        <w:rPr>
          <w:rFonts w:eastAsia="Calibri"/>
          <w:sz w:val="28"/>
          <w:szCs w:val="28"/>
        </w:rPr>
        <w:t>Верхня Хортиця в районі вул.</w:t>
      </w:r>
      <w:r w:rsidR="00967939">
        <w:rPr>
          <w:rFonts w:eastAsia="Calibri"/>
          <w:sz w:val="28"/>
          <w:szCs w:val="28"/>
        </w:rPr>
        <w:t> </w:t>
      </w:r>
      <w:proofErr w:type="spellStart"/>
      <w:r w:rsidRPr="00A20A56">
        <w:rPr>
          <w:rFonts w:eastAsia="Calibri"/>
          <w:sz w:val="28"/>
          <w:szCs w:val="28"/>
        </w:rPr>
        <w:t>Зачиняєва</w:t>
      </w:r>
      <w:proofErr w:type="spellEnd"/>
      <w:r w:rsidRPr="00A20A56">
        <w:rPr>
          <w:rFonts w:eastAsia="Calibri"/>
          <w:sz w:val="28"/>
          <w:szCs w:val="28"/>
        </w:rPr>
        <w:t xml:space="preserve">, </w:t>
      </w:r>
      <w:proofErr w:type="spellStart"/>
      <w:r w:rsidRPr="00A20A56">
        <w:rPr>
          <w:rFonts w:eastAsia="Calibri"/>
          <w:sz w:val="28"/>
          <w:szCs w:val="28"/>
        </w:rPr>
        <w:t>Шушенськ</w:t>
      </w:r>
      <w:r w:rsidR="00967939">
        <w:rPr>
          <w:rFonts w:eastAsia="Calibri"/>
          <w:sz w:val="28"/>
          <w:szCs w:val="28"/>
        </w:rPr>
        <w:t>ої</w:t>
      </w:r>
      <w:proofErr w:type="spellEnd"/>
      <w:r w:rsidRPr="00A20A56">
        <w:rPr>
          <w:rFonts w:eastAsia="Calibri"/>
          <w:sz w:val="28"/>
          <w:szCs w:val="28"/>
        </w:rPr>
        <w:t>, Істоміна</w:t>
      </w:r>
      <w:r>
        <w:rPr>
          <w:rFonts w:eastAsia="Calibri"/>
          <w:sz w:val="28"/>
          <w:szCs w:val="28"/>
        </w:rPr>
        <w:t xml:space="preserve"> (0,8</w:t>
      </w:r>
      <w:r w:rsidR="00967939">
        <w:rPr>
          <w:rFonts w:eastAsia="Calibri"/>
          <w:sz w:val="28"/>
          <w:szCs w:val="28"/>
        </w:rPr>
        <w:t> </w:t>
      </w:r>
      <w:proofErr w:type="spellStart"/>
      <w:r>
        <w:rPr>
          <w:rFonts w:eastAsia="Calibri"/>
          <w:sz w:val="28"/>
          <w:szCs w:val="28"/>
        </w:rPr>
        <w:t>млн.грн</w:t>
      </w:r>
      <w:proofErr w:type="spellEnd"/>
      <w:r>
        <w:rPr>
          <w:rFonts w:eastAsia="Calibri"/>
          <w:sz w:val="28"/>
          <w:szCs w:val="28"/>
        </w:rPr>
        <w:t>.), п</w:t>
      </w:r>
      <w:r w:rsidRPr="004150C5">
        <w:rPr>
          <w:rFonts w:eastAsia="Calibri"/>
          <w:sz w:val="28"/>
          <w:szCs w:val="28"/>
        </w:rPr>
        <w:t>роведено</w:t>
      </w:r>
      <w:r>
        <w:rPr>
          <w:rFonts w:eastAsia="Calibri"/>
          <w:sz w:val="28"/>
          <w:szCs w:val="28"/>
        </w:rPr>
        <w:t xml:space="preserve"> </w:t>
      </w:r>
      <w:r w:rsidRPr="004150C5">
        <w:rPr>
          <w:rFonts w:eastAsia="Calibri"/>
          <w:sz w:val="28"/>
          <w:szCs w:val="28"/>
        </w:rPr>
        <w:t xml:space="preserve">проектно-вишукувальні роботи </w:t>
      </w:r>
      <w:r>
        <w:rPr>
          <w:rFonts w:eastAsia="Calibri"/>
          <w:sz w:val="28"/>
          <w:szCs w:val="28"/>
        </w:rPr>
        <w:t xml:space="preserve">для </w:t>
      </w:r>
      <w:r w:rsidRPr="00A20A56">
        <w:rPr>
          <w:rFonts w:eastAsia="Calibri"/>
          <w:sz w:val="28"/>
          <w:szCs w:val="28"/>
        </w:rPr>
        <w:t>поліпшення технічного стану та благоустрою великої водойми вздовж Прибережної магістралі (в районі парку «Пере</w:t>
      </w:r>
      <w:r w:rsidRPr="00107F67">
        <w:rPr>
          <w:rFonts w:eastAsia="Calibri"/>
          <w:sz w:val="28"/>
          <w:szCs w:val="28"/>
        </w:rPr>
        <w:t>моги») (0,5</w:t>
      </w:r>
      <w:r w:rsidR="00967939">
        <w:rPr>
          <w:rFonts w:eastAsia="Calibri"/>
          <w:sz w:val="28"/>
          <w:szCs w:val="28"/>
        </w:rPr>
        <w:t> </w:t>
      </w:r>
      <w:r w:rsidRPr="00107F67">
        <w:rPr>
          <w:rFonts w:eastAsia="Calibri"/>
          <w:sz w:val="28"/>
          <w:szCs w:val="28"/>
        </w:rPr>
        <w:t>млн.грн.), реконструкцію теплиць Запорізького міського ботанічного саду (0,7</w:t>
      </w:r>
      <w:r w:rsidR="00967939">
        <w:rPr>
          <w:rFonts w:eastAsia="Calibri"/>
          <w:sz w:val="28"/>
          <w:szCs w:val="28"/>
        </w:rPr>
        <w:t> </w:t>
      </w:r>
      <w:r w:rsidRPr="00107F67">
        <w:rPr>
          <w:rFonts w:eastAsia="Calibri"/>
          <w:sz w:val="28"/>
          <w:szCs w:val="28"/>
        </w:rPr>
        <w:t>млн.грн.) та ін</w:t>
      </w:r>
      <w:r w:rsidR="00967939">
        <w:rPr>
          <w:rFonts w:eastAsia="Calibri"/>
          <w:sz w:val="28"/>
          <w:szCs w:val="28"/>
        </w:rPr>
        <w:t>ші</w:t>
      </w:r>
      <w:r w:rsidRPr="00107F67">
        <w:rPr>
          <w:rFonts w:eastAsia="Calibri"/>
          <w:sz w:val="28"/>
          <w:szCs w:val="28"/>
        </w:rPr>
        <w:t>.</w:t>
      </w:r>
    </w:p>
    <w:p w:rsidR="001C5198" w:rsidRPr="00107F67" w:rsidRDefault="001C5198" w:rsidP="001C5198">
      <w:pPr>
        <w:ind w:firstLine="708"/>
        <w:jc w:val="both"/>
        <w:rPr>
          <w:sz w:val="28"/>
          <w:szCs w:val="28"/>
        </w:rPr>
      </w:pPr>
      <w:r w:rsidRPr="00107F67">
        <w:rPr>
          <w:sz w:val="28"/>
          <w:szCs w:val="28"/>
        </w:rPr>
        <w:t>Також</w:t>
      </w:r>
      <w:r w:rsidR="003B7E71">
        <w:rPr>
          <w:sz w:val="28"/>
          <w:szCs w:val="28"/>
        </w:rPr>
        <w:t>,</w:t>
      </w:r>
      <w:r w:rsidRPr="00107F67">
        <w:rPr>
          <w:sz w:val="28"/>
          <w:szCs w:val="28"/>
        </w:rPr>
        <w:t xml:space="preserve"> профінансовано заходи з озеленення міста на загальну суму 5,5 млн.грн. За рахунок цих коштів висаджено 477 дерев та декоративних рослин на територіях освітніх закладів, 918 дерев</w:t>
      </w:r>
      <w:r>
        <w:rPr>
          <w:sz w:val="28"/>
          <w:szCs w:val="28"/>
        </w:rPr>
        <w:t xml:space="preserve"> та 5,7 тис. чагарників </w:t>
      </w:r>
      <w:r w:rsidRPr="00107F67">
        <w:rPr>
          <w:sz w:val="28"/>
          <w:szCs w:val="28"/>
        </w:rPr>
        <w:t>на території міста.</w:t>
      </w:r>
    </w:p>
    <w:p w:rsidR="001C5198" w:rsidRPr="005A1203" w:rsidRDefault="001C5198" w:rsidP="00D2024B">
      <w:pPr>
        <w:pStyle w:val="28"/>
        <w:spacing w:after="0" w:line="240" w:lineRule="auto"/>
        <w:jc w:val="center"/>
        <w:outlineLvl w:val="0"/>
        <w:rPr>
          <w:b/>
          <w:bCs/>
          <w:color w:val="FF0000"/>
          <w:sz w:val="16"/>
          <w:szCs w:val="16"/>
        </w:rPr>
      </w:pPr>
    </w:p>
    <w:p w:rsidR="005C30DA" w:rsidRPr="00B241E6" w:rsidRDefault="005C30DA" w:rsidP="005C30DA">
      <w:pPr>
        <w:jc w:val="center"/>
        <w:outlineLvl w:val="0"/>
        <w:rPr>
          <w:b/>
          <w:bCs/>
          <w:sz w:val="28"/>
          <w:szCs w:val="28"/>
        </w:rPr>
      </w:pPr>
      <w:r w:rsidRPr="00B241E6">
        <w:rPr>
          <w:b/>
          <w:bCs/>
          <w:sz w:val="28"/>
          <w:szCs w:val="28"/>
        </w:rPr>
        <w:t>Кредитування</w:t>
      </w:r>
    </w:p>
    <w:p w:rsidR="000C69DA" w:rsidRPr="00734026" w:rsidRDefault="000C69DA" w:rsidP="005C30DA">
      <w:pPr>
        <w:jc w:val="center"/>
        <w:outlineLvl w:val="0"/>
        <w:rPr>
          <w:b/>
          <w:bCs/>
          <w:sz w:val="16"/>
          <w:szCs w:val="16"/>
        </w:rPr>
      </w:pPr>
    </w:p>
    <w:p w:rsidR="00B241E6" w:rsidRPr="001F70CC" w:rsidRDefault="00B241E6" w:rsidP="00B241E6">
      <w:pPr>
        <w:ind w:firstLine="851"/>
        <w:jc w:val="both"/>
        <w:rPr>
          <w:sz w:val="28"/>
          <w:szCs w:val="28"/>
        </w:rPr>
      </w:pPr>
      <w:r w:rsidRPr="00734026">
        <w:rPr>
          <w:sz w:val="28"/>
          <w:szCs w:val="28"/>
        </w:rPr>
        <w:t xml:space="preserve">В рамках реалізації </w:t>
      </w:r>
      <w:r w:rsidRPr="00734026">
        <w:rPr>
          <w:b/>
          <w:i/>
          <w:sz w:val="28"/>
          <w:szCs w:val="28"/>
        </w:rPr>
        <w:t>Програми забезпечення</w:t>
      </w:r>
      <w:r w:rsidRPr="00563FFE">
        <w:rPr>
          <w:b/>
          <w:i/>
          <w:sz w:val="28"/>
          <w:szCs w:val="28"/>
        </w:rPr>
        <w:t xml:space="preserve"> молоді міста житлом</w:t>
      </w:r>
      <w:r w:rsidRPr="001F70CC">
        <w:rPr>
          <w:sz w:val="28"/>
          <w:szCs w:val="28"/>
        </w:rPr>
        <w:t xml:space="preserve"> надано кредити 16-ти позичальникам на придбання житла на суму 9,9 млн.грн. </w:t>
      </w:r>
      <w:r>
        <w:rPr>
          <w:sz w:val="28"/>
          <w:szCs w:val="28"/>
        </w:rPr>
        <w:t xml:space="preserve">загальною площею </w:t>
      </w:r>
      <w:r w:rsidR="00BC6875">
        <w:rPr>
          <w:sz w:val="28"/>
          <w:szCs w:val="28"/>
        </w:rPr>
        <w:t>1</w:t>
      </w:r>
      <w:r w:rsidR="00677105">
        <w:rPr>
          <w:sz w:val="28"/>
          <w:szCs w:val="28"/>
        </w:rPr>
        <w:t> 161,3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1F70CC">
        <w:rPr>
          <w:sz w:val="28"/>
          <w:szCs w:val="28"/>
        </w:rPr>
        <w:t>Витрати бюджету міста, пов’язані з наданням та обслуговуванням кредитів склали 0,2 млн.грн.</w:t>
      </w:r>
    </w:p>
    <w:p w:rsidR="005C30DA" w:rsidRPr="005A1203" w:rsidRDefault="005C30DA" w:rsidP="00093740">
      <w:pPr>
        <w:ind w:firstLine="709"/>
        <w:jc w:val="both"/>
        <w:rPr>
          <w:color w:val="FF0000"/>
          <w:sz w:val="12"/>
          <w:szCs w:val="12"/>
        </w:rPr>
      </w:pPr>
    </w:p>
    <w:p w:rsidR="002131B6" w:rsidRDefault="00E02041" w:rsidP="002131B6">
      <w:pPr>
        <w:pStyle w:val="a3"/>
        <w:ind w:firstLine="0"/>
        <w:jc w:val="both"/>
      </w:pPr>
      <w:r>
        <w:tab/>
        <w:t xml:space="preserve">Відповідно до статті 28 Бюджетного кодексу України публічне представлення звіту про виконання бюджету міста за 2018 рік відбудеться </w:t>
      </w:r>
      <w:r w:rsidR="005C501E">
        <w:t xml:space="preserve">                  </w:t>
      </w:r>
      <w:r>
        <w:t>15 березня о 15-00 в приміщенні департаменту фінансової та бюджетної політики Запорізької міської ради.</w:t>
      </w:r>
    </w:p>
    <w:p w:rsidR="00C14A46" w:rsidRDefault="00C14A46" w:rsidP="002131B6">
      <w:pPr>
        <w:pStyle w:val="a3"/>
        <w:ind w:firstLine="0"/>
        <w:jc w:val="both"/>
      </w:pPr>
    </w:p>
    <w:p w:rsidR="00E02041" w:rsidRPr="00C14A46" w:rsidRDefault="00E02041" w:rsidP="002131B6">
      <w:pPr>
        <w:pStyle w:val="a3"/>
        <w:ind w:firstLine="0"/>
        <w:jc w:val="both"/>
      </w:pPr>
    </w:p>
    <w:p w:rsidR="000C69DA" w:rsidRPr="002C08B7" w:rsidRDefault="000C69DA" w:rsidP="002131B6">
      <w:pPr>
        <w:pStyle w:val="a3"/>
        <w:ind w:firstLine="0"/>
        <w:jc w:val="both"/>
      </w:pPr>
      <w:r w:rsidRPr="002C08B7">
        <w:t>Д</w:t>
      </w:r>
      <w:r w:rsidR="002131B6" w:rsidRPr="002C08B7">
        <w:t xml:space="preserve">иректор департаменту </w:t>
      </w:r>
      <w:r w:rsidR="00C54609" w:rsidRPr="002C08B7">
        <w:t>ф</w:t>
      </w:r>
      <w:r w:rsidR="002131B6" w:rsidRPr="002C08B7">
        <w:t>інансової</w:t>
      </w:r>
      <w:r w:rsidR="00C54609" w:rsidRPr="002C08B7">
        <w:t xml:space="preserve"> </w:t>
      </w:r>
    </w:p>
    <w:p w:rsidR="002131B6" w:rsidRPr="002C08B7" w:rsidRDefault="002131B6" w:rsidP="002131B6">
      <w:pPr>
        <w:pStyle w:val="a3"/>
        <w:ind w:firstLine="0"/>
        <w:jc w:val="both"/>
      </w:pPr>
      <w:r w:rsidRPr="002C08B7">
        <w:t>та бюджетної політики міської ради</w:t>
      </w:r>
      <w:r w:rsidRPr="002C08B7">
        <w:tab/>
      </w:r>
      <w:r w:rsidRPr="002C08B7">
        <w:tab/>
      </w:r>
      <w:r w:rsidR="005C5A3E" w:rsidRPr="002C08B7">
        <w:tab/>
      </w:r>
      <w:r w:rsidR="000C69DA" w:rsidRPr="002C08B7">
        <w:tab/>
      </w:r>
      <w:r w:rsidRPr="002C08B7">
        <w:tab/>
      </w:r>
      <w:r w:rsidR="000C69DA" w:rsidRPr="002C08B7">
        <w:t>О.А.</w:t>
      </w:r>
      <w:proofErr w:type="spellStart"/>
      <w:r w:rsidR="000C69DA" w:rsidRPr="002C08B7">
        <w:t>Вагіс</w:t>
      </w:r>
      <w:proofErr w:type="spellEnd"/>
    </w:p>
    <w:sectPr w:rsidR="002131B6" w:rsidRPr="002C08B7" w:rsidSect="005E76BC">
      <w:headerReference w:type="default" r:id="rId1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D1" w:rsidRDefault="008329D1" w:rsidP="005C6DB7">
      <w:r>
        <w:separator/>
      </w:r>
    </w:p>
  </w:endnote>
  <w:endnote w:type="continuationSeparator" w:id="0">
    <w:p w:rsidR="008329D1" w:rsidRDefault="008329D1" w:rsidP="005C6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D1" w:rsidRDefault="008329D1" w:rsidP="005C6DB7">
      <w:r>
        <w:separator/>
      </w:r>
    </w:p>
  </w:footnote>
  <w:footnote w:type="continuationSeparator" w:id="0">
    <w:p w:rsidR="008329D1" w:rsidRDefault="008329D1" w:rsidP="005C6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6188"/>
    </w:sdtPr>
    <w:sdtContent>
      <w:p w:rsidR="008329D1" w:rsidRDefault="008329D1">
        <w:pPr>
          <w:pStyle w:val="a8"/>
          <w:jc w:val="center"/>
        </w:pPr>
        <w:fldSimple w:instr=" PAGE   \* MERGEFORMAT ">
          <w:r w:rsidR="003B7E71">
            <w:rPr>
              <w:noProof/>
            </w:rPr>
            <w:t>13</w:t>
          </w:r>
        </w:fldSimple>
      </w:p>
    </w:sdtContent>
  </w:sdt>
  <w:p w:rsidR="008329D1" w:rsidRDefault="008329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D55"/>
    <w:multiLevelType w:val="hybridMultilevel"/>
    <w:tmpl w:val="4436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3242"/>
    <w:multiLevelType w:val="hybridMultilevel"/>
    <w:tmpl w:val="A1C48A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C0EFA"/>
    <w:multiLevelType w:val="hybridMultilevel"/>
    <w:tmpl w:val="80AA8D70"/>
    <w:lvl w:ilvl="0" w:tplc="993C3E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6B6939"/>
    <w:multiLevelType w:val="hybridMultilevel"/>
    <w:tmpl w:val="FA2861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84FA4"/>
    <w:multiLevelType w:val="hybridMultilevel"/>
    <w:tmpl w:val="200CB91E"/>
    <w:lvl w:ilvl="0" w:tplc="502AD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CE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41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6A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C6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49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0D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C5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47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0B0F26"/>
    <w:multiLevelType w:val="hybridMultilevel"/>
    <w:tmpl w:val="AFE45B4C"/>
    <w:lvl w:ilvl="0" w:tplc="993C3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706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60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20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2F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2F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62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89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8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F275A7"/>
    <w:multiLevelType w:val="hybridMultilevel"/>
    <w:tmpl w:val="CDA24B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334818"/>
    <w:multiLevelType w:val="multilevel"/>
    <w:tmpl w:val="F0A8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1011E"/>
    <w:multiLevelType w:val="hybridMultilevel"/>
    <w:tmpl w:val="F1DE95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5B1D4C"/>
    <w:multiLevelType w:val="hybridMultilevel"/>
    <w:tmpl w:val="5D3AD2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034F02"/>
    <w:multiLevelType w:val="hybridMultilevel"/>
    <w:tmpl w:val="4100FC74"/>
    <w:lvl w:ilvl="0" w:tplc="AB26496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AFC528A"/>
    <w:multiLevelType w:val="hybridMultilevel"/>
    <w:tmpl w:val="6524AB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4F715A"/>
    <w:multiLevelType w:val="hybridMultilevel"/>
    <w:tmpl w:val="C3B6AEE6"/>
    <w:lvl w:ilvl="0" w:tplc="3682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EA9E8">
      <w:start w:val="3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0D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0C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23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E6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23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28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00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20537EA"/>
    <w:multiLevelType w:val="hybridMultilevel"/>
    <w:tmpl w:val="61EABE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981ED4"/>
    <w:multiLevelType w:val="hybridMultilevel"/>
    <w:tmpl w:val="145EB978"/>
    <w:lvl w:ilvl="0" w:tplc="571C54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B20728E"/>
    <w:multiLevelType w:val="hybridMultilevel"/>
    <w:tmpl w:val="E17E314E"/>
    <w:lvl w:ilvl="0" w:tplc="DE46C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2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68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A5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283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20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45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40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A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0F1E85"/>
    <w:multiLevelType w:val="hybridMultilevel"/>
    <w:tmpl w:val="F150438C"/>
    <w:lvl w:ilvl="0" w:tplc="8140F3E4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A37CC9"/>
    <w:multiLevelType w:val="hybridMultilevel"/>
    <w:tmpl w:val="E496DCEE"/>
    <w:lvl w:ilvl="0" w:tplc="49D6F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E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E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02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4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2C1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02E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DE2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4D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7B35EC2"/>
    <w:multiLevelType w:val="hybridMultilevel"/>
    <w:tmpl w:val="EF648E58"/>
    <w:lvl w:ilvl="0" w:tplc="993C3E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894239D"/>
    <w:multiLevelType w:val="hybridMultilevel"/>
    <w:tmpl w:val="CFC2BD1A"/>
    <w:lvl w:ilvl="0" w:tplc="1E46A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CA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85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21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A8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C9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21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20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C2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0353F1"/>
    <w:multiLevelType w:val="hybridMultilevel"/>
    <w:tmpl w:val="0FF449D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9E02A3F"/>
    <w:multiLevelType w:val="hybridMultilevel"/>
    <w:tmpl w:val="BFFA71B4"/>
    <w:lvl w:ilvl="0" w:tplc="993C3E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A01347D"/>
    <w:multiLevelType w:val="hybridMultilevel"/>
    <w:tmpl w:val="9516D596"/>
    <w:lvl w:ilvl="0" w:tplc="9C004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0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04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E5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2C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A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C3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AE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65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C63175F"/>
    <w:multiLevelType w:val="hybridMultilevel"/>
    <w:tmpl w:val="B89025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743A1C"/>
    <w:multiLevelType w:val="hybridMultilevel"/>
    <w:tmpl w:val="63ECD2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8683177"/>
    <w:multiLevelType w:val="hybridMultilevel"/>
    <w:tmpl w:val="338E5926"/>
    <w:lvl w:ilvl="0" w:tplc="993C3E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9AD5065"/>
    <w:multiLevelType w:val="hybridMultilevel"/>
    <w:tmpl w:val="CF3473A8"/>
    <w:lvl w:ilvl="0" w:tplc="8778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06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60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20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2F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2F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62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89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8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F7D65DC"/>
    <w:multiLevelType w:val="hybridMultilevel"/>
    <w:tmpl w:val="F650FDCA"/>
    <w:lvl w:ilvl="0" w:tplc="DA1E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0B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63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83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69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E5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4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C6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A3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35727D8"/>
    <w:multiLevelType w:val="hybridMultilevel"/>
    <w:tmpl w:val="535095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7D17070"/>
    <w:multiLevelType w:val="hybridMultilevel"/>
    <w:tmpl w:val="AE1AB1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9A6206"/>
    <w:multiLevelType w:val="hybridMultilevel"/>
    <w:tmpl w:val="4DE84BAC"/>
    <w:lvl w:ilvl="0" w:tplc="3C4490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24"/>
  </w:num>
  <w:num w:numId="9">
    <w:abstractNumId w:val="10"/>
  </w:num>
  <w:num w:numId="10">
    <w:abstractNumId w:val="25"/>
  </w:num>
  <w:num w:numId="11">
    <w:abstractNumId w:val="12"/>
  </w:num>
  <w:num w:numId="12">
    <w:abstractNumId w:val="30"/>
  </w:num>
  <w:num w:numId="13">
    <w:abstractNumId w:val="6"/>
  </w:num>
  <w:num w:numId="14">
    <w:abstractNumId w:val="29"/>
  </w:num>
  <w:num w:numId="15">
    <w:abstractNumId w:val="18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8"/>
  </w:num>
  <w:num w:numId="21">
    <w:abstractNumId w:val="7"/>
  </w:num>
  <w:num w:numId="22">
    <w:abstractNumId w:val="2"/>
  </w:num>
  <w:num w:numId="23">
    <w:abstractNumId w:val="0"/>
  </w:num>
  <w:num w:numId="24">
    <w:abstractNumId w:val="26"/>
  </w:num>
  <w:num w:numId="25">
    <w:abstractNumId w:val="17"/>
  </w:num>
  <w:num w:numId="26">
    <w:abstractNumId w:val="4"/>
  </w:num>
  <w:num w:numId="27">
    <w:abstractNumId w:val="27"/>
  </w:num>
  <w:num w:numId="28">
    <w:abstractNumId w:val="22"/>
  </w:num>
  <w:num w:numId="29">
    <w:abstractNumId w:val="15"/>
  </w:num>
  <w:num w:numId="30">
    <w:abstractNumId w:val="19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399"/>
    <w:rsid w:val="00001717"/>
    <w:rsid w:val="000024DA"/>
    <w:rsid w:val="000040C6"/>
    <w:rsid w:val="0000714D"/>
    <w:rsid w:val="000072D4"/>
    <w:rsid w:val="000122A3"/>
    <w:rsid w:val="000122BB"/>
    <w:rsid w:val="00012753"/>
    <w:rsid w:val="00015E76"/>
    <w:rsid w:val="000168BF"/>
    <w:rsid w:val="000173D7"/>
    <w:rsid w:val="00020D21"/>
    <w:rsid w:val="000260BF"/>
    <w:rsid w:val="00030434"/>
    <w:rsid w:val="00030DEF"/>
    <w:rsid w:val="00036076"/>
    <w:rsid w:val="000366BA"/>
    <w:rsid w:val="00037515"/>
    <w:rsid w:val="00037982"/>
    <w:rsid w:val="00037C1F"/>
    <w:rsid w:val="000401D1"/>
    <w:rsid w:val="00041869"/>
    <w:rsid w:val="00041D58"/>
    <w:rsid w:val="00044917"/>
    <w:rsid w:val="00046B2F"/>
    <w:rsid w:val="000506A8"/>
    <w:rsid w:val="00051492"/>
    <w:rsid w:val="000532E9"/>
    <w:rsid w:val="000553FF"/>
    <w:rsid w:val="000600E7"/>
    <w:rsid w:val="00060973"/>
    <w:rsid w:val="00061788"/>
    <w:rsid w:val="000628B8"/>
    <w:rsid w:val="00063880"/>
    <w:rsid w:val="00064ACF"/>
    <w:rsid w:val="00066372"/>
    <w:rsid w:val="000703D9"/>
    <w:rsid w:val="00074623"/>
    <w:rsid w:val="000771F8"/>
    <w:rsid w:val="000800A1"/>
    <w:rsid w:val="000801D3"/>
    <w:rsid w:val="00080C10"/>
    <w:rsid w:val="00081163"/>
    <w:rsid w:val="000816CF"/>
    <w:rsid w:val="00081DDD"/>
    <w:rsid w:val="0008396A"/>
    <w:rsid w:val="00086786"/>
    <w:rsid w:val="00086D90"/>
    <w:rsid w:val="00090008"/>
    <w:rsid w:val="000906B9"/>
    <w:rsid w:val="00090850"/>
    <w:rsid w:val="0009217D"/>
    <w:rsid w:val="00093740"/>
    <w:rsid w:val="00095EE5"/>
    <w:rsid w:val="00097308"/>
    <w:rsid w:val="000A047A"/>
    <w:rsid w:val="000A0924"/>
    <w:rsid w:val="000A12F8"/>
    <w:rsid w:val="000A1720"/>
    <w:rsid w:val="000A4053"/>
    <w:rsid w:val="000A6137"/>
    <w:rsid w:val="000A6B7A"/>
    <w:rsid w:val="000A6EE2"/>
    <w:rsid w:val="000A72CF"/>
    <w:rsid w:val="000B5991"/>
    <w:rsid w:val="000B5BFB"/>
    <w:rsid w:val="000B7B19"/>
    <w:rsid w:val="000C00EA"/>
    <w:rsid w:val="000C0539"/>
    <w:rsid w:val="000C145F"/>
    <w:rsid w:val="000C2CC7"/>
    <w:rsid w:val="000C378D"/>
    <w:rsid w:val="000C391C"/>
    <w:rsid w:val="000C4A2E"/>
    <w:rsid w:val="000C6327"/>
    <w:rsid w:val="000C69DA"/>
    <w:rsid w:val="000C6E05"/>
    <w:rsid w:val="000C6E11"/>
    <w:rsid w:val="000C7D02"/>
    <w:rsid w:val="000D00D1"/>
    <w:rsid w:val="000D0252"/>
    <w:rsid w:val="000D0648"/>
    <w:rsid w:val="000D1DC9"/>
    <w:rsid w:val="000D3B5C"/>
    <w:rsid w:val="000D4F1F"/>
    <w:rsid w:val="000D5A0A"/>
    <w:rsid w:val="000D78B5"/>
    <w:rsid w:val="000E0173"/>
    <w:rsid w:val="000E124D"/>
    <w:rsid w:val="000E1BCC"/>
    <w:rsid w:val="000E1FE0"/>
    <w:rsid w:val="000E2863"/>
    <w:rsid w:val="000E30E9"/>
    <w:rsid w:val="000E40DF"/>
    <w:rsid w:val="000E50E6"/>
    <w:rsid w:val="000E591D"/>
    <w:rsid w:val="000E6F91"/>
    <w:rsid w:val="000F0E12"/>
    <w:rsid w:val="000F184A"/>
    <w:rsid w:val="000F1ADE"/>
    <w:rsid w:val="000F3047"/>
    <w:rsid w:val="000F30BA"/>
    <w:rsid w:val="000F4BDC"/>
    <w:rsid w:val="000F57FB"/>
    <w:rsid w:val="000F5D34"/>
    <w:rsid w:val="000F6C3E"/>
    <w:rsid w:val="000F720B"/>
    <w:rsid w:val="00102724"/>
    <w:rsid w:val="00104C4A"/>
    <w:rsid w:val="001072CC"/>
    <w:rsid w:val="001102E3"/>
    <w:rsid w:val="001120AB"/>
    <w:rsid w:val="0011347C"/>
    <w:rsid w:val="00114298"/>
    <w:rsid w:val="0011430B"/>
    <w:rsid w:val="00115EF3"/>
    <w:rsid w:val="001175F3"/>
    <w:rsid w:val="00117AC8"/>
    <w:rsid w:val="00120723"/>
    <w:rsid w:val="00121034"/>
    <w:rsid w:val="00121549"/>
    <w:rsid w:val="001217C4"/>
    <w:rsid w:val="00123779"/>
    <w:rsid w:val="001252A1"/>
    <w:rsid w:val="00125F1E"/>
    <w:rsid w:val="00130A7B"/>
    <w:rsid w:val="00131CF7"/>
    <w:rsid w:val="001428DA"/>
    <w:rsid w:val="001436B6"/>
    <w:rsid w:val="00144DFA"/>
    <w:rsid w:val="0014775B"/>
    <w:rsid w:val="001515FD"/>
    <w:rsid w:val="001516C9"/>
    <w:rsid w:val="001532F4"/>
    <w:rsid w:val="00153C50"/>
    <w:rsid w:val="00154CF0"/>
    <w:rsid w:val="001571A4"/>
    <w:rsid w:val="00157807"/>
    <w:rsid w:val="00162AC0"/>
    <w:rsid w:val="001632A9"/>
    <w:rsid w:val="001638C1"/>
    <w:rsid w:val="00164756"/>
    <w:rsid w:val="001660CB"/>
    <w:rsid w:val="001727CF"/>
    <w:rsid w:val="00174601"/>
    <w:rsid w:val="00175C50"/>
    <w:rsid w:val="00177836"/>
    <w:rsid w:val="00177F55"/>
    <w:rsid w:val="00180DDD"/>
    <w:rsid w:val="001815AA"/>
    <w:rsid w:val="0018211D"/>
    <w:rsid w:val="00184769"/>
    <w:rsid w:val="001973C1"/>
    <w:rsid w:val="001A1494"/>
    <w:rsid w:val="001A34D6"/>
    <w:rsid w:val="001B0995"/>
    <w:rsid w:val="001B1508"/>
    <w:rsid w:val="001B2523"/>
    <w:rsid w:val="001B4131"/>
    <w:rsid w:val="001C0B03"/>
    <w:rsid w:val="001C22CA"/>
    <w:rsid w:val="001C4445"/>
    <w:rsid w:val="001C5198"/>
    <w:rsid w:val="001C5449"/>
    <w:rsid w:val="001C57D4"/>
    <w:rsid w:val="001C6892"/>
    <w:rsid w:val="001C721D"/>
    <w:rsid w:val="001D1B9C"/>
    <w:rsid w:val="001D23D3"/>
    <w:rsid w:val="001D36FD"/>
    <w:rsid w:val="001D3DDE"/>
    <w:rsid w:val="001D4741"/>
    <w:rsid w:val="001D6C98"/>
    <w:rsid w:val="001E2A93"/>
    <w:rsid w:val="001F02D1"/>
    <w:rsid w:val="001F2703"/>
    <w:rsid w:val="001F2C5A"/>
    <w:rsid w:val="001F4417"/>
    <w:rsid w:val="001F4509"/>
    <w:rsid w:val="001F52B4"/>
    <w:rsid w:val="00201B90"/>
    <w:rsid w:val="002026EA"/>
    <w:rsid w:val="002030F3"/>
    <w:rsid w:val="00203869"/>
    <w:rsid w:val="00203FF9"/>
    <w:rsid w:val="00207E75"/>
    <w:rsid w:val="002131B6"/>
    <w:rsid w:val="0021365B"/>
    <w:rsid w:val="00214075"/>
    <w:rsid w:val="00215FA3"/>
    <w:rsid w:val="00216418"/>
    <w:rsid w:val="00217002"/>
    <w:rsid w:val="00217959"/>
    <w:rsid w:val="00217AB0"/>
    <w:rsid w:val="002210F4"/>
    <w:rsid w:val="00221129"/>
    <w:rsid w:val="002243E5"/>
    <w:rsid w:val="002256D0"/>
    <w:rsid w:val="002258AB"/>
    <w:rsid w:val="00225BD8"/>
    <w:rsid w:val="00226083"/>
    <w:rsid w:val="0022611A"/>
    <w:rsid w:val="002306FB"/>
    <w:rsid w:val="0023096B"/>
    <w:rsid w:val="0023166C"/>
    <w:rsid w:val="00232C23"/>
    <w:rsid w:val="00233FA3"/>
    <w:rsid w:val="00237050"/>
    <w:rsid w:val="0023777A"/>
    <w:rsid w:val="00240558"/>
    <w:rsid w:val="002408AA"/>
    <w:rsid w:val="00240D5D"/>
    <w:rsid w:val="00243C05"/>
    <w:rsid w:val="00243FE0"/>
    <w:rsid w:val="002457C6"/>
    <w:rsid w:val="00245E9B"/>
    <w:rsid w:val="002461D2"/>
    <w:rsid w:val="002462AF"/>
    <w:rsid w:val="0025010F"/>
    <w:rsid w:val="00251E9A"/>
    <w:rsid w:val="002524C2"/>
    <w:rsid w:val="002572DE"/>
    <w:rsid w:val="00257FC8"/>
    <w:rsid w:val="00260869"/>
    <w:rsid w:val="00265347"/>
    <w:rsid w:val="0026562B"/>
    <w:rsid w:val="00266316"/>
    <w:rsid w:val="00271966"/>
    <w:rsid w:val="002724B4"/>
    <w:rsid w:val="00274CE2"/>
    <w:rsid w:val="002755A6"/>
    <w:rsid w:val="002769BC"/>
    <w:rsid w:val="00286FAD"/>
    <w:rsid w:val="00287980"/>
    <w:rsid w:val="00293FC3"/>
    <w:rsid w:val="002953F4"/>
    <w:rsid w:val="002967BC"/>
    <w:rsid w:val="00297438"/>
    <w:rsid w:val="00297756"/>
    <w:rsid w:val="002A3101"/>
    <w:rsid w:val="002A4BCB"/>
    <w:rsid w:val="002A6544"/>
    <w:rsid w:val="002A6BF6"/>
    <w:rsid w:val="002B0D51"/>
    <w:rsid w:val="002B4757"/>
    <w:rsid w:val="002B64CB"/>
    <w:rsid w:val="002B6A37"/>
    <w:rsid w:val="002C00DB"/>
    <w:rsid w:val="002C02E3"/>
    <w:rsid w:val="002C08B7"/>
    <w:rsid w:val="002C0ACB"/>
    <w:rsid w:val="002C19FD"/>
    <w:rsid w:val="002C4823"/>
    <w:rsid w:val="002D0700"/>
    <w:rsid w:val="002D1F70"/>
    <w:rsid w:val="002D48D8"/>
    <w:rsid w:val="002D5AB5"/>
    <w:rsid w:val="002D7551"/>
    <w:rsid w:val="002E1842"/>
    <w:rsid w:val="002E2704"/>
    <w:rsid w:val="002E2909"/>
    <w:rsid w:val="002E3C32"/>
    <w:rsid w:val="002F329B"/>
    <w:rsid w:val="002F57C2"/>
    <w:rsid w:val="002F5C8A"/>
    <w:rsid w:val="002F644D"/>
    <w:rsid w:val="00303FCC"/>
    <w:rsid w:val="003074AD"/>
    <w:rsid w:val="003112DF"/>
    <w:rsid w:val="00316B30"/>
    <w:rsid w:val="003177E0"/>
    <w:rsid w:val="003227F1"/>
    <w:rsid w:val="0032697F"/>
    <w:rsid w:val="003272A2"/>
    <w:rsid w:val="00327495"/>
    <w:rsid w:val="00330A88"/>
    <w:rsid w:val="00330F0B"/>
    <w:rsid w:val="00334F19"/>
    <w:rsid w:val="0033541D"/>
    <w:rsid w:val="003374A6"/>
    <w:rsid w:val="00337558"/>
    <w:rsid w:val="00337967"/>
    <w:rsid w:val="003401CC"/>
    <w:rsid w:val="00342922"/>
    <w:rsid w:val="00344145"/>
    <w:rsid w:val="00344893"/>
    <w:rsid w:val="003512D2"/>
    <w:rsid w:val="00351ABA"/>
    <w:rsid w:val="00351F3D"/>
    <w:rsid w:val="00352AAD"/>
    <w:rsid w:val="003539C7"/>
    <w:rsid w:val="00354154"/>
    <w:rsid w:val="003545C5"/>
    <w:rsid w:val="00355CDB"/>
    <w:rsid w:val="003574EC"/>
    <w:rsid w:val="003614D7"/>
    <w:rsid w:val="00364E17"/>
    <w:rsid w:val="0036739C"/>
    <w:rsid w:val="003676CE"/>
    <w:rsid w:val="003679C2"/>
    <w:rsid w:val="00373058"/>
    <w:rsid w:val="00373267"/>
    <w:rsid w:val="00373489"/>
    <w:rsid w:val="00373B94"/>
    <w:rsid w:val="00377AC1"/>
    <w:rsid w:val="00377BA2"/>
    <w:rsid w:val="003800D5"/>
    <w:rsid w:val="00381807"/>
    <w:rsid w:val="00381A51"/>
    <w:rsid w:val="00384746"/>
    <w:rsid w:val="0039059E"/>
    <w:rsid w:val="003908CC"/>
    <w:rsid w:val="003915AB"/>
    <w:rsid w:val="003933D8"/>
    <w:rsid w:val="003937A4"/>
    <w:rsid w:val="00394B0E"/>
    <w:rsid w:val="00394CFE"/>
    <w:rsid w:val="003965DE"/>
    <w:rsid w:val="003967A3"/>
    <w:rsid w:val="00396F8B"/>
    <w:rsid w:val="0039747A"/>
    <w:rsid w:val="003A00DD"/>
    <w:rsid w:val="003A06FC"/>
    <w:rsid w:val="003A2A49"/>
    <w:rsid w:val="003A3E30"/>
    <w:rsid w:val="003A5B06"/>
    <w:rsid w:val="003A6739"/>
    <w:rsid w:val="003A7679"/>
    <w:rsid w:val="003B0D1B"/>
    <w:rsid w:val="003B0F77"/>
    <w:rsid w:val="003B61C0"/>
    <w:rsid w:val="003B633D"/>
    <w:rsid w:val="003B6577"/>
    <w:rsid w:val="003B7612"/>
    <w:rsid w:val="003B7E71"/>
    <w:rsid w:val="003C062D"/>
    <w:rsid w:val="003C12D8"/>
    <w:rsid w:val="003C2329"/>
    <w:rsid w:val="003C2E0A"/>
    <w:rsid w:val="003C30B7"/>
    <w:rsid w:val="003C32A3"/>
    <w:rsid w:val="003C730B"/>
    <w:rsid w:val="003D129D"/>
    <w:rsid w:val="003D13EC"/>
    <w:rsid w:val="003D3AAF"/>
    <w:rsid w:val="003D4287"/>
    <w:rsid w:val="003D6765"/>
    <w:rsid w:val="003D7222"/>
    <w:rsid w:val="003E28D7"/>
    <w:rsid w:val="003E420B"/>
    <w:rsid w:val="003E57CC"/>
    <w:rsid w:val="003E5EA7"/>
    <w:rsid w:val="003E72B7"/>
    <w:rsid w:val="003F0D34"/>
    <w:rsid w:val="003F1A25"/>
    <w:rsid w:val="003F1FCC"/>
    <w:rsid w:val="003F3BAC"/>
    <w:rsid w:val="003F49AA"/>
    <w:rsid w:val="00400DB8"/>
    <w:rsid w:val="00407546"/>
    <w:rsid w:val="00410126"/>
    <w:rsid w:val="004108B0"/>
    <w:rsid w:val="00410AD6"/>
    <w:rsid w:val="00412EE3"/>
    <w:rsid w:val="00413582"/>
    <w:rsid w:val="00420308"/>
    <w:rsid w:val="00420F83"/>
    <w:rsid w:val="00421222"/>
    <w:rsid w:val="0042175B"/>
    <w:rsid w:val="004225EE"/>
    <w:rsid w:val="00425DD7"/>
    <w:rsid w:val="0043045D"/>
    <w:rsid w:val="00430DC6"/>
    <w:rsid w:val="00431074"/>
    <w:rsid w:val="00431855"/>
    <w:rsid w:val="004341FC"/>
    <w:rsid w:val="004422E4"/>
    <w:rsid w:val="00445C7B"/>
    <w:rsid w:val="00447698"/>
    <w:rsid w:val="004522A5"/>
    <w:rsid w:val="004522B1"/>
    <w:rsid w:val="0045237D"/>
    <w:rsid w:val="00452E14"/>
    <w:rsid w:val="00454A67"/>
    <w:rsid w:val="00454C5E"/>
    <w:rsid w:val="0045693B"/>
    <w:rsid w:val="00456EEB"/>
    <w:rsid w:val="00460EA1"/>
    <w:rsid w:val="004643A3"/>
    <w:rsid w:val="004644B4"/>
    <w:rsid w:val="00464588"/>
    <w:rsid w:val="00465196"/>
    <w:rsid w:val="00465355"/>
    <w:rsid w:val="004654DA"/>
    <w:rsid w:val="00466E2F"/>
    <w:rsid w:val="00467F90"/>
    <w:rsid w:val="00470587"/>
    <w:rsid w:val="00471FD0"/>
    <w:rsid w:val="0047240F"/>
    <w:rsid w:val="00473328"/>
    <w:rsid w:val="0047418A"/>
    <w:rsid w:val="004759AE"/>
    <w:rsid w:val="004845BE"/>
    <w:rsid w:val="00484D1E"/>
    <w:rsid w:val="004902CC"/>
    <w:rsid w:val="004918A5"/>
    <w:rsid w:val="004920C8"/>
    <w:rsid w:val="0049388A"/>
    <w:rsid w:val="004953C0"/>
    <w:rsid w:val="00495DD5"/>
    <w:rsid w:val="0049753F"/>
    <w:rsid w:val="004A03D1"/>
    <w:rsid w:val="004A3840"/>
    <w:rsid w:val="004A3A80"/>
    <w:rsid w:val="004A7743"/>
    <w:rsid w:val="004B21A3"/>
    <w:rsid w:val="004B65A3"/>
    <w:rsid w:val="004B6A62"/>
    <w:rsid w:val="004B76C6"/>
    <w:rsid w:val="004C095F"/>
    <w:rsid w:val="004C127F"/>
    <w:rsid w:val="004C1623"/>
    <w:rsid w:val="004C364A"/>
    <w:rsid w:val="004C3B6C"/>
    <w:rsid w:val="004C6B91"/>
    <w:rsid w:val="004C7E6C"/>
    <w:rsid w:val="004D1339"/>
    <w:rsid w:val="004D4BFE"/>
    <w:rsid w:val="004D6BB7"/>
    <w:rsid w:val="004D7572"/>
    <w:rsid w:val="004E1688"/>
    <w:rsid w:val="004E1ECD"/>
    <w:rsid w:val="004E60DA"/>
    <w:rsid w:val="004E6E9F"/>
    <w:rsid w:val="004F0113"/>
    <w:rsid w:val="004F1AB4"/>
    <w:rsid w:val="004F2CDD"/>
    <w:rsid w:val="004F31EA"/>
    <w:rsid w:val="004F6CA4"/>
    <w:rsid w:val="0050036F"/>
    <w:rsid w:val="005004E9"/>
    <w:rsid w:val="00506DAD"/>
    <w:rsid w:val="0050730C"/>
    <w:rsid w:val="005107CC"/>
    <w:rsid w:val="00511CCC"/>
    <w:rsid w:val="00511EF1"/>
    <w:rsid w:val="00514D8C"/>
    <w:rsid w:val="005158DE"/>
    <w:rsid w:val="0051639C"/>
    <w:rsid w:val="00516FB9"/>
    <w:rsid w:val="00517FB8"/>
    <w:rsid w:val="005237D0"/>
    <w:rsid w:val="00531F46"/>
    <w:rsid w:val="005338D0"/>
    <w:rsid w:val="00533FF7"/>
    <w:rsid w:val="0053459C"/>
    <w:rsid w:val="00535495"/>
    <w:rsid w:val="00537C21"/>
    <w:rsid w:val="0054184F"/>
    <w:rsid w:val="00542659"/>
    <w:rsid w:val="005432C3"/>
    <w:rsid w:val="005445B3"/>
    <w:rsid w:val="00547401"/>
    <w:rsid w:val="00547D1D"/>
    <w:rsid w:val="00550A1A"/>
    <w:rsid w:val="00553ABE"/>
    <w:rsid w:val="00553C13"/>
    <w:rsid w:val="00553D6F"/>
    <w:rsid w:val="00555833"/>
    <w:rsid w:val="00556CA4"/>
    <w:rsid w:val="00556EEB"/>
    <w:rsid w:val="005632A2"/>
    <w:rsid w:val="00563F44"/>
    <w:rsid w:val="0056656A"/>
    <w:rsid w:val="005675B7"/>
    <w:rsid w:val="00570CC1"/>
    <w:rsid w:val="00573C92"/>
    <w:rsid w:val="00574DA9"/>
    <w:rsid w:val="00576467"/>
    <w:rsid w:val="00581414"/>
    <w:rsid w:val="0058263D"/>
    <w:rsid w:val="00584046"/>
    <w:rsid w:val="0058415D"/>
    <w:rsid w:val="00585496"/>
    <w:rsid w:val="005866EF"/>
    <w:rsid w:val="0058756F"/>
    <w:rsid w:val="0059298C"/>
    <w:rsid w:val="0059318C"/>
    <w:rsid w:val="005935D9"/>
    <w:rsid w:val="00595936"/>
    <w:rsid w:val="005A0DDE"/>
    <w:rsid w:val="005A1122"/>
    <w:rsid w:val="005A1203"/>
    <w:rsid w:val="005A169C"/>
    <w:rsid w:val="005A4748"/>
    <w:rsid w:val="005A5C7E"/>
    <w:rsid w:val="005A6BAD"/>
    <w:rsid w:val="005A7826"/>
    <w:rsid w:val="005B059C"/>
    <w:rsid w:val="005B098B"/>
    <w:rsid w:val="005B2C34"/>
    <w:rsid w:val="005B5914"/>
    <w:rsid w:val="005B5ED9"/>
    <w:rsid w:val="005B6C2C"/>
    <w:rsid w:val="005B7DE2"/>
    <w:rsid w:val="005C1D64"/>
    <w:rsid w:val="005C2776"/>
    <w:rsid w:val="005C30DA"/>
    <w:rsid w:val="005C3414"/>
    <w:rsid w:val="005C3A6B"/>
    <w:rsid w:val="005C501E"/>
    <w:rsid w:val="005C5A3E"/>
    <w:rsid w:val="005C5BE4"/>
    <w:rsid w:val="005C6DB7"/>
    <w:rsid w:val="005D1249"/>
    <w:rsid w:val="005D1334"/>
    <w:rsid w:val="005E22AD"/>
    <w:rsid w:val="005E541D"/>
    <w:rsid w:val="005E76BC"/>
    <w:rsid w:val="005F1D08"/>
    <w:rsid w:val="005F5D1A"/>
    <w:rsid w:val="005F6BA8"/>
    <w:rsid w:val="005F7649"/>
    <w:rsid w:val="005F77AF"/>
    <w:rsid w:val="005F7F79"/>
    <w:rsid w:val="00604503"/>
    <w:rsid w:val="00604D23"/>
    <w:rsid w:val="00610C15"/>
    <w:rsid w:val="00612399"/>
    <w:rsid w:val="0061582B"/>
    <w:rsid w:val="00617BA6"/>
    <w:rsid w:val="0062166D"/>
    <w:rsid w:val="006218C3"/>
    <w:rsid w:val="00621B79"/>
    <w:rsid w:val="00622DC4"/>
    <w:rsid w:val="00627EBC"/>
    <w:rsid w:val="006303C5"/>
    <w:rsid w:val="00630BDC"/>
    <w:rsid w:val="00631B49"/>
    <w:rsid w:val="006409BA"/>
    <w:rsid w:val="00640A53"/>
    <w:rsid w:val="00640E6C"/>
    <w:rsid w:val="006410B6"/>
    <w:rsid w:val="006435AA"/>
    <w:rsid w:val="00644322"/>
    <w:rsid w:val="00646441"/>
    <w:rsid w:val="00646ABD"/>
    <w:rsid w:val="00646ED0"/>
    <w:rsid w:val="006502FB"/>
    <w:rsid w:val="006538B6"/>
    <w:rsid w:val="00654458"/>
    <w:rsid w:val="0065571E"/>
    <w:rsid w:val="00656E0B"/>
    <w:rsid w:val="00657329"/>
    <w:rsid w:val="00657538"/>
    <w:rsid w:val="00657700"/>
    <w:rsid w:val="006644D5"/>
    <w:rsid w:val="00665C58"/>
    <w:rsid w:val="0066769E"/>
    <w:rsid w:val="00667763"/>
    <w:rsid w:val="0067269E"/>
    <w:rsid w:val="0067425D"/>
    <w:rsid w:val="00675301"/>
    <w:rsid w:val="00675A68"/>
    <w:rsid w:val="00676C59"/>
    <w:rsid w:val="00677105"/>
    <w:rsid w:val="00677A9C"/>
    <w:rsid w:val="00681A9A"/>
    <w:rsid w:val="00682072"/>
    <w:rsid w:val="00683848"/>
    <w:rsid w:val="00684021"/>
    <w:rsid w:val="0068438F"/>
    <w:rsid w:val="0068689F"/>
    <w:rsid w:val="006910B9"/>
    <w:rsid w:val="00694BA7"/>
    <w:rsid w:val="00696E70"/>
    <w:rsid w:val="00697C2E"/>
    <w:rsid w:val="006A09B8"/>
    <w:rsid w:val="006A28AB"/>
    <w:rsid w:val="006A47BC"/>
    <w:rsid w:val="006A47FD"/>
    <w:rsid w:val="006A7864"/>
    <w:rsid w:val="006B000C"/>
    <w:rsid w:val="006B303E"/>
    <w:rsid w:val="006B36EE"/>
    <w:rsid w:val="006B4C22"/>
    <w:rsid w:val="006B6840"/>
    <w:rsid w:val="006C207D"/>
    <w:rsid w:val="006C26B5"/>
    <w:rsid w:val="006C5A5D"/>
    <w:rsid w:val="006C7587"/>
    <w:rsid w:val="006C7D3F"/>
    <w:rsid w:val="006C7DCA"/>
    <w:rsid w:val="006D4476"/>
    <w:rsid w:val="006D6344"/>
    <w:rsid w:val="006D7769"/>
    <w:rsid w:val="006D77CB"/>
    <w:rsid w:val="006E0EC8"/>
    <w:rsid w:val="006E0FB2"/>
    <w:rsid w:val="006E2EE1"/>
    <w:rsid w:val="006E4B2F"/>
    <w:rsid w:val="006E7A3F"/>
    <w:rsid w:val="006E7BDE"/>
    <w:rsid w:val="006F1686"/>
    <w:rsid w:val="006F32BF"/>
    <w:rsid w:val="006F5010"/>
    <w:rsid w:val="006F58F3"/>
    <w:rsid w:val="006F73BB"/>
    <w:rsid w:val="006F79F5"/>
    <w:rsid w:val="006F7D42"/>
    <w:rsid w:val="00700C41"/>
    <w:rsid w:val="00701C17"/>
    <w:rsid w:val="00701E47"/>
    <w:rsid w:val="0070295C"/>
    <w:rsid w:val="00703150"/>
    <w:rsid w:val="00704EB6"/>
    <w:rsid w:val="00705EC4"/>
    <w:rsid w:val="00705EC9"/>
    <w:rsid w:val="007070C1"/>
    <w:rsid w:val="007072CB"/>
    <w:rsid w:val="00707875"/>
    <w:rsid w:val="00707A65"/>
    <w:rsid w:val="00713E11"/>
    <w:rsid w:val="00714941"/>
    <w:rsid w:val="00716458"/>
    <w:rsid w:val="007171FF"/>
    <w:rsid w:val="007209D1"/>
    <w:rsid w:val="00721C11"/>
    <w:rsid w:val="00721EF4"/>
    <w:rsid w:val="00725899"/>
    <w:rsid w:val="00727893"/>
    <w:rsid w:val="007334D1"/>
    <w:rsid w:val="0073381C"/>
    <w:rsid w:val="00734026"/>
    <w:rsid w:val="00734366"/>
    <w:rsid w:val="00737F55"/>
    <w:rsid w:val="007439E3"/>
    <w:rsid w:val="00747042"/>
    <w:rsid w:val="00751411"/>
    <w:rsid w:val="007516E9"/>
    <w:rsid w:val="007531EC"/>
    <w:rsid w:val="0075339E"/>
    <w:rsid w:val="0075558C"/>
    <w:rsid w:val="00755A5B"/>
    <w:rsid w:val="007563BB"/>
    <w:rsid w:val="00761107"/>
    <w:rsid w:val="00764837"/>
    <w:rsid w:val="007657E3"/>
    <w:rsid w:val="00767ED6"/>
    <w:rsid w:val="00772B97"/>
    <w:rsid w:val="007735F4"/>
    <w:rsid w:val="007753DF"/>
    <w:rsid w:val="00776DC1"/>
    <w:rsid w:val="00777172"/>
    <w:rsid w:val="007805F6"/>
    <w:rsid w:val="00781589"/>
    <w:rsid w:val="00791AA1"/>
    <w:rsid w:val="00794DD4"/>
    <w:rsid w:val="00795D27"/>
    <w:rsid w:val="007A00FA"/>
    <w:rsid w:val="007A0645"/>
    <w:rsid w:val="007A0C12"/>
    <w:rsid w:val="007A225F"/>
    <w:rsid w:val="007A28BB"/>
    <w:rsid w:val="007A656C"/>
    <w:rsid w:val="007A7F50"/>
    <w:rsid w:val="007B0AFD"/>
    <w:rsid w:val="007B1659"/>
    <w:rsid w:val="007B1E5D"/>
    <w:rsid w:val="007B2193"/>
    <w:rsid w:val="007B32E7"/>
    <w:rsid w:val="007B36D3"/>
    <w:rsid w:val="007B5CEF"/>
    <w:rsid w:val="007B5EBC"/>
    <w:rsid w:val="007B689F"/>
    <w:rsid w:val="007C1530"/>
    <w:rsid w:val="007C1E24"/>
    <w:rsid w:val="007C2166"/>
    <w:rsid w:val="007C2759"/>
    <w:rsid w:val="007C4B9C"/>
    <w:rsid w:val="007C5AEF"/>
    <w:rsid w:val="007C69F4"/>
    <w:rsid w:val="007C6B78"/>
    <w:rsid w:val="007D2316"/>
    <w:rsid w:val="007D28B2"/>
    <w:rsid w:val="007D2C08"/>
    <w:rsid w:val="007D3D51"/>
    <w:rsid w:val="007E2D01"/>
    <w:rsid w:val="007E5325"/>
    <w:rsid w:val="007E6C9A"/>
    <w:rsid w:val="007F0DE5"/>
    <w:rsid w:val="007F2653"/>
    <w:rsid w:val="008005FF"/>
    <w:rsid w:val="0080162D"/>
    <w:rsid w:val="00801677"/>
    <w:rsid w:val="0080314F"/>
    <w:rsid w:val="0080584D"/>
    <w:rsid w:val="0080682F"/>
    <w:rsid w:val="00806FAC"/>
    <w:rsid w:val="0080799B"/>
    <w:rsid w:val="00810302"/>
    <w:rsid w:val="008103A2"/>
    <w:rsid w:val="00811297"/>
    <w:rsid w:val="00811D8C"/>
    <w:rsid w:val="00812F47"/>
    <w:rsid w:val="00814475"/>
    <w:rsid w:val="008164C5"/>
    <w:rsid w:val="00817C52"/>
    <w:rsid w:val="00821AC4"/>
    <w:rsid w:val="00825750"/>
    <w:rsid w:val="0082596F"/>
    <w:rsid w:val="0082622B"/>
    <w:rsid w:val="00826EF7"/>
    <w:rsid w:val="008329D1"/>
    <w:rsid w:val="0083357B"/>
    <w:rsid w:val="00833E9F"/>
    <w:rsid w:val="008366AE"/>
    <w:rsid w:val="008412D8"/>
    <w:rsid w:val="008418C5"/>
    <w:rsid w:val="0084240F"/>
    <w:rsid w:val="00846931"/>
    <w:rsid w:val="00846F8A"/>
    <w:rsid w:val="0085336A"/>
    <w:rsid w:val="00853C78"/>
    <w:rsid w:val="00854EF4"/>
    <w:rsid w:val="0085762F"/>
    <w:rsid w:val="008605F0"/>
    <w:rsid w:val="0086348D"/>
    <w:rsid w:val="008742E7"/>
    <w:rsid w:val="008770BE"/>
    <w:rsid w:val="00877EEA"/>
    <w:rsid w:val="00883B1A"/>
    <w:rsid w:val="0088535E"/>
    <w:rsid w:val="008854FF"/>
    <w:rsid w:val="008855F1"/>
    <w:rsid w:val="0088614A"/>
    <w:rsid w:val="00887228"/>
    <w:rsid w:val="008946FA"/>
    <w:rsid w:val="0089503E"/>
    <w:rsid w:val="008979F4"/>
    <w:rsid w:val="008A0296"/>
    <w:rsid w:val="008A072A"/>
    <w:rsid w:val="008B2474"/>
    <w:rsid w:val="008B3F04"/>
    <w:rsid w:val="008B550C"/>
    <w:rsid w:val="008B5DA8"/>
    <w:rsid w:val="008B6386"/>
    <w:rsid w:val="008B6B3A"/>
    <w:rsid w:val="008C07D3"/>
    <w:rsid w:val="008C15CA"/>
    <w:rsid w:val="008C2060"/>
    <w:rsid w:val="008C2199"/>
    <w:rsid w:val="008C5C6F"/>
    <w:rsid w:val="008C75F8"/>
    <w:rsid w:val="008C7619"/>
    <w:rsid w:val="008D03CB"/>
    <w:rsid w:val="008D1C38"/>
    <w:rsid w:val="008D59BA"/>
    <w:rsid w:val="008D69E9"/>
    <w:rsid w:val="008E1940"/>
    <w:rsid w:val="008E4C53"/>
    <w:rsid w:val="008E6E11"/>
    <w:rsid w:val="008F00BA"/>
    <w:rsid w:val="008F13D4"/>
    <w:rsid w:val="008F1559"/>
    <w:rsid w:val="008F3031"/>
    <w:rsid w:val="008F3141"/>
    <w:rsid w:val="008F6A42"/>
    <w:rsid w:val="008F728F"/>
    <w:rsid w:val="00905E73"/>
    <w:rsid w:val="00912B8B"/>
    <w:rsid w:val="009234DD"/>
    <w:rsid w:val="00926203"/>
    <w:rsid w:val="00926D26"/>
    <w:rsid w:val="00932DE3"/>
    <w:rsid w:val="00935164"/>
    <w:rsid w:val="009355CD"/>
    <w:rsid w:val="00943FF4"/>
    <w:rsid w:val="0094415C"/>
    <w:rsid w:val="00944763"/>
    <w:rsid w:val="009450AB"/>
    <w:rsid w:val="009465B1"/>
    <w:rsid w:val="009476DC"/>
    <w:rsid w:val="009504F6"/>
    <w:rsid w:val="00950525"/>
    <w:rsid w:val="00950712"/>
    <w:rsid w:val="00950E7F"/>
    <w:rsid w:val="00951707"/>
    <w:rsid w:val="0095198E"/>
    <w:rsid w:val="00953D8F"/>
    <w:rsid w:val="00955C09"/>
    <w:rsid w:val="0095756D"/>
    <w:rsid w:val="00957F57"/>
    <w:rsid w:val="00961C6E"/>
    <w:rsid w:val="00963CF3"/>
    <w:rsid w:val="00963DE2"/>
    <w:rsid w:val="00965EFD"/>
    <w:rsid w:val="00966515"/>
    <w:rsid w:val="00967939"/>
    <w:rsid w:val="00967B77"/>
    <w:rsid w:val="00970047"/>
    <w:rsid w:val="0097165D"/>
    <w:rsid w:val="00973759"/>
    <w:rsid w:val="00973DA6"/>
    <w:rsid w:val="0097679E"/>
    <w:rsid w:val="00976953"/>
    <w:rsid w:val="00981A58"/>
    <w:rsid w:val="009830DC"/>
    <w:rsid w:val="0098422A"/>
    <w:rsid w:val="0098704E"/>
    <w:rsid w:val="00987CEB"/>
    <w:rsid w:val="009908A9"/>
    <w:rsid w:val="00991EB7"/>
    <w:rsid w:val="00992EAD"/>
    <w:rsid w:val="00994AFF"/>
    <w:rsid w:val="00996589"/>
    <w:rsid w:val="009A0399"/>
    <w:rsid w:val="009A095D"/>
    <w:rsid w:val="009A2658"/>
    <w:rsid w:val="009A33B4"/>
    <w:rsid w:val="009A36DE"/>
    <w:rsid w:val="009A647D"/>
    <w:rsid w:val="009B1589"/>
    <w:rsid w:val="009B2DAC"/>
    <w:rsid w:val="009B6880"/>
    <w:rsid w:val="009C0F9C"/>
    <w:rsid w:val="009C0FDF"/>
    <w:rsid w:val="009C5B1B"/>
    <w:rsid w:val="009C746E"/>
    <w:rsid w:val="009D06F6"/>
    <w:rsid w:val="009D0B43"/>
    <w:rsid w:val="009D0F25"/>
    <w:rsid w:val="009D1A5C"/>
    <w:rsid w:val="009D2D62"/>
    <w:rsid w:val="009D32E5"/>
    <w:rsid w:val="009D36FC"/>
    <w:rsid w:val="009D6DCE"/>
    <w:rsid w:val="009D7ED8"/>
    <w:rsid w:val="009E2C78"/>
    <w:rsid w:val="009E63B8"/>
    <w:rsid w:val="009E74A6"/>
    <w:rsid w:val="009E753D"/>
    <w:rsid w:val="009F2A66"/>
    <w:rsid w:val="009F60F2"/>
    <w:rsid w:val="009F6DD5"/>
    <w:rsid w:val="009F6FAB"/>
    <w:rsid w:val="00A0307B"/>
    <w:rsid w:val="00A073C0"/>
    <w:rsid w:val="00A10876"/>
    <w:rsid w:val="00A11737"/>
    <w:rsid w:val="00A12BF9"/>
    <w:rsid w:val="00A13C6F"/>
    <w:rsid w:val="00A17491"/>
    <w:rsid w:val="00A17529"/>
    <w:rsid w:val="00A21556"/>
    <w:rsid w:val="00A22166"/>
    <w:rsid w:val="00A22ACA"/>
    <w:rsid w:val="00A2427D"/>
    <w:rsid w:val="00A26011"/>
    <w:rsid w:val="00A27254"/>
    <w:rsid w:val="00A27EA1"/>
    <w:rsid w:val="00A32011"/>
    <w:rsid w:val="00A34153"/>
    <w:rsid w:val="00A36517"/>
    <w:rsid w:val="00A37528"/>
    <w:rsid w:val="00A40F9C"/>
    <w:rsid w:val="00A43419"/>
    <w:rsid w:val="00A43ADE"/>
    <w:rsid w:val="00A45622"/>
    <w:rsid w:val="00A4568F"/>
    <w:rsid w:val="00A47F7B"/>
    <w:rsid w:val="00A50174"/>
    <w:rsid w:val="00A5389D"/>
    <w:rsid w:val="00A553C6"/>
    <w:rsid w:val="00A55C2F"/>
    <w:rsid w:val="00A56684"/>
    <w:rsid w:val="00A5715B"/>
    <w:rsid w:val="00A57BBE"/>
    <w:rsid w:val="00A60539"/>
    <w:rsid w:val="00A60E00"/>
    <w:rsid w:val="00A6122D"/>
    <w:rsid w:val="00A61A62"/>
    <w:rsid w:val="00A63589"/>
    <w:rsid w:val="00A63E98"/>
    <w:rsid w:val="00A66B73"/>
    <w:rsid w:val="00A678C1"/>
    <w:rsid w:val="00A67F0B"/>
    <w:rsid w:val="00A70D67"/>
    <w:rsid w:val="00A71E1D"/>
    <w:rsid w:val="00A73762"/>
    <w:rsid w:val="00A753E8"/>
    <w:rsid w:val="00A7571E"/>
    <w:rsid w:val="00A757D1"/>
    <w:rsid w:val="00A779FB"/>
    <w:rsid w:val="00A8128E"/>
    <w:rsid w:val="00A820AD"/>
    <w:rsid w:val="00A82462"/>
    <w:rsid w:val="00A8550B"/>
    <w:rsid w:val="00A87778"/>
    <w:rsid w:val="00A90188"/>
    <w:rsid w:val="00A90517"/>
    <w:rsid w:val="00A91D6F"/>
    <w:rsid w:val="00A94597"/>
    <w:rsid w:val="00A95559"/>
    <w:rsid w:val="00A9568B"/>
    <w:rsid w:val="00AA1D34"/>
    <w:rsid w:val="00AA3F7D"/>
    <w:rsid w:val="00AA44FE"/>
    <w:rsid w:val="00AA4554"/>
    <w:rsid w:val="00AA4ADF"/>
    <w:rsid w:val="00AA4D0C"/>
    <w:rsid w:val="00AA665F"/>
    <w:rsid w:val="00AA7514"/>
    <w:rsid w:val="00AA7BCB"/>
    <w:rsid w:val="00AB3A93"/>
    <w:rsid w:val="00AB56BF"/>
    <w:rsid w:val="00AB5A3A"/>
    <w:rsid w:val="00AB6355"/>
    <w:rsid w:val="00AB6864"/>
    <w:rsid w:val="00AC0EC9"/>
    <w:rsid w:val="00AC2969"/>
    <w:rsid w:val="00AC3B39"/>
    <w:rsid w:val="00AC50AD"/>
    <w:rsid w:val="00AC66DF"/>
    <w:rsid w:val="00AC69A6"/>
    <w:rsid w:val="00AD044A"/>
    <w:rsid w:val="00AD2888"/>
    <w:rsid w:val="00AD3D5A"/>
    <w:rsid w:val="00AD4010"/>
    <w:rsid w:val="00AD4F87"/>
    <w:rsid w:val="00AD5CA2"/>
    <w:rsid w:val="00AE0180"/>
    <w:rsid w:val="00AE0FF3"/>
    <w:rsid w:val="00AE295D"/>
    <w:rsid w:val="00AE3E97"/>
    <w:rsid w:val="00AE52CA"/>
    <w:rsid w:val="00AE70C0"/>
    <w:rsid w:val="00AF1225"/>
    <w:rsid w:val="00AF3F51"/>
    <w:rsid w:val="00AF5483"/>
    <w:rsid w:val="00B0076F"/>
    <w:rsid w:val="00B0107C"/>
    <w:rsid w:val="00B04C3B"/>
    <w:rsid w:val="00B06BD8"/>
    <w:rsid w:val="00B07457"/>
    <w:rsid w:val="00B160CC"/>
    <w:rsid w:val="00B17102"/>
    <w:rsid w:val="00B219BE"/>
    <w:rsid w:val="00B241E6"/>
    <w:rsid w:val="00B24332"/>
    <w:rsid w:val="00B2723F"/>
    <w:rsid w:val="00B300D3"/>
    <w:rsid w:val="00B30E28"/>
    <w:rsid w:val="00B31F3D"/>
    <w:rsid w:val="00B343CF"/>
    <w:rsid w:val="00B3643A"/>
    <w:rsid w:val="00B37D81"/>
    <w:rsid w:val="00B40A02"/>
    <w:rsid w:val="00B42F24"/>
    <w:rsid w:val="00B43D0E"/>
    <w:rsid w:val="00B465E7"/>
    <w:rsid w:val="00B503C1"/>
    <w:rsid w:val="00B5446F"/>
    <w:rsid w:val="00B551AD"/>
    <w:rsid w:val="00B55F5F"/>
    <w:rsid w:val="00B57F1E"/>
    <w:rsid w:val="00B60417"/>
    <w:rsid w:val="00B63019"/>
    <w:rsid w:val="00B65269"/>
    <w:rsid w:val="00B66479"/>
    <w:rsid w:val="00B674CF"/>
    <w:rsid w:val="00B71396"/>
    <w:rsid w:val="00B74DC4"/>
    <w:rsid w:val="00B76C21"/>
    <w:rsid w:val="00B80878"/>
    <w:rsid w:val="00B817C2"/>
    <w:rsid w:val="00B81BB0"/>
    <w:rsid w:val="00B90188"/>
    <w:rsid w:val="00B9094F"/>
    <w:rsid w:val="00B90EEC"/>
    <w:rsid w:val="00B91503"/>
    <w:rsid w:val="00B9288C"/>
    <w:rsid w:val="00B93046"/>
    <w:rsid w:val="00B93921"/>
    <w:rsid w:val="00B93D77"/>
    <w:rsid w:val="00B94E16"/>
    <w:rsid w:val="00B9560C"/>
    <w:rsid w:val="00B968E0"/>
    <w:rsid w:val="00BA230C"/>
    <w:rsid w:val="00BA2C2C"/>
    <w:rsid w:val="00BA3270"/>
    <w:rsid w:val="00BA4817"/>
    <w:rsid w:val="00BA4C8C"/>
    <w:rsid w:val="00BA4E80"/>
    <w:rsid w:val="00BA6699"/>
    <w:rsid w:val="00BA7011"/>
    <w:rsid w:val="00BB01BF"/>
    <w:rsid w:val="00BB0CA8"/>
    <w:rsid w:val="00BB478B"/>
    <w:rsid w:val="00BB6842"/>
    <w:rsid w:val="00BB79CE"/>
    <w:rsid w:val="00BC098A"/>
    <w:rsid w:val="00BC098C"/>
    <w:rsid w:val="00BC252B"/>
    <w:rsid w:val="00BC308A"/>
    <w:rsid w:val="00BC5381"/>
    <w:rsid w:val="00BC6875"/>
    <w:rsid w:val="00BC7F45"/>
    <w:rsid w:val="00BC7FFE"/>
    <w:rsid w:val="00BD45E8"/>
    <w:rsid w:val="00BD5485"/>
    <w:rsid w:val="00BE1221"/>
    <w:rsid w:val="00BE5D73"/>
    <w:rsid w:val="00BE7BEE"/>
    <w:rsid w:val="00BF2A60"/>
    <w:rsid w:val="00BF2D20"/>
    <w:rsid w:val="00BF30D2"/>
    <w:rsid w:val="00BF3ED6"/>
    <w:rsid w:val="00BF4F04"/>
    <w:rsid w:val="00BF512D"/>
    <w:rsid w:val="00BF746D"/>
    <w:rsid w:val="00C0070B"/>
    <w:rsid w:val="00C00873"/>
    <w:rsid w:val="00C00AC0"/>
    <w:rsid w:val="00C01B75"/>
    <w:rsid w:val="00C03944"/>
    <w:rsid w:val="00C06482"/>
    <w:rsid w:val="00C06F73"/>
    <w:rsid w:val="00C10152"/>
    <w:rsid w:val="00C1322B"/>
    <w:rsid w:val="00C142C1"/>
    <w:rsid w:val="00C14A46"/>
    <w:rsid w:val="00C15810"/>
    <w:rsid w:val="00C16E58"/>
    <w:rsid w:val="00C22A84"/>
    <w:rsid w:val="00C23963"/>
    <w:rsid w:val="00C23F28"/>
    <w:rsid w:val="00C25250"/>
    <w:rsid w:val="00C26280"/>
    <w:rsid w:val="00C3066D"/>
    <w:rsid w:val="00C32817"/>
    <w:rsid w:val="00C377DA"/>
    <w:rsid w:val="00C4474C"/>
    <w:rsid w:val="00C452BA"/>
    <w:rsid w:val="00C4565F"/>
    <w:rsid w:val="00C479D2"/>
    <w:rsid w:val="00C523FF"/>
    <w:rsid w:val="00C53EA2"/>
    <w:rsid w:val="00C54609"/>
    <w:rsid w:val="00C54DC5"/>
    <w:rsid w:val="00C56BB1"/>
    <w:rsid w:val="00C577B1"/>
    <w:rsid w:val="00C60540"/>
    <w:rsid w:val="00C612A5"/>
    <w:rsid w:val="00C61302"/>
    <w:rsid w:val="00C61A97"/>
    <w:rsid w:val="00C62443"/>
    <w:rsid w:val="00C63826"/>
    <w:rsid w:val="00C64E24"/>
    <w:rsid w:val="00C661E7"/>
    <w:rsid w:val="00C6623E"/>
    <w:rsid w:val="00C66C0F"/>
    <w:rsid w:val="00C70F38"/>
    <w:rsid w:val="00C723FE"/>
    <w:rsid w:val="00C73481"/>
    <w:rsid w:val="00C74683"/>
    <w:rsid w:val="00C76A26"/>
    <w:rsid w:val="00C801BB"/>
    <w:rsid w:val="00C812EB"/>
    <w:rsid w:val="00C82DAB"/>
    <w:rsid w:val="00C848F1"/>
    <w:rsid w:val="00C84A8B"/>
    <w:rsid w:val="00C85396"/>
    <w:rsid w:val="00C8539A"/>
    <w:rsid w:val="00C8546A"/>
    <w:rsid w:val="00C86298"/>
    <w:rsid w:val="00C936FC"/>
    <w:rsid w:val="00C93CB2"/>
    <w:rsid w:val="00C9517E"/>
    <w:rsid w:val="00CA0B11"/>
    <w:rsid w:val="00CA205E"/>
    <w:rsid w:val="00CA2B7C"/>
    <w:rsid w:val="00CA4C2A"/>
    <w:rsid w:val="00CA51BF"/>
    <w:rsid w:val="00CB02F5"/>
    <w:rsid w:val="00CB0DC2"/>
    <w:rsid w:val="00CB16F0"/>
    <w:rsid w:val="00CB487D"/>
    <w:rsid w:val="00CB4B82"/>
    <w:rsid w:val="00CB6B5E"/>
    <w:rsid w:val="00CC2692"/>
    <w:rsid w:val="00CC30F5"/>
    <w:rsid w:val="00CC47AA"/>
    <w:rsid w:val="00CC4EC2"/>
    <w:rsid w:val="00CD1971"/>
    <w:rsid w:val="00CD3201"/>
    <w:rsid w:val="00CD3D24"/>
    <w:rsid w:val="00CD41B8"/>
    <w:rsid w:val="00CD4895"/>
    <w:rsid w:val="00CD491F"/>
    <w:rsid w:val="00CD4931"/>
    <w:rsid w:val="00CD624A"/>
    <w:rsid w:val="00CD679B"/>
    <w:rsid w:val="00CD6BFC"/>
    <w:rsid w:val="00CD71BC"/>
    <w:rsid w:val="00CE08B3"/>
    <w:rsid w:val="00CE0F4D"/>
    <w:rsid w:val="00CE3CC5"/>
    <w:rsid w:val="00CE43C1"/>
    <w:rsid w:val="00CE4C0B"/>
    <w:rsid w:val="00CE4D9C"/>
    <w:rsid w:val="00CE708D"/>
    <w:rsid w:val="00CE78D9"/>
    <w:rsid w:val="00CF088A"/>
    <w:rsid w:val="00CF1270"/>
    <w:rsid w:val="00CF2D6D"/>
    <w:rsid w:val="00CF50FB"/>
    <w:rsid w:val="00CF6839"/>
    <w:rsid w:val="00CF69F9"/>
    <w:rsid w:val="00CF6ECE"/>
    <w:rsid w:val="00D01712"/>
    <w:rsid w:val="00D01B8A"/>
    <w:rsid w:val="00D01C9C"/>
    <w:rsid w:val="00D02D66"/>
    <w:rsid w:val="00D04607"/>
    <w:rsid w:val="00D0594B"/>
    <w:rsid w:val="00D071D2"/>
    <w:rsid w:val="00D074E4"/>
    <w:rsid w:val="00D1078F"/>
    <w:rsid w:val="00D10867"/>
    <w:rsid w:val="00D115A0"/>
    <w:rsid w:val="00D12504"/>
    <w:rsid w:val="00D17CF8"/>
    <w:rsid w:val="00D2024B"/>
    <w:rsid w:val="00D21498"/>
    <w:rsid w:val="00D2361C"/>
    <w:rsid w:val="00D305BB"/>
    <w:rsid w:val="00D31976"/>
    <w:rsid w:val="00D4091E"/>
    <w:rsid w:val="00D40C7A"/>
    <w:rsid w:val="00D44351"/>
    <w:rsid w:val="00D47411"/>
    <w:rsid w:val="00D47A07"/>
    <w:rsid w:val="00D500E2"/>
    <w:rsid w:val="00D52F44"/>
    <w:rsid w:val="00D54681"/>
    <w:rsid w:val="00D54C2F"/>
    <w:rsid w:val="00D60235"/>
    <w:rsid w:val="00D60D8C"/>
    <w:rsid w:val="00D632F0"/>
    <w:rsid w:val="00D63592"/>
    <w:rsid w:val="00D65915"/>
    <w:rsid w:val="00D6628E"/>
    <w:rsid w:val="00D664FD"/>
    <w:rsid w:val="00D66539"/>
    <w:rsid w:val="00D671FE"/>
    <w:rsid w:val="00D7076C"/>
    <w:rsid w:val="00D732CD"/>
    <w:rsid w:val="00D73B5A"/>
    <w:rsid w:val="00D73F21"/>
    <w:rsid w:val="00D7623A"/>
    <w:rsid w:val="00D77B01"/>
    <w:rsid w:val="00D808C6"/>
    <w:rsid w:val="00D81837"/>
    <w:rsid w:val="00D830EB"/>
    <w:rsid w:val="00D86B99"/>
    <w:rsid w:val="00D92BD1"/>
    <w:rsid w:val="00D93439"/>
    <w:rsid w:val="00D9372C"/>
    <w:rsid w:val="00D955AA"/>
    <w:rsid w:val="00DA0AA7"/>
    <w:rsid w:val="00DA20F4"/>
    <w:rsid w:val="00DA3736"/>
    <w:rsid w:val="00DA581F"/>
    <w:rsid w:val="00DA5C0D"/>
    <w:rsid w:val="00DA729E"/>
    <w:rsid w:val="00DB09CD"/>
    <w:rsid w:val="00DB4536"/>
    <w:rsid w:val="00DB460F"/>
    <w:rsid w:val="00DB5EC2"/>
    <w:rsid w:val="00DB7716"/>
    <w:rsid w:val="00DB7B99"/>
    <w:rsid w:val="00DB7FF2"/>
    <w:rsid w:val="00DC0818"/>
    <w:rsid w:val="00DC3999"/>
    <w:rsid w:val="00DC4CEB"/>
    <w:rsid w:val="00DC5A6C"/>
    <w:rsid w:val="00DC7528"/>
    <w:rsid w:val="00DC7C03"/>
    <w:rsid w:val="00DD5585"/>
    <w:rsid w:val="00DD5933"/>
    <w:rsid w:val="00DE40AD"/>
    <w:rsid w:val="00DE4B58"/>
    <w:rsid w:val="00DE4D59"/>
    <w:rsid w:val="00DE7458"/>
    <w:rsid w:val="00DE756E"/>
    <w:rsid w:val="00DF1972"/>
    <w:rsid w:val="00DF43D0"/>
    <w:rsid w:val="00E01E08"/>
    <w:rsid w:val="00E02041"/>
    <w:rsid w:val="00E04844"/>
    <w:rsid w:val="00E04E29"/>
    <w:rsid w:val="00E06F11"/>
    <w:rsid w:val="00E107D7"/>
    <w:rsid w:val="00E11B36"/>
    <w:rsid w:val="00E152A2"/>
    <w:rsid w:val="00E21669"/>
    <w:rsid w:val="00E23510"/>
    <w:rsid w:val="00E24164"/>
    <w:rsid w:val="00E243E1"/>
    <w:rsid w:val="00E245D1"/>
    <w:rsid w:val="00E24E11"/>
    <w:rsid w:val="00E30E2E"/>
    <w:rsid w:val="00E32000"/>
    <w:rsid w:val="00E32ED8"/>
    <w:rsid w:val="00E33265"/>
    <w:rsid w:val="00E3359E"/>
    <w:rsid w:val="00E33F5B"/>
    <w:rsid w:val="00E34313"/>
    <w:rsid w:val="00E350E3"/>
    <w:rsid w:val="00E368F4"/>
    <w:rsid w:val="00E4539C"/>
    <w:rsid w:val="00E51139"/>
    <w:rsid w:val="00E55ECF"/>
    <w:rsid w:val="00E63698"/>
    <w:rsid w:val="00E65667"/>
    <w:rsid w:val="00E66B44"/>
    <w:rsid w:val="00E673C5"/>
    <w:rsid w:val="00E67998"/>
    <w:rsid w:val="00E72052"/>
    <w:rsid w:val="00E722C6"/>
    <w:rsid w:val="00E761DD"/>
    <w:rsid w:val="00E7671D"/>
    <w:rsid w:val="00E76C3E"/>
    <w:rsid w:val="00E80B14"/>
    <w:rsid w:val="00E81591"/>
    <w:rsid w:val="00E820F9"/>
    <w:rsid w:val="00E82E8E"/>
    <w:rsid w:val="00E85992"/>
    <w:rsid w:val="00E87740"/>
    <w:rsid w:val="00E918A4"/>
    <w:rsid w:val="00E92EDF"/>
    <w:rsid w:val="00E95CBA"/>
    <w:rsid w:val="00E9623C"/>
    <w:rsid w:val="00EA1F24"/>
    <w:rsid w:val="00EA1FA5"/>
    <w:rsid w:val="00EA46AB"/>
    <w:rsid w:val="00EA49E4"/>
    <w:rsid w:val="00EA7421"/>
    <w:rsid w:val="00EB0522"/>
    <w:rsid w:val="00EB15EF"/>
    <w:rsid w:val="00EB2331"/>
    <w:rsid w:val="00EB2455"/>
    <w:rsid w:val="00EB383E"/>
    <w:rsid w:val="00EB3F26"/>
    <w:rsid w:val="00EB5331"/>
    <w:rsid w:val="00EB6709"/>
    <w:rsid w:val="00EC02C6"/>
    <w:rsid w:val="00EC14DC"/>
    <w:rsid w:val="00EC2FE8"/>
    <w:rsid w:val="00EC36AB"/>
    <w:rsid w:val="00EC722B"/>
    <w:rsid w:val="00EE0DD3"/>
    <w:rsid w:val="00EE118A"/>
    <w:rsid w:val="00EE1BA2"/>
    <w:rsid w:val="00EE1E37"/>
    <w:rsid w:val="00EE7131"/>
    <w:rsid w:val="00EE71C1"/>
    <w:rsid w:val="00EF2688"/>
    <w:rsid w:val="00EF356A"/>
    <w:rsid w:val="00EF3CCD"/>
    <w:rsid w:val="00EF45A7"/>
    <w:rsid w:val="00EF65AE"/>
    <w:rsid w:val="00F031E5"/>
    <w:rsid w:val="00F073F0"/>
    <w:rsid w:val="00F118EA"/>
    <w:rsid w:val="00F133ED"/>
    <w:rsid w:val="00F2402B"/>
    <w:rsid w:val="00F245F9"/>
    <w:rsid w:val="00F265BB"/>
    <w:rsid w:val="00F27A95"/>
    <w:rsid w:val="00F33BE2"/>
    <w:rsid w:val="00F3467A"/>
    <w:rsid w:val="00F37F13"/>
    <w:rsid w:val="00F43526"/>
    <w:rsid w:val="00F437A1"/>
    <w:rsid w:val="00F43F59"/>
    <w:rsid w:val="00F529D7"/>
    <w:rsid w:val="00F52DE5"/>
    <w:rsid w:val="00F53253"/>
    <w:rsid w:val="00F54C59"/>
    <w:rsid w:val="00F55E91"/>
    <w:rsid w:val="00F56A74"/>
    <w:rsid w:val="00F5758A"/>
    <w:rsid w:val="00F611BA"/>
    <w:rsid w:val="00F61DF8"/>
    <w:rsid w:val="00F7170A"/>
    <w:rsid w:val="00F753FA"/>
    <w:rsid w:val="00F75679"/>
    <w:rsid w:val="00F8115E"/>
    <w:rsid w:val="00F81384"/>
    <w:rsid w:val="00F86BBA"/>
    <w:rsid w:val="00F871DD"/>
    <w:rsid w:val="00F87FC3"/>
    <w:rsid w:val="00F92C4C"/>
    <w:rsid w:val="00F949CD"/>
    <w:rsid w:val="00F97A48"/>
    <w:rsid w:val="00FA115A"/>
    <w:rsid w:val="00FA216E"/>
    <w:rsid w:val="00FA3003"/>
    <w:rsid w:val="00FA4787"/>
    <w:rsid w:val="00FA4A0E"/>
    <w:rsid w:val="00FA7C98"/>
    <w:rsid w:val="00FB0327"/>
    <w:rsid w:val="00FB0C29"/>
    <w:rsid w:val="00FB143A"/>
    <w:rsid w:val="00FB16C8"/>
    <w:rsid w:val="00FB215B"/>
    <w:rsid w:val="00FB2F88"/>
    <w:rsid w:val="00FB50F2"/>
    <w:rsid w:val="00FC0E84"/>
    <w:rsid w:val="00FC158D"/>
    <w:rsid w:val="00FC29AF"/>
    <w:rsid w:val="00FC3B0D"/>
    <w:rsid w:val="00FC41EF"/>
    <w:rsid w:val="00FC423C"/>
    <w:rsid w:val="00FC6519"/>
    <w:rsid w:val="00FD0895"/>
    <w:rsid w:val="00FD1F84"/>
    <w:rsid w:val="00FD29F1"/>
    <w:rsid w:val="00FD3084"/>
    <w:rsid w:val="00FD3C59"/>
    <w:rsid w:val="00FD4FDE"/>
    <w:rsid w:val="00FE0C66"/>
    <w:rsid w:val="00FE1086"/>
    <w:rsid w:val="00FE3816"/>
    <w:rsid w:val="00FE60D7"/>
    <w:rsid w:val="00FF1EF6"/>
    <w:rsid w:val="00FF26E8"/>
    <w:rsid w:val="00FF28C9"/>
    <w:rsid w:val="00FF3304"/>
    <w:rsid w:val="00FF37AD"/>
    <w:rsid w:val="00FF3DAC"/>
    <w:rsid w:val="00FF4388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9"/>
    <w:rPr>
      <w:rFonts w:ascii="Times New Roman" w:eastAsia="Times New Roman" w:hAnsi="Times New Roman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CF6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00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8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612399"/>
    <w:pPr>
      <w:keepNext/>
      <w:ind w:firstLine="567"/>
      <w:jc w:val="center"/>
      <w:outlineLvl w:val="5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61239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612399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23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6123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2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612399"/>
    <w:rPr>
      <w:rFonts w:cs="Calibr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8366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6AE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nhideWhenUsed/>
    <w:rsid w:val="005C6D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DB7"/>
    <w:rPr>
      <w:rFonts w:ascii="Times New Roman" w:eastAsia="Times New Roman" w:hAnsi="Times New Roman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5C6D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6DB7"/>
    <w:rPr>
      <w:rFonts w:ascii="Times New Roman" w:eastAsia="Times New Roman" w:hAnsi="Times New Roman"/>
      <w:lang w:val="uk-UA"/>
    </w:rPr>
  </w:style>
  <w:style w:type="paragraph" w:styleId="ac">
    <w:name w:val="caption"/>
    <w:basedOn w:val="a"/>
    <w:next w:val="a"/>
    <w:uiPriority w:val="35"/>
    <w:semiHidden/>
    <w:unhideWhenUsed/>
    <w:qFormat/>
    <w:rsid w:val="00537C21"/>
    <w:pPr>
      <w:spacing w:after="200"/>
    </w:pPr>
    <w:rPr>
      <w:b/>
      <w:bCs/>
      <w:color w:val="4F81BD" w:themeColor="accent1"/>
      <w:sz w:val="18"/>
      <w:szCs w:val="18"/>
    </w:rPr>
  </w:style>
  <w:style w:type="paragraph" w:styleId="23">
    <w:name w:val="Body Text 2"/>
    <w:basedOn w:val="a"/>
    <w:link w:val="24"/>
    <w:uiPriority w:val="99"/>
    <w:rsid w:val="00B04C3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04C3B"/>
    <w:rPr>
      <w:rFonts w:ascii="Times New Roman" w:eastAsia="Times New Roman" w:hAnsi="Times New Roman"/>
      <w:lang w:val="uk-UA"/>
    </w:rPr>
  </w:style>
  <w:style w:type="paragraph" w:styleId="ad">
    <w:name w:val="Title"/>
    <w:basedOn w:val="a"/>
    <w:link w:val="ae"/>
    <w:uiPriority w:val="99"/>
    <w:qFormat/>
    <w:rsid w:val="00B04C3B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B04C3B"/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af">
    <w:name w:val="Body Text"/>
    <w:basedOn w:val="a"/>
    <w:link w:val="af0"/>
    <w:uiPriority w:val="99"/>
    <w:semiHidden/>
    <w:rsid w:val="00B04C3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04C3B"/>
    <w:rPr>
      <w:rFonts w:ascii="Times New Roman" w:eastAsia="Times New Roman" w:hAnsi="Times New Roman"/>
      <w:lang w:val="uk-UA"/>
    </w:rPr>
  </w:style>
  <w:style w:type="paragraph" w:customStyle="1" w:styleId="af1">
    <w:name w:val="Заголовок"/>
    <w:basedOn w:val="a"/>
    <w:next w:val="af"/>
    <w:uiPriority w:val="99"/>
    <w:rsid w:val="00B04C3B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B04C3B"/>
    <w:pPr>
      <w:suppressAutoHyphens/>
      <w:spacing w:after="120" w:line="480" w:lineRule="auto"/>
    </w:pPr>
    <w:rPr>
      <w:kern w:val="2"/>
      <w:lang w:eastAsia="ar-SA"/>
    </w:rPr>
  </w:style>
  <w:style w:type="paragraph" w:customStyle="1" w:styleId="230">
    <w:name w:val="Основной текст 23"/>
    <w:basedOn w:val="a"/>
    <w:uiPriority w:val="99"/>
    <w:rsid w:val="00C25250"/>
    <w:pPr>
      <w:suppressAutoHyphens/>
      <w:spacing w:after="120" w:line="480" w:lineRule="auto"/>
    </w:pPr>
    <w:rPr>
      <w:kern w:val="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500E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CF6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220">
    <w:name w:val="Основной текст 22"/>
    <w:basedOn w:val="a"/>
    <w:rsid w:val="001660CB"/>
    <w:pPr>
      <w:suppressAutoHyphens/>
      <w:spacing w:after="120" w:line="480" w:lineRule="auto"/>
    </w:pPr>
    <w:rPr>
      <w:kern w:val="2"/>
      <w:lang w:eastAsia="ar-SA"/>
    </w:rPr>
  </w:style>
  <w:style w:type="paragraph" w:customStyle="1" w:styleId="213">
    <w:name w:val="Основной текст 213"/>
    <w:basedOn w:val="a"/>
    <w:uiPriority w:val="99"/>
    <w:rsid w:val="00217959"/>
    <w:pPr>
      <w:suppressAutoHyphens/>
      <w:spacing w:after="120" w:line="480" w:lineRule="auto"/>
    </w:pPr>
    <w:rPr>
      <w:kern w:val="2"/>
      <w:lang w:eastAsia="ar-SA"/>
    </w:rPr>
  </w:style>
  <w:style w:type="paragraph" w:customStyle="1" w:styleId="214">
    <w:name w:val="Основной текст 214"/>
    <w:basedOn w:val="a"/>
    <w:uiPriority w:val="99"/>
    <w:rsid w:val="009355CD"/>
    <w:pPr>
      <w:suppressAutoHyphens/>
      <w:spacing w:after="120" w:line="480" w:lineRule="auto"/>
    </w:pPr>
    <w:rPr>
      <w:kern w:val="2"/>
      <w:lang w:eastAsia="ar-SA"/>
    </w:rPr>
  </w:style>
  <w:style w:type="paragraph" w:customStyle="1" w:styleId="27">
    <w:name w:val="Основной текст 27"/>
    <w:basedOn w:val="a"/>
    <w:uiPriority w:val="99"/>
    <w:rsid w:val="00A61A62"/>
    <w:pPr>
      <w:suppressAutoHyphens/>
      <w:spacing w:after="120" w:line="480" w:lineRule="auto"/>
    </w:pPr>
    <w:rPr>
      <w:kern w:val="2"/>
      <w:lang w:eastAsia="ar-SA"/>
    </w:rPr>
  </w:style>
  <w:style w:type="paragraph" w:styleId="31">
    <w:name w:val="Body Text Indent 3"/>
    <w:basedOn w:val="a"/>
    <w:link w:val="32"/>
    <w:uiPriority w:val="99"/>
    <w:rsid w:val="00E66B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66B44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hps">
    <w:name w:val="hps"/>
    <w:basedOn w:val="a0"/>
    <w:uiPriority w:val="99"/>
    <w:rsid w:val="000703D9"/>
    <w:rPr>
      <w:rFonts w:cs="Times New Roman"/>
    </w:rPr>
  </w:style>
  <w:style w:type="paragraph" w:styleId="af2">
    <w:name w:val="List Paragraph"/>
    <w:basedOn w:val="a"/>
    <w:uiPriority w:val="34"/>
    <w:qFormat/>
    <w:rsid w:val="00274CE2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25">
    <w:name w:val="Основной текст 25"/>
    <w:basedOn w:val="a"/>
    <w:uiPriority w:val="99"/>
    <w:rsid w:val="00D01712"/>
    <w:pPr>
      <w:suppressAutoHyphens/>
      <w:spacing w:after="120" w:line="480" w:lineRule="auto"/>
    </w:pPr>
    <w:rPr>
      <w:kern w:val="2"/>
      <w:lang w:eastAsia="ar-SA"/>
    </w:rPr>
  </w:style>
  <w:style w:type="paragraph" w:customStyle="1" w:styleId="28">
    <w:name w:val="Основной текст 28"/>
    <w:basedOn w:val="a"/>
    <w:uiPriority w:val="99"/>
    <w:rsid w:val="005A6BAD"/>
    <w:pPr>
      <w:suppressAutoHyphens/>
      <w:spacing w:after="120" w:line="480" w:lineRule="auto"/>
    </w:pPr>
    <w:rPr>
      <w:kern w:val="2"/>
      <w:lang w:eastAsia="ar-SA"/>
    </w:rPr>
  </w:style>
  <w:style w:type="paragraph" w:customStyle="1" w:styleId="215">
    <w:name w:val="Основной текст 215"/>
    <w:basedOn w:val="a"/>
    <w:rsid w:val="005A6BAD"/>
    <w:pPr>
      <w:suppressAutoHyphens/>
      <w:spacing w:after="120" w:line="480" w:lineRule="auto"/>
    </w:pPr>
    <w:rPr>
      <w:kern w:val="2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848F1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f3">
    <w:name w:val="Normal (Web)"/>
    <w:basedOn w:val="a"/>
    <w:rsid w:val="00AA7514"/>
    <w:pPr>
      <w:autoSpaceDE w:val="0"/>
      <w:autoSpaceDN w:val="0"/>
      <w:spacing w:before="100" w:after="100"/>
    </w:pPr>
    <w:rPr>
      <w:sz w:val="24"/>
      <w:szCs w:val="24"/>
      <w:lang w:val="ru-RU"/>
    </w:rPr>
  </w:style>
  <w:style w:type="paragraph" w:customStyle="1" w:styleId="1">
    <w:name w:val="Обычный1"/>
    <w:rsid w:val="00D2024B"/>
    <w:pPr>
      <w:snapToGrid w:val="0"/>
    </w:pPr>
    <w:rPr>
      <w:rFonts w:ascii="Times New Roman" w:eastAsia="Times New Roman" w:hAnsi="Times New Roman"/>
      <w:kern w:val="28"/>
      <w:sz w:val="24"/>
    </w:rPr>
  </w:style>
  <w:style w:type="paragraph" w:customStyle="1" w:styleId="211">
    <w:name w:val="Основной текст с отступом 21"/>
    <w:basedOn w:val="a"/>
    <w:uiPriority w:val="99"/>
    <w:rsid w:val="00F43F59"/>
    <w:pPr>
      <w:widowControl w:val="0"/>
      <w:shd w:val="clear" w:color="auto" w:fill="FFFFFF"/>
      <w:suppressAutoHyphens/>
      <w:autoSpaceDE w:val="0"/>
      <w:spacing w:before="58"/>
      <w:ind w:left="62"/>
    </w:pPr>
    <w:rPr>
      <w:rFonts w:eastAsia="Calibri"/>
      <w:color w:val="000000"/>
      <w:sz w:val="28"/>
      <w:szCs w:val="28"/>
      <w:lang w:eastAsia="zh-CN"/>
    </w:rPr>
  </w:style>
  <w:style w:type="paragraph" w:customStyle="1" w:styleId="10">
    <w:name w:val="Абзац списка1"/>
    <w:basedOn w:val="a"/>
    <w:rsid w:val="000260BF"/>
    <w:pPr>
      <w:ind w:left="720"/>
      <w:contextualSpacing/>
    </w:pPr>
    <w:rPr>
      <w:sz w:val="24"/>
      <w:szCs w:val="24"/>
      <w:lang w:val="ru-RU"/>
    </w:rPr>
  </w:style>
  <w:style w:type="paragraph" w:customStyle="1" w:styleId="justifyfull">
    <w:name w:val="justifyfull"/>
    <w:basedOn w:val="a"/>
    <w:uiPriority w:val="99"/>
    <w:rsid w:val="00553AB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5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996">
          <w:marLeft w:val="54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17.1.2\fin\&#1044;&#1054;&#1061;&#1054;&#1044;&#1048;\&#1090;&#1072;&#1073;&#1083;&#1080;&#1094;&#1103;%201%20&#1089;&#1090;&#1088;&#1091;&#1082;&#1090;&#1091;&#1088;&#1072;%20&#1076;&#1086;&#1093;&#1086;&#1076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&#1057;&#1077;&#1090;&#1077;&#1074;&#1072;&#1103;\&#1048;.&#1053;\&#1048;&#1088;&#1080;&#1085;&#1072;\&#1056;&#1030;&#1064;,%20&#1044;&#1054;&#1042;&#1030;&#1044;&#1050;&#1048;%20&#1087;&#1088;&#1086;%20&#1074;&#1080;&#1082;&#1086;&#1085;%20&#1073;&#1102;&#1076;&#1078;&#1077;&#1090;&#1091;,%20&#1084;&#1072;&#1090;&#1077;&#1088;&#1110;&#1072;&#1083;&#1080;%20&#1085;&#1072;%20&#1085;&#1072;&#1088;&#1072;&#1076;&#1080;%20&#1090;&#1072;%20&#1082;&#1086;&#1083;&#1077;&#1075;&#1110;&#1111;\2018\&#1056;&#1110;&#1095;&#1085;&#1080;&#1081;%20&#1079;&#1074;&#1110;&#1090;%20&#1079;&#1072;%202018%20&#1088;&#1110;&#1082;\&#1090;&#1072;&#1073;&#1083;&#1080;&#1094;&#1103;%202%20&#1089;&#1090;&#1088;&#1091;&#1082;&#1090;&#1091;&#1088;&#1072;%20&#1076;&#1086;&#1093;%20&#1047;&#106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E:\&#1057;&#1077;&#1090;&#1077;&#1074;&#1072;&#1103;\&#1048;.&#1053;\&#1048;&#1088;&#1080;&#1085;&#1072;\&#1056;&#1030;&#1064;,%20&#1044;&#1054;&#1042;&#1030;&#1044;&#1050;&#1048;%20&#1087;&#1088;&#1086;%20&#1074;&#1080;&#1082;&#1086;&#1085;%20&#1073;&#1102;&#1076;&#1078;&#1077;&#1090;&#1091;,%20&#1084;&#1072;&#1090;&#1077;&#1088;&#1110;&#1072;&#1083;&#1080;%20&#1085;&#1072;%20&#1085;&#1072;&#1088;&#1072;&#1076;&#1080;%20&#1090;&#1072;%20&#1082;&#1086;&#1083;&#1077;&#1075;&#1110;&#1111;\2018\&#1056;&#1110;&#1095;&#1085;&#1080;&#1081;%20&#1079;&#1074;&#1110;&#1090;%20&#1079;&#1072;%202018%20&#1088;&#1110;&#1082;\&#1090;&#1072;&#1073;&#1083;&#1080;&#1094;&#1103;%20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7;&#1090;&#1077;&#1074;&#1072;&#1103;\&#1048;.&#1053;\&#1048;&#1088;&#1080;&#1085;&#1072;\&#1056;&#1030;&#1064;,%20&#1044;&#1054;&#1042;&#1030;&#1044;&#1050;&#1048;%20&#1087;&#1088;&#1086;%20&#1074;&#1080;&#1082;&#1086;&#1085;%20&#1073;&#1102;&#1076;&#1078;&#1077;&#1090;&#1091;,%20&#1084;&#1072;&#1090;&#1077;&#1088;&#1110;&#1072;&#1083;&#1080;%20&#1085;&#1072;%20&#1085;&#1072;&#1088;&#1072;&#1076;&#1080;%20&#1090;&#1072;%20&#1082;&#1086;&#1083;&#1077;&#1075;&#1110;&#1111;\2018\&#1056;&#1110;&#1095;&#1085;&#1080;&#1081;%20&#1079;&#1074;&#1110;&#1090;%20&#1079;&#1072;%202018%20&#1088;&#1110;&#1082;\&#1090;&#1072;&#1073;&#1083;&#1080;&#1094;&#1072;%205%20&#1089;&#1090;&#1088;&#1091;&#1082;&#1090;&#1091;&#1088;&#1072;%20&#1089;&#1087;&#1077;&#1094;%20&#1092;&#1086;&#1085;&#1076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ser\Desktop\2019\&#1040;&#1053;&#1040;&#1051;&#1030;&#1047;\&#1044;&#1110;&#1072;&#1075;&#1088;&#1072;&#1084;&#1080;%20%20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plotArea>
      <c:layout>
        <c:manualLayout>
          <c:layoutTarget val="inner"/>
          <c:xMode val="edge"/>
          <c:yMode val="edge"/>
          <c:x val="0.2271526912010039"/>
          <c:y val="0.12610995904545838"/>
          <c:w val="0.55708635282609587"/>
          <c:h val="0.79117516371059671"/>
        </c:manualLayout>
      </c:layout>
      <c:doughnutChart>
        <c:varyColors val="1"/>
        <c:ser>
          <c:idx val="0"/>
          <c:order val="0"/>
          <c:tx>
            <c:strRef>
              <c:f>'[1]Структура доходів 11 міс 2018 '!$B$5</c:f>
              <c:strCache>
                <c:ptCount val="1"/>
                <c:pt idx="0">
                  <c:v>Структура доходної частини  бюджету за11 місяців 2018 року, млн.грн.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1.5572724550370801E-2"/>
                  <c:y val="5.0035108853915933E-2"/>
                </c:manualLayout>
              </c:layout>
              <c:tx>
                <c:rich>
                  <a:bodyPr/>
                  <a:lstStyle/>
                  <a:p>
                    <a:r>
                      <a:rPr lang="uk-UA" sz="1400" b="1">
                        <a:latin typeface="Times New Roman" pitchFamily="18" charset="0"/>
                        <a:cs typeface="Times New Roman" pitchFamily="18" charset="0"/>
                      </a:rPr>
                      <a:t>57,5</a:t>
                    </a:r>
                    <a:r>
                      <a:rPr lang="en-US" sz="1400"/>
                      <a:t>%</a:t>
                    </a:r>
                  </a:p>
                </c:rich>
              </c:tx>
              <c:showPercent val="1"/>
              <c:separator>
</c:separator>
            </c:dLbl>
            <c:dLbl>
              <c:idx val="1"/>
              <c:layout>
                <c:manualLayout>
                  <c:x val="4.9965688855039048E-2"/>
                  <c:y val="-2.2487764786977737E-2"/>
                </c:manualLayout>
              </c:layout>
              <c:tx>
                <c:rich>
                  <a:bodyPr/>
                  <a:lstStyle/>
                  <a:p>
                    <a:r>
                      <a:rPr lang="uk-UA" sz="140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uk-UA" sz="1400"/>
                      <a:t>,3</a:t>
                    </a:r>
                    <a:r>
                      <a:rPr lang="en-US" sz="1400"/>
                      <a:t>%</a:t>
                    </a:r>
                  </a:p>
                </c:rich>
              </c:tx>
              <c:showPercent val="1"/>
              <c:separator>
</c:separator>
            </c:dLbl>
            <c:dLbl>
              <c:idx val="2"/>
              <c:layout>
                <c:manualLayout>
                  <c:x val="2.7257934308301052E-2"/>
                  <c:y val="-4.2024389098479976E-2"/>
                </c:manualLayout>
              </c:layout>
              <c:tx>
                <c:rich>
                  <a:bodyPr/>
                  <a:lstStyle/>
                  <a:p>
                    <a:r>
                      <a:rPr lang="uk-UA" sz="1400" b="1"/>
                      <a:t>3</a:t>
                    </a:r>
                    <a:r>
                      <a:rPr lang="uk-UA" sz="1400"/>
                      <a:t>9,2</a:t>
                    </a:r>
                    <a:r>
                      <a:rPr lang="en-US" sz="1400"/>
                      <a:t>%</a:t>
                    </a:r>
                  </a:p>
                </c:rich>
              </c:tx>
              <c:showPercent val="1"/>
              <c:separator>
</c:separator>
            </c:dLbl>
            <c:showPercent val="1"/>
            <c:separator>
</c:separator>
            <c:showLeaderLines val="1"/>
          </c:dLbls>
          <c:cat>
            <c:strRef>
              <c:f>'[1]Структура доходів 11 міс 2018 '!$A$6:$A$8</c:f>
              <c:strCache>
                <c:ptCount val="3"/>
                <c:pt idx="0">
                  <c:v>Доходи загального фонду</c:v>
                </c:pt>
                <c:pt idx="1">
                  <c:v>Доходи спеціального фонду</c:v>
                </c:pt>
                <c:pt idx="2">
                  <c:v>Офіційні трансферти</c:v>
                </c:pt>
              </c:strCache>
            </c:strRef>
          </c:cat>
          <c:val>
            <c:numRef>
              <c:f>'[1]Структура доходів 11 міс 2018 '!$B$6:$B$8</c:f>
              <c:numCache>
                <c:formatCode>General</c:formatCode>
                <c:ptCount val="3"/>
                <c:pt idx="0">
                  <c:v>4540.2941470000005</c:v>
                </c:pt>
                <c:pt idx="1">
                  <c:v>259.25753799999899</c:v>
                </c:pt>
                <c:pt idx="2">
                  <c:v>3073.8656559999999</c:v>
                </c:pt>
              </c:numCache>
            </c:numRef>
          </c:val>
        </c:ser>
        <c:firstSliceAng val="221"/>
        <c:holeSize val="25"/>
      </c:doughnutChart>
    </c:plotArea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21484576480817041"/>
          <c:y val="0.28394188068263632"/>
          <c:w val="0.51509484331565869"/>
          <c:h val="0.69874680221934615"/>
        </c:manualLayout>
      </c:layout>
      <c:pieChart>
        <c:varyColors val="1"/>
        <c:ser>
          <c:idx val="0"/>
          <c:order val="0"/>
          <c:tx>
            <c:strRef>
              <c:f>'1'!$C$4</c:f>
              <c:strCache>
                <c:ptCount val="1"/>
                <c:pt idx="0">
                  <c:v>Факт за  2018 рік</c:v>
                </c:pt>
              </c:strCache>
            </c:strRef>
          </c:tx>
          <c:dPt>
            <c:idx val="0"/>
            <c:explosion val="7"/>
          </c:dPt>
          <c:dPt>
            <c:idx val="1"/>
            <c:explosion val="18"/>
          </c:dPt>
          <c:dPt>
            <c:idx val="2"/>
            <c:explosion val="38"/>
          </c:dPt>
          <c:dPt>
            <c:idx val="3"/>
            <c:explosion val="9"/>
          </c:dPt>
          <c:dPt>
            <c:idx val="4"/>
            <c:explosion val="9"/>
          </c:dPt>
          <c:dPt>
            <c:idx val="5"/>
            <c:explosion val="13"/>
          </c:dPt>
          <c:dPt>
            <c:idx val="6"/>
            <c:explosion val="36"/>
          </c:dPt>
          <c:dPt>
            <c:idx val="7"/>
            <c:explosion val="62"/>
          </c:dPt>
          <c:dPt>
            <c:idx val="8"/>
            <c:explosion val="47"/>
          </c:dPt>
          <c:dLbls>
            <c:dLbl>
              <c:idx val="0"/>
              <c:layout>
                <c:manualLayout>
                  <c:x val="-8.5804065868681625E-2"/>
                  <c:y val="-6.4075237088350084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одаток на доходи фізичних осіб
3132,1 млн.грн.
63,0%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1813384354801347"/>
                  <c:y val="0.12260193016044811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одаток на прибуток 
24,4</a:t>
                    </a:r>
                    <a:r>
                      <a:rPr lang="ru-RU" b="0"/>
                      <a:t>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0,5%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1.7791303407001715E-4"/>
                  <c:y val="8.2766793470923444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Ч</a:t>
                    </a:r>
                    <a:r>
                      <a:rPr lang="ru-RU"/>
                      <a:t>астина чистого прибутку
4,1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0,1%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0.12703461056481472"/>
                  <c:y val="7.58120424820319E-3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А</a:t>
                    </a:r>
                    <a:r>
                      <a:rPr lang="ru-RU"/>
                      <a:t>кцизний податок 
278,8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5,6%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-1.9671722499076345E-2"/>
                  <c:y val="-0.11806034190990179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М</a:t>
                    </a:r>
                    <a:r>
                      <a:rPr lang="ru-RU"/>
                      <a:t>ісцеві податки і збори
</a:t>
                    </a:r>
                    <a:r>
                      <a:rPr lang="ru-RU" b="0"/>
                      <a:t>1 435,5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28,9%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9.0911093962910888E-2"/>
                  <c:y val="-0.44452718422975374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лата за надання інших адмінпослуг
42,0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0,8%</a:t>
                    </a:r>
                  </a:p>
                </c:rich>
              </c:tx>
              <c:dLblPos val="bestFit"/>
            </c:dLbl>
            <c:dLbl>
              <c:idx val="6"/>
              <c:layout>
                <c:manualLayout>
                  <c:x val="7.2408960568585062E-2"/>
                  <c:y val="-0.26789249416665845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лата за оренду КМ
29,1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0,6%</a:t>
                    </a:r>
                  </a:p>
                </c:rich>
              </c:tx>
              <c:dLblPos val="bestFit"/>
            </c:dLbl>
            <c:dLbl>
              <c:idx val="7"/>
              <c:layout>
                <c:manualLayout>
                  <c:x val="1.252955008884964E-2"/>
                  <c:y val="-1.8771670658479293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лата за розміщення тимчасово вільних коштів
7,4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0,1%</a:t>
                    </a:r>
                  </a:p>
                </c:rich>
              </c:tx>
              <c:dLblPos val="bestFit"/>
            </c:dLbl>
            <c:dLbl>
              <c:idx val="8"/>
              <c:layout>
                <c:manualLayout>
                  <c:x val="-0.11774143185133312"/>
                  <c:y val="9.216582100867643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І</a:t>
                    </a:r>
                    <a:r>
                      <a:rPr lang="ru-RU"/>
                      <a:t>нші
20,0</a:t>
                    </a:r>
                    <a:r>
                      <a:rPr lang="ru-RU" baseline="0"/>
                      <a:t>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0,4%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'1'!$B$5:$B$13</c:f>
              <c:strCache>
                <c:ptCount val="9"/>
                <c:pt idx="0">
                  <c:v>Податок на доходи фізичних осіб</c:v>
                </c:pt>
                <c:pt idx="1">
                  <c:v>Податок на прибуток </c:v>
                </c:pt>
                <c:pt idx="2">
                  <c:v>Частина чистого прибутку</c:v>
                </c:pt>
                <c:pt idx="3">
                  <c:v>Акцизний податок </c:v>
                </c:pt>
                <c:pt idx="4">
                  <c:v>Місцеві податки і збори</c:v>
                </c:pt>
                <c:pt idx="5">
                  <c:v>Плата за надання інших адмінпослуг</c:v>
                </c:pt>
                <c:pt idx="6">
                  <c:v>Плата за оренду МК</c:v>
                </c:pt>
                <c:pt idx="7">
                  <c:v>Плата за розміщення тимчасово вільних коштів</c:v>
                </c:pt>
                <c:pt idx="8">
                  <c:v>Інші</c:v>
                </c:pt>
              </c:strCache>
            </c:strRef>
          </c:cat>
          <c:val>
            <c:numRef>
              <c:f>'1'!$C$5:$C$13</c:f>
              <c:numCache>
                <c:formatCode>#,##0.0</c:formatCode>
                <c:ptCount val="9"/>
                <c:pt idx="0">
                  <c:v>3132.0758000000001</c:v>
                </c:pt>
                <c:pt idx="1">
                  <c:v>24.383288</c:v>
                </c:pt>
                <c:pt idx="2">
                  <c:v>4.1453620000000004</c:v>
                </c:pt>
                <c:pt idx="3">
                  <c:v>278.80061799999999</c:v>
                </c:pt>
                <c:pt idx="4">
                  <c:v>1435.4854570000011</c:v>
                </c:pt>
                <c:pt idx="5">
                  <c:v>42.001829999999998</c:v>
                </c:pt>
                <c:pt idx="6">
                  <c:v>29.115231999999999</c:v>
                </c:pt>
                <c:pt idx="7">
                  <c:v>7.3526899999999955</c:v>
                </c:pt>
                <c:pt idx="8">
                  <c:v>20.032537999999889</c:v>
                </c:pt>
              </c:numCache>
            </c:numRef>
          </c:val>
        </c:ser>
        <c:firstSliceAng val="110"/>
      </c:pieChart>
    </c:plotArea>
    <c:plotVisOnly val="1"/>
    <c:dispBlanksAs val="zero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Динаміка зростання надходжень податку на доходи фізичних осіб, млн.грн.</a:t>
            </a:r>
          </a:p>
        </c:rich>
      </c:tx>
      <c:layout>
        <c:manualLayout>
          <c:xMode val="edge"/>
          <c:yMode val="edge"/>
          <c:x val="0.15770291375062903"/>
          <c:y val="0"/>
        </c:manualLayout>
      </c:layout>
    </c:title>
    <c:view3D>
      <c:rotX val="10"/>
      <c:rotY val="40"/>
      <c:rAngAx val="1"/>
    </c:view3D>
    <c:plotArea>
      <c:layout>
        <c:manualLayout>
          <c:layoutTarget val="inner"/>
          <c:xMode val="edge"/>
          <c:yMode val="edge"/>
          <c:x val="3.5251425609123976E-2"/>
          <c:y val="0.23414629908850046"/>
          <c:w val="0.95438050803525043"/>
          <c:h val="0.68778689897805323"/>
        </c:manualLayout>
      </c:layout>
      <c:bar3DChart>
        <c:barDir val="col"/>
        <c:grouping val="standard"/>
        <c:ser>
          <c:idx val="0"/>
          <c:order val="0"/>
          <c:tx>
            <c:strRef>
              <c:f>'1'!$B$3</c:f>
              <c:strCache>
                <c:ptCount val="1"/>
                <c:pt idx="0">
                  <c:v>Динаміка зростання надходжень податку на доходи фізичних осіб, млн.грн.</c:v>
                </c:pt>
              </c:strCache>
            </c:strRef>
          </c:tx>
          <c:dLbls>
            <c:delete val="1"/>
          </c:dLbls>
          <c:cat>
            <c:numRef>
              <c:f>'1'!$A$4:$A$7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'1'!$B$4:$B$7</c:f>
              <c:numCache>
                <c:formatCode>#,##0.0</c:formatCode>
                <c:ptCount val="4"/>
                <c:pt idx="0">
                  <c:v>1292.2</c:v>
                </c:pt>
                <c:pt idx="1">
                  <c:v>1937.9</c:v>
                </c:pt>
                <c:pt idx="2">
                  <c:v>2487.4</c:v>
                </c:pt>
                <c:pt idx="3">
                  <c:v>3132.1</c:v>
                </c:pt>
              </c:numCache>
            </c:numRef>
          </c:val>
        </c:ser>
        <c:dLbls>
          <c:showVal val="1"/>
        </c:dLbls>
        <c:shape val="cylinder"/>
        <c:axId val="86726144"/>
        <c:axId val="86727680"/>
        <c:axId val="86218944"/>
      </c:bar3DChart>
      <c:catAx>
        <c:axId val="867261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6727680"/>
        <c:crosses val="autoZero"/>
        <c:auto val="1"/>
        <c:lblAlgn val="ctr"/>
        <c:lblOffset val="100"/>
      </c:catAx>
      <c:valAx>
        <c:axId val="86727680"/>
        <c:scaling>
          <c:orientation val="minMax"/>
          <c:max val="2200"/>
        </c:scaling>
        <c:delete val="1"/>
        <c:axPos val="l"/>
        <c:numFmt formatCode="#,##0" sourceLinked="0"/>
        <c:tickLblPos val="none"/>
        <c:crossAx val="86726144"/>
        <c:crosses val="autoZero"/>
        <c:crossBetween val="between"/>
        <c:majorUnit val="200"/>
        <c:minorUnit val="100"/>
      </c:valAx>
      <c:serAx>
        <c:axId val="86218944"/>
        <c:scaling>
          <c:orientation val="minMax"/>
        </c:scaling>
        <c:delete val="1"/>
        <c:axPos val="b"/>
        <c:majorTickMark val="none"/>
        <c:tickLblPos val="none"/>
        <c:crossAx val="86727680"/>
        <c:crosses val="autoZero"/>
      </c:serAx>
    </c:plotArea>
    <c:plotVisOnly val="1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доходів спеціального фонду бюджету за 2018 рік</a:t>
            </a:r>
          </a:p>
        </c:rich>
      </c:tx>
      <c:layout/>
    </c:title>
    <c:view3D>
      <c:rotX val="75"/>
      <c:rotY val="92"/>
      <c:perspective val="30"/>
    </c:view3D>
    <c:plotArea>
      <c:layout>
        <c:manualLayout>
          <c:layoutTarget val="inner"/>
          <c:xMode val="edge"/>
          <c:yMode val="edge"/>
          <c:x val="0.12606915581897521"/>
          <c:y val="0.13406824146981641"/>
          <c:w val="0.60018466587477504"/>
          <c:h val="0.86593175853019"/>
        </c:manualLayout>
      </c:layout>
      <c:pie3DChart>
        <c:varyColors val="1"/>
        <c:ser>
          <c:idx val="0"/>
          <c:order val="0"/>
          <c:tx>
            <c:strRef>
              <c:f>'1'!$C$3</c:f>
              <c:strCache>
                <c:ptCount val="1"/>
                <c:pt idx="0">
                  <c:v>Структура виконання спеціального фонду за 2018 рік</c:v>
                </c:pt>
              </c:strCache>
            </c:strRef>
          </c:tx>
          <c:dPt>
            <c:idx val="0"/>
            <c:explosion val="8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explosion val="11"/>
          </c:dPt>
          <c:dPt>
            <c:idx val="2"/>
            <c:explosion val="25"/>
          </c:dPt>
          <c:dPt>
            <c:idx val="3"/>
            <c:explosion val="32"/>
          </c:dPt>
          <c:dPt>
            <c:idx val="4"/>
            <c:explosion val="21"/>
          </c:dPt>
          <c:dPt>
            <c:idx val="5"/>
            <c:explosion val="24"/>
          </c:dPt>
          <c:dLbls>
            <c:dLbl>
              <c:idx val="0"/>
              <c:layout>
                <c:manualLayout>
                  <c:x val="-4.9704089053704076E-2"/>
                  <c:y val="-0.4477202963838968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Власні надходження бюджетних установ 
238,7 млн.грн.
82,6%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2.3071532267824248E-2"/>
                  <c:y val="4.0248978645526352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Е</a:t>
                    </a:r>
                    <a:r>
                      <a:rPr lang="ru-RU"/>
                      <a:t>кологічний податок
24,8 млн.грн.
8,6%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0.14561118100290468"/>
                  <c:y val="-3.9922372637871011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К</a:t>
                    </a:r>
                    <a:r>
                      <a:rPr lang="ru-RU"/>
                      <a:t>ошти від відчуження майна
9,6 млн.грн.
3,3%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3"/>
              <c:layout>
                <c:manualLayout>
                  <c:x val="0.10597591980476088"/>
                  <c:y val="0.13353289781654093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К</a:t>
                    </a:r>
                    <a:r>
                      <a:rPr lang="ru-RU"/>
                      <a:t>ошти пайової участі</a:t>
                    </a:r>
                  </a:p>
                  <a:p>
                    <a:r>
                      <a:rPr lang="ru-RU"/>
                      <a:t>5,6 млн.грн.
1,9%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4"/>
              <c:layout>
                <c:manualLayout>
                  <c:x val="2.3328760923847728E-2"/>
                  <c:y val="0.2721022876950398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К</a:t>
                    </a:r>
                    <a:r>
                      <a:rPr lang="ru-RU"/>
                      <a:t>ошти від продажу землі
9,0 млн.грн.
3,1%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5"/>
              <c:layout>
                <c:manualLayout>
                  <c:x val="-0.10985329473978014"/>
                  <c:y val="0.33187466162796514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І</a:t>
                    </a:r>
                    <a:r>
                      <a:rPr lang="ru-RU"/>
                      <a:t>нші
1,4 млн.грн.
0,5%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6"/>
              <c:layout>
                <c:manualLayout>
                  <c:x val="0.19460485791876897"/>
                  <c:y val="0.20621059581689943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І</a:t>
                    </a:r>
                    <a:r>
                      <a:rPr lang="ru-RU" sz="1100"/>
                      <a:t>нші
0,8 млн.грн.
0,5%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
</c:separator>
            <c:showLeaderLines val="1"/>
          </c:dLbls>
          <c:cat>
            <c:strRef>
              <c:f>'1'!$B$4:$B$9</c:f>
              <c:strCache>
                <c:ptCount val="6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Кошти від продажу землі</c:v>
                </c:pt>
                <c:pt idx="5">
                  <c:v>Інші</c:v>
                </c:pt>
              </c:strCache>
            </c:strRef>
          </c:cat>
          <c:val>
            <c:numRef>
              <c:f>'1'!$C$4:$C$9</c:f>
              <c:numCache>
                <c:formatCode>#,##0.0</c:formatCode>
                <c:ptCount val="6"/>
                <c:pt idx="0">
                  <c:v>238.676401</c:v>
                </c:pt>
                <c:pt idx="1">
                  <c:v>24.810238999999999</c:v>
                </c:pt>
                <c:pt idx="2">
                  <c:v>9.6019470000000009</c:v>
                </c:pt>
                <c:pt idx="3">
                  <c:v>5.6185129999999655</c:v>
                </c:pt>
                <c:pt idx="4">
                  <c:v>8.9997430000000005</c:v>
                </c:pt>
                <c:pt idx="5">
                  <c:v>1.4024739999999998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6883354314253041"/>
          <c:y val="0.23984796018144908"/>
          <c:w val="0.68603806185668759"/>
          <c:h val="0.65609034164847646"/>
        </c:manualLayout>
      </c:layout>
      <c:pie3DChart>
        <c:varyColors val="1"/>
        <c:ser>
          <c:idx val="0"/>
          <c:order val="0"/>
          <c:spPr>
            <a:ln>
              <a:solidFill>
                <a:schemeClr val="accent2">
                  <a:lumMod val="50000"/>
                </a:scheme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406400" h="368300"/>
              <a:bevelB w="57150" h="184150"/>
            </a:sp3d>
          </c:spPr>
          <c:explosion val="9"/>
          <c:dLbls>
            <c:dLbl>
              <c:idx val="0"/>
              <c:layout>
                <c:manualLayout>
                  <c:x val="3.3330864989838654E-3"/>
                  <c:y val="-9.1333877382974202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/>
                      <a:t>О</a:t>
                    </a:r>
                    <a:r>
                      <a:rPr lang="ru-RU"/>
                      <a:t>світа </a:t>
                    </a:r>
                  </a:p>
                  <a:p>
                    <a:r>
                      <a:rPr lang="ru-RU"/>
                      <a:t>2 405,5 млн.грн. 26%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6.6569578489209065E-3"/>
                  <c:y val="-0.33418293301572838"/>
                </c:manualLayout>
              </c:layout>
              <c:tx>
                <c:rich>
                  <a:bodyPr/>
                  <a:lstStyle/>
                  <a:p>
                    <a:r>
                      <a:rPr lang="ru-RU" sz="1200" b="0"/>
                      <a:t>О</a:t>
                    </a:r>
                    <a:r>
                      <a:rPr lang="ru-RU"/>
                      <a:t>хорона здоров'я </a:t>
                    </a:r>
                  </a:p>
                  <a:p>
                    <a:r>
                      <a:rPr lang="ru-RU"/>
                      <a:t>1 408,6 млн.грн. 15%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0.13776121245032577"/>
                  <c:y val="-0.19117874971510915"/>
                </c:manualLayout>
              </c:layout>
              <c:tx>
                <c:rich>
                  <a:bodyPr/>
                  <a:lstStyle/>
                  <a:p>
                    <a:r>
                      <a:rPr lang="ru-RU" sz="1200" b="0"/>
                      <a:t>К</a:t>
                    </a:r>
                    <a:r>
                      <a:rPr lang="ru-RU"/>
                      <a:t>ультура </a:t>
                    </a:r>
                  </a:p>
                  <a:p>
                    <a:r>
                      <a:rPr lang="ru-RU"/>
                      <a:t>79,1 млн.грн. 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7.067394005216431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 b="0"/>
                      <a:t>Ф</a:t>
                    </a:r>
                    <a:r>
                      <a:rPr lang="ru-RU"/>
                      <a:t>ізична культура і спорт</a:t>
                    </a:r>
                  </a:p>
                  <a:p>
                    <a:r>
                      <a:rPr lang="ru-RU"/>
                      <a:t>99,7 млн.грн. 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0.1945502266762108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 b="0"/>
                      <a:t>С</a:t>
                    </a:r>
                    <a:r>
                      <a:rPr lang="ru-RU"/>
                      <a:t>оц.захист та соц.забезпечення 
компенсація пільгового проїзду </a:t>
                    </a:r>
                  </a:p>
                  <a:p>
                    <a:r>
                      <a:rPr lang="ru-RU"/>
                      <a:t>2 002,7 млн.грн. 22%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2.6078707246233852E-2"/>
                  <c:y val="-8.8342780681826494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/>
                      <a:t>Ж</a:t>
                    </a:r>
                    <a:r>
                      <a:rPr lang="ru-RU"/>
                      <a:t>итлово-комунальне  господарство </a:t>
                    </a:r>
                  </a:p>
                  <a:p>
                    <a:r>
                      <a:rPr lang="ru-RU"/>
                      <a:t>1 728,4 млн.грн. 19%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3.8695891853643694E-2"/>
                  <c:y val="-6.3598814854026034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/>
                      <a:t>К</a:t>
                    </a:r>
                    <a:r>
                      <a:rPr lang="ru-RU"/>
                      <a:t>ошти, що передаються до  держаного бюджету</a:t>
                    </a:r>
                  </a:p>
                  <a:p>
                    <a:r>
                      <a:rPr lang="ru-RU"/>
                      <a:t> 351,3 млн.грн. 4%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7.77493644015501E-2"/>
                  <c:y val="-7.245270811736770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/>
                      <a:t>Т</a:t>
                    </a:r>
                    <a:r>
                      <a:rPr lang="ru-RU"/>
                      <a:t>ранспорт </a:t>
                    </a:r>
                  </a:p>
                  <a:p>
                    <a:r>
                      <a:rPr lang="ru-RU"/>
                      <a:t>588,7 млн.грн. </a:t>
                    </a:r>
                  </a:p>
                  <a:p>
                    <a:r>
                      <a:rPr lang="ru-RU"/>
                      <a:t>6%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0.20428142406964028"/>
                  <c:y val="-6.2595116786872226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/>
                      <a:t>І</a:t>
                    </a:r>
                    <a:r>
                      <a:rPr lang="ru-RU"/>
                      <a:t>нші видатки 510,4 млн.грн. </a:t>
                    </a:r>
                  </a:p>
                  <a:p>
                    <a:r>
                      <a:rPr lang="ru-RU"/>
                      <a:t>6%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0.28555216102228154"/>
                  <c:y val="-5.6550285256259096E-2"/>
                </c:manualLayout>
              </c:layout>
              <c:showVal val="1"/>
              <c:showCatName val="1"/>
              <c:showPercent val="1"/>
              <c:separator>
</c:separator>
            </c:dLbl>
            <c:spPr>
              <a:solidFill>
                <a:schemeClr val="bg1"/>
              </a:solidFill>
              <a:scene3d>
                <a:camera prst="orthographicFront"/>
                <a:lightRig rig="threePt" dir="t"/>
              </a:scene3d>
              <a:sp3d prstMaterial="flat"/>
            </c:spPr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  <c:leaderLines>
              <c:spPr>
                <a:ln w="6350" cap="rnd">
                  <a:bevel/>
                </a:ln>
              </c:spPr>
            </c:leaderLines>
          </c:dLbls>
          <c:cat>
            <c:strRef>
              <c:f>'з+с ф. функц.'!$A$1:$A$9</c:f>
              <c:strCache>
                <c:ptCount val="9"/>
                <c:pt idx="0">
                  <c:v>Освіта</c:v>
                </c:pt>
                <c:pt idx="1">
                  <c:v>Охорона здоров'я</c:v>
                </c:pt>
                <c:pt idx="2">
                  <c:v>Культура</c:v>
                </c:pt>
                <c:pt idx="3">
                  <c:v>Фізична культура і спорт</c:v>
                </c:pt>
                <c:pt idx="4">
                  <c:v>Соціальний захист та соціальне  забезпечення, 
компенсація пільгового проїзду</c:v>
                </c:pt>
                <c:pt idx="5">
                  <c:v>Житлово-комунальне  господарство</c:v>
                </c:pt>
                <c:pt idx="6">
                  <c:v>Кошти, що передаються до  держаного бюджету</c:v>
                </c:pt>
                <c:pt idx="7">
                  <c:v>Транспорт</c:v>
                </c:pt>
                <c:pt idx="8">
                  <c:v>Інші видатки</c:v>
                </c:pt>
              </c:strCache>
            </c:strRef>
          </c:cat>
          <c:val>
            <c:numRef>
              <c:f>'з+с ф. функц.'!$B$1:$B$9</c:f>
              <c:numCache>
                <c:formatCode>#,##0.0</c:formatCode>
                <c:ptCount val="9"/>
                <c:pt idx="0">
                  <c:v>2405.5</c:v>
                </c:pt>
                <c:pt idx="1">
                  <c:v>1408.6</c:v>
                </c:pt>
                <c:pt idx="2">
                  <c:v>79.099999999999994</c:v>
                </c:pt>
                <c:pt idx="3">
                  <c:v>99.7</c:v>
                </c:pt>
                <c:pt idx="4">
                  <c:v>2002.7</c:v>
                </c:pt>
                <c:pt idx="5">
                  <c:v>1728.4</c:v>
                </c:pt>
                <c:pt idx="6">
                  <c:v>351.3</c:v>
                </c:pt>
                <c:pt idx="7">
                  <c:v>588.70000000000005</c:v>
                </c:pt>
                <c:pt idx="8">
                  <c:v>510.4</c:v>
                </c:pt>
              </c:numCache>
            </c:numRef>
          </c:val>
        </c:ser>
        <c:dLbls>
          <c:showVal val="1"/>
          <c:showCatName val="1"/>
        </c:dLbls>
      </c:pie3DChart>
      <c:spPr>
        <a:effectLst>
          <a:outerShdw blurRad="50800" dist="50800" dir="5400000" algn="ctr" rotWithShape="0">
            <a:srgbClr val="DCFCEE"/>
          </a:outerShdw>
        </a:effectLst>
      </c:spPr>
    </c:plotArea>
    <c:plotVisOnly val="1"/>
  </c:chart>
  <c:spPr>
    <a:noFill/>
    <a:ln>
      <a:noFill/>
    </a:ln>
    <a:effectLst>
      <a:outerShdw blurRad="50800" dist="50800" dir="5400000" sx="1000" sy="1000" algn="ctr" rotWithShape="0">
        <a:srgbClr val="000000"/>
      </a:outerShdw>
    </a:effectLst>
    <a:scene3d>
      <a:camera prst="orthographicFront"/>
      <a:lightRig rig="threePt" dir="t"/>
    </a:scene3d>
    <a:sp3d prstMaterial="translucentPowder">
      <a:bevelT w="165100" prst="coolSlant"/>
      <a:bevelB w="63500" h="165100"/>
    </a:sp3d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607B3-A1E9-4099-B6BC-9751992E84BB}" type="doc">
      <dgm:prSet loTypeId="urn:microsoft.com/office/officeart/2005/8/layout/hierarchy4" loCatId="list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97D6C90-1611-4275-A9D7-E6D371A6EB68}">
      <dgm:prSet phldrT="[Текст]" custT="1"/>
      <dgm:spPr/>
      <dgm:t>
        <a:bodyPr anchor="t"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податок на майно 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894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,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2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млн.грн. (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62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,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29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%)</a:t>
          </a:r>
        </a:p>
      </dgm:t>
    </dgm:pt>
    <dgm:pt modelId="{DCED5379-A3B6-4150-ACE8-61D6D04A500B}" type="parTrans" cxnId="{37DAC282-64E1-4B45-B914-96096FD353C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DE4CF86-8210-4E37-9B46-D0FE2F69EC17}" type="sibTrans" cxnId="{37DAC282-64E1-4B45-B914-96096FD353C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D999A01-9C61-4BD6-BB4F-67A1C6EF13DE}">
      <dgm:prSet phldrT="[Текст]" custT="1"/>
      <dgm:spPr/>
      <dgm:t>
        <a:bodyPr anchor="t"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єдиний податок 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540,7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млн.грн. (3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7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,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67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%)</a:t>
          </a:r>
        </a:p>
      </dgm:t>
    </dgm:pt>
    <dgm:pt modelId="{9F490FBC-2FCD-4536-98F2-382E61EE9D1D}" type="parTrans" cxnId="{5C0A9367-7986-42E4-A477-2E232DD5BED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79AFDC2-EA6E-44C9-84E7-143B487B58A7}" type="sibTrans" cxnId="{5C0A9367-7986-42E4-A477-2E232DD5BED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3488DB7-3F8E-4925-9409-9AC43AADFE52}">
      <dgm:prSet phldrT="[Текст]" custT="1"/>
      <dgm:spPr/>
      <dgm:t>
        <a:bodyPr anchor="t"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туристичний збір 0,6мл.грн. (0,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04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%)</a:t>
          </a:r>
        </a:p>
      </dgm:t>
    </dgm:pt>
    <dgm:pt modelId="{2361BCE5-D654-49FB-B2F8-034A5294148A}" type="parTrans" cxnId="{54B088CB-D9A4-416B-BB8D-F4DC0B03B87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F688E4D-D186-4040-A9B6-7206812DD49D}" type="sibTrans" cxnId="{54B088CB-D9A4-416B-BB8D-F4DC0B03B87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7317BC1-533F-4CC7-8629-BD8A9018C6E9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М</a:t>
          </a:r>
          <a:r>
            <a:rPr lang="uk-UA" sz="1800">
              <a:latin typeface="Times New Roman" pitchFamily="18" charset="0"/>
              <a:cs typeface="Times New Roman" pitchFamily="18" charset="0"/>
            </a:rPr>
            <a:t>ісцеві податки і збори </a:t>
          </a:r>
          <a:r>
            <a:rPr lang="en-US" sz="1800">
              <a:latin typeface="Times New Roman" pitchFamily="18" charset="0"/>
              <a:cs typeface="Times New Roman" pitchFamily="18" charset="0"/>
            </a:rPr>
            <a:t>1435,5 </a:t>
          </a:r>
          <a:r>
            <a:rPr lang="uk-UA" sz="1800">
              <a:latin typeface="Times New Roman" pitchFamily="18" charset="0"/>
              <a:cs typeface="Times New Roman" pitchFamily="18" charset="0"/>
            </a:rPr>
            <a:t>млн.грн. </a:t>
          </a:r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D699291A-72D8-46D0-9386-D4284969C1DA}" type="sibTrans" cxnId="{8A27BC15-BF1D-479F-9238-E94BEBD55A7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29F0186-F08A-4E52-9E02-D01A72D9A6B0}" type="parTrans" cxnId="{8A27BC15-BF1D-479F-9238-E94BEBD55A7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4EECF53-8884-4551-8452-89E5FADAF984}">
      <dgm:prSet phldrT="[Текст]" custT="1"/>
      <dgm:spPr/>
      <dgm:t>
        <a:bodyPr anchor="t"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податок на нерухоме майно, відмінне від земельної ділянки       46,2 млн.грн.</a:t>
          </a:r>
        </a:p>
      </dgm:t>
    </dgm:pt>
    <dgm:pt modelId="{67955E23-0CCB-481E-9F1E-8A2D3E02A568}" type="parTrans" cxnId="{96BA8A8F-1243-485D-8D7E-E6CF1E0D5547}">
      <dgm:prSet/>
      <dgm:spPr/>
      <dgm:t>
        <a:bodyPr/>
        <a:lstStyle/>
        <a:p>
          <a:endParaRPr lang="ru-RU"/>
        </a:p>
      </dgm:t>
    </dgm:pt>
    <dgm:pt modelId="{D676FC06-6C3C-430C-B028-42F525D478F5}" type="sibTrans" cxnId="{96BA8A8F-1243-485D-8D7E-E6CF1E0D5547}">
      <dgm:prSet/>
      <dgm:spPr/>
      <dgm:t>
        <a:bodyPr/>
        <a:lstStyle/>
        <a:p>
          <a:endParaRPr lang="ru-RU"/>
        </a:p>
      </dgm:t>
    </dgm:pt>
    <dgm:pt modelId="{B93EA827-D393-4D66-8735-040C78AF885F}">
      <dgm:prSet phldrT="[Текст]" custT="1"/>
      <dgm:spPr/>
      <dgm:t>
        <a:bodyPr anchor="t"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плата за землю 842,7 млн.грн.</a:t>
          </a:r>
        </a:p>
      </dgm:t>
    </dgm:pt>
    <dgm:pt modelId="{01A0B321-707B-4EC0-9421-7D44EB3CE26F}" type="parTrans" cxnId="{B4C565E9-9B30-4F78-BFEC-957A90280856}">
      <dgm:prSet/>
      <dgm:spPr/>
      <dgm:t>
        <a:bodyPr/>
        <a:lstStyle/>
        <a:p>
          <a:endParaRPr lang="ru-RU"/>
        </a:p>
      </dgm:t>
    </dgm:pt>
    <dgm:pt modelId="{2CED3765-9A9C-49E8-80F2-DFE1A5F60C2E}" type="sibTrans" cxnId="{B4C565E9-9B30-4F78-BFEC-957A90280856}">
      <dgm:prSet/>
      <dgm:spPr/>
      <dgm:t>
        <a:bodyPr/>
        <a:lstStyle/>
        <a:p>
          <a:endParaRPr lang="ru-RU"/>
        </a:p>
      </dgm:t>
    </dgm:pt>
    <dgm:pt modelId="{869EC670-04CD-4B08-999A-E9C0A9130DEE}">
      <dgm:prSet phldrT="[Текст]" custT="1"/>
      <dgm:spPr/>
      <dgm:t>
        <a:bodyPr anchor="t"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транспортний податок - </a:t>
          </a:r>
        </a:p>
        <a:p>
          <a:r>
            <a:rPr lang="ru-RU" sz="1050">
              <a:latin typeface="Times New Roman" pitchFamily="18" charset="0"/>
              <a:cs typeface="Times New Roman" pitchFamily="18" charset="0"/>
            </a:rPr>
            <a:t>5,2 млн.грн.</a:t>
          </a:r>
        </a:p>
      </dgm:t>
    </dgm:pt>
    <dgm:pt modelId="{860F3904-7A6B-4D8B-BA32-4726683D28CC}" type="parTrans" cxnId="{6E816CA0-E498-4142-8AF6-4F47B666507E}">
      <dgm:prSet/>
      <dgm:spPr/>
      <dgm:t>
        <a:bodyPr/>
        <a:lstStyle/>
        <a:p>
          <a:endParaRPr lang="ru-RU"/>
        </a:p>
      </dgm:t>
    </dgm:pt>
    <dgm:pt modelId="{7950DC42-3FC5-4500-B77D-57F25D607294}" type="sibTrans" cxnId="{6E816CA0-E498-4142-8AF6-4F47B666507E}">
      <dgm:prSet/>
      <dgm:spPr/>
      <dgm:t>
        <a:bodyPr/>
        <a:lstStyle/>
        <a:p>
          <a:endParaRPr lang="ru-RU"/>
        </a:p>
      </dgm:t>
    </dgm:pt>
    <dgm:pt modelId="{98560226-06EE-4665-8543-1E74648FD607}" type="pres">
      <dgm:prSet presAssocID="{055607B3-A1E9-4099-B6BC-9751992E84BB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13E0344-0B88-4615-9953-97AD192FE081}" type="pres">
      <dgm:prSet presAssocID="{C7317BC1-533F-4CC7-8629-BD8A9018C6E9}" presName="vertOne" presStyleCnt="0"/>
      <dgm:spPr/>
      <dgm:t>
        <a:bodyPr/>
        <a:lstStyle/>
        <a:p>
          <a:endParaRPr lang="ru-RU"/>
        </a:p>
      </dgm:t>
    </dgm:pt>
    <dgm:pt modelId="{6F413C9D-E659-4E78-9A68-FEE612987DCD}" type="pres">
      <dgm:prSet presAssocID="{C7317BC1-533F-4CC7-8629-BD8A9018C6E9}" presName="txOne" presStyleLbl="node0" presStyleIdx="0" presStyleCnt="1" custLinFactNeighborX="2041" custLinFactNeighborY="-310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B739B3-6F2A-4F58-B1FB-67690CF5946D}" type="pres">
      <dgm:prSet presAssocID="{C7317BC1-533F-4CC7-8629-BD8A9018C6E9}" presName="parTransOne" presStyleCnt="0"/>
      <dgm:spPr/>
      <dgm:t>
        <a:bodyPr/>
        <a:lstStyle/>
        <a:p>
          <a:endParaRPr lang="ru-RU"/>
        </a:p>
      </dgm:t>
    </dgm:pt>
    <dgm:pt modelId="{37B6D63F-4B14-43DD-BB7B-78B803CEBDDE}" type="pres">
      <dgm:prSet presAssocID="{C7317BC1-533F-4CC7-8629-BD8A9018C6E9}" presName="horzOne" presStyleCnt="0"/>
      <dgm:spPr/>
      <dgm:t>
        <a:bodyPr/>
        <a:lstStyle/>
        <a:p>
          <a:endParaRPr lang="ru-RU"/>
        </a:p>
      </dgm:t>
    </dgm:pt>
    <dgm:pt modelId="{30F26499-C11B-4326-968C-699F898E1CD4}" type="pres">
      <dgm:prSet presAssocID="{797D6C90-1611-4275-A9D7-E6D371A6EB68}" presName="vertTwo" presStyleCnt="0"/>
      <dgm:spPr/>
      <dgm:t>
        <a:bodyPr/>
        <a:lstStyle/>
        <a:p>
          <a:endParaRPr lang="ru-RU"/>
        </a:p>
      </dgm:t>
    </dgm:pt>
    <dgm:pt modelId="{C37E86E5-F805-4AFD-8553-F5F2080A9BD8}" type="pres">
      <dgm:prSet presAssocID="{797D6C90-1611-4275-A9D7-E6D371A6EB68}" presName="txTwo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D8520C-7FA5-429F-A385-4685F8F9F26F}" type="pres">
      <dgm:prSet presAssocID="{797D6C90-1611-4275-A9D7-E6D371A6EB68}" presName="parTransTwo" presStyleCnt="0"/>
      <dgm:spPr/>
    </dgm:pt>
    <dgm:pt modelId="{ECD16296-E28E-409C-AA15-E1D57C124B40}" type="pres">
      <dgm:prSet presAssocID="{797D6C90-1611-4275-A9D7-E6D371A6EB68}" presName="horzTwo" presStyleCnt="0"/>
      <dgm:spPr/>
      <dgm:t>
        <a:bodyPr/>
        <a:lstStyle/>
        <a:p>
          <a:endParaRPr lang="ru-RU"/>
        </a:p>
      </dgm:t>
    </dgm:pt>
    <dgm:pt modelId="{617FEF3E-CAAB-4C95-9323-9CD0A0D7A2FA}" type="pres">
      <dgm:prSet presAssocID="{B93EA827-D393-4D66-8735-040C78AF885F}" presName="vertThree" presStyleCnt="0"/>
      <dgm:spPr/>
    </dgm:pt>
    <dgm:pt modelId="{3960641D-E1D1-4169-991B-7B040B6C4E24}" type="pres">
      <dgm:prSet presAssocID="{B93EA827-D393-4D66-8735-040C78AF885F}" presName="txThree" presStyleLbl="node3" presStyleIdx="0" presStyleCnt="3" custScaleX="835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505FED-877C-45FF-A335-C4442D313B5D}" type="pres">
      <dgm:prSet presAssocID="{B93EA827-D393-4D66-8735-040C78AF885F}" presName="horzThree" presStyleCnt="0"/>
      <dgm:spPr/>
    </dgm:pt>
    <dgm:pt modelId="{16D32503-0882-49FF-862D-C7D58270E754}" type="pres">
      <dgm:prSet presAssocID="{2CED3765-9A9C-49E8-80F2-DFE1A5F60C2E}" presName="sibSpaceThree" presStyleCnt="0"/>
      <dgm:spPr/>
    </dgm:pt>
    <dgm:pt modelId="{470F2B8A-CA63-4202-B0FF-850D9B289092}" type="pres">
      <dgm:prSet presAssocID="{84EECF53-8884-4551-8452-89E5FADAF984}" presName="vertThree" presStyleCnt="0"/>
      <dgm:spPr/>
    </dgm:pt>
    <dgm:pt modelId="{A3C6C11E-4D12-45B0-A8E5-DD2C56EDD455}" type="pres">
      <dgm:prSet presAssocID="{84EECF53-8884-4551-8452-89E5FADAF984}" presName="txThree" presStyleLbl="node3" presStyleIdx="1" presStyleCnt="3" custLinFactNeighborY="9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9FA7F3-7B30-47A7-A08B-816E7BE7405D}" type="pres">
      <dgm:prSet presAssocID="{84EECF53-8884-4551-8452-89E5FADAF984}" presName="horzThree" presStyleCnt="0"/>
      <dgm:spPr/>
    </dgm:pt>
    <dgm:pt modelId="{005B8B4D-E873-4832-BB5C-62C78B8C6156}" type="pres">
      <dgm:prSet presAssocID="{D676FC06-6C3C-430C-B028-42F525D478F5}" presName="sibSpaceThree" presStyleCnt="0"/>
      <dgm:spPr/>
    </dgm:pt>
    <dgm:pt modelId="{BF88BCA8-3EC3-46AA-AF9E-A54165619AA3}" type="pres">
      <dgm:prSet presAssocID="{869EC670-04CD-4B08-999A-E9C0A9130DEE}" presName="vertThree" presStyleCnt="0"/>
      <dgm:spPr/>
    </dgm:pt>
    <dgm:pt modelId="{E709FABE-64EB-4E65-B8DF-C03E81343848}" type="pres">
      <dgm:prSet presAssocID="{869EC670-04CD-4B08-999A-E9C0A9130DEE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E49A63-70E0-4421-94F9-C17844AC6A5A}" type="pres">
      <dgm:prSet presAssocID="{869EC670-04CD-4B08-999A-E9C0A9130DEE}" presName="horzThree" presStyleCnt="0"/>
      <dgm:spPr/>
    </dgm:pt>
    <dgm:pt modelId="{8AC5BC20-C059-4804-A1EA-B5FC6150C7A3}" type="pres">
      <dgm:prSet presAssocID="{ADE4CF86-8210-4E37-9B46-D0FE2F69EC17}" presName="sibSpaceTwo" presStyleCnt="0"/>
      <dgm:spPr/>
      <dgm:t>
        <a:bodyPr/>
        <a:lstStyle/>
        <a:p>
          <a:endParaRPr lang="ru-RU"/>
        </a:p>
      </dgm:t>
    </dgm:pt>
    <dgm:pt modelId="{AA1FE7D5-8C70-437D-9FAB-F670C7A6982A}" type="pres">
      <dgm:prSet presAssocID="{63488DB7-3F8E-4925-9409-9AC43AADFE52}" presName="vertTwo" presStyleCnt="0"/>
      <dgm:spPr/>
      <dgm:t>
        <a:bodyPr/>
        <a:lstStyle/>
        <a:p>
          <a:endParaRPr lang="ru-RU"/>
        </a:p>
      </dgm:t>
    </dgm:pt>
    <dgm:pt modelId="{9E87AC63-E392-482E-97DD-C11FE33864A2}" type="pres">
      <dgm:prSet presAssocID="{63488DB7-3F8E-4925-9409-9AC43AADFE52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804457-04F2-4A5B-8B67-DA8DD96F3E93}" type="pres">
      <dgm:prSet presAssocID="{63488DB7-3F8E-4925-9409-9AC43AADFE52}" presName="horzTwo" presStyleCnt="0"/>
      <dgm:spPr/>
      <dgm:t>
        <a:bodyPr/>
        <a:lstStyle/>
        <a:p>
          <a:endParaRPr lang="ru-RU"/>
        </a:p>
      </dgm:t>
    </dgm:pt>
    <dgm:pt modelId="{7F59F78F-028E-4194-8932-C9391857370E}" type="pres">
      <dgm:prSet presAssocID="{AF688E4D-D186-4040-A9B6-7206812DD49D}" presName="sibSpaceTwo" presStyleCnt="0"/>
      <dgm:spPr/>
      <dgm:t>
        <a:bodyPr/>
        <a:lstStyle/>
        <a:p>
          <a:endParaRPr lang="ru-RU"/>
        </a:p>
      </dgm:t>
    </dgm:pt>
    <dgm:pt modelId="{C5BE1535-4033-44F1-818B-3CB8E5E381A5}" type="pres">
      <dgm:prSet presAssocID="{6D999A01-9C61-4BD6-BB4F-67A1C6EF13DE}" presName="vertTwo" presStyleCnt="0"/>
      <dgm:spPr/>
      <dgm:t>
        <a:bodyPr/>
        <a:lstStyle/>
        <a:p>
          <a:endParaRPr lang="ru-RU"/>
        </a:p>
      </dgm:t>
    </dgm:pt>
    <dgm:pt modelId="{C36FB1F2-1A89-4E20-9945-D2F42C561C49}" type="pres">
      <dgm:prSet presAssocID="{6D999A01-9C61-4BD6-BB4F-67A1C6EF13DE}" presName="txTwo" presStyleLbl="node2" presStyleIdx="2" presStyleCnt="3" custLinFactNeighborX="15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EABDEC-6DB2-46F9-8AC9-86CA3B3F00C4}" type="pres">
      <dgm:prSet presAssocID="{6D999A01-9C61-4BD6-BB4F-67A1C6EF13DE}" presName="horzTwo" presStyleCnt="0"/>
      <dgm:spPr/>
      <dgm:t>
        <a:bodyPr/>
        <a:lstStyle/>
        <a:p>
          <a:endParaRPr lang="ru-RU"/>
        </a:p>
      </dgm:t>
    </dgm:pt>
  </dgm:ptLst>
  <dgm:cxnLst>
    <dgm:cxn modelId="{CAAB9C03-7CEB-476F-8D7F-E368C3E06CA7}" type="presOf" srcId="{797D6C90-1611-4275-A9D7-E6D371A6EB68}" destId="{C37E86E5-F805-4AFD-8553-F5F2080A9BD8}" srcOrd="0" destOrd="0" presId="urn:microsoft.com/office/officeart/2005/8/layout/hierarchy4"/>
    <dgm:cxn modelId="{B4C565E9-9B30-4F78-BFEC-957A90280856}" srcId="{797D6C90-1611-4275-A9D7-E6D371A6EB68}" destId="{B93EA827-D393-4D66-8735-040C78AF885F}" srcOrd="0" destOrd="0" parTransId="{01A0B321-707B-4EC0-9421-7D44EB3CE26F}" sibTransId="{2CED3765-9A9C-49E8-80F2-DFE1A5F60C2E}"/>
    <dgm:cxn modelId="{2D49A986-D803-43E4-AF8D-7D36C0446EBF}" type="presOf" srcId="{C7317BC1-533F-4CC7-8629-BD8A9018C6E9}" destId="{6F413C9D-E659-4E78-9A68-FEE612987DCD}" srcOrd="0" destOrd="0" presId="urn:microsoft.com/office/officeart/2005/8/layout/hierarchy4"/>
    <dgm:cxn modelId="{245BA762-0630-4E7E-BEE1-A126593777C8}" type="presOf" srcId="{B93EA827-D393-4D66-8735-040C78AF885F}" destId="{3960641D-E1D1-4169-991B-7B040B6C4E24}" srcOrd="0" destOrd="0" presId="urn:microsoft.com/office/officeart/2005/8/layout/hierarchy4"/>
    <dgm:cxn modelId="{54B088CB-D9A4-416B-BB8D-F4DC0B03B874}" srcId="{C7317BC1-533F-4CC7-8629-BD8A9018C6E9}" destId="{63488DB7-3F8E-4925-9409-9AC43AADFE52}" srcOrd="1" destOrd="0" parTransId="{2361BCE5-D654-49FB-B2F8-034A5294148A}" sibTransId="{AF688E4D-D186-4040-A9B6-7206812DD49D}"/>
    <dgm:cxn modelId="{68061CAA-9C6D-4C4D-92A5-DB44A9A6B218}" type="presOf" srcId="{6D999A01-9C61-4BD6-BB4F-67A1C6EF13DE}" destId="{C36FB1F2-1A89-4E20-9945-D2F42C561C49}" srcOrd="0" destOrd="0" presId="urn:microsoft.com/office/officeart/2005/8/layout/hierarchy4"/>
    <dgm:cxn modelId="{138564D1-D978-4558-A232-55E899D36852}" type="presOf" srcId="{84EECF53-8884-4551-8452-89E5FADAF984}" destId="{A3C6C11E-4D12-45B0-A8E5-DD2C56EDD455}" srcOrd="0" destOrd="0" presId="urn:microsoft.com/office/officeart/2005/8/layout/hierarchy4"/>
    <dgm:cxn modelId="{4ECFD1F7-CC46-44A6-A87E-950DC4BF3C9C}" type="presOf" srcId="{869EC670-04CD-4B08-999A-E9C0A9130DEE}" destId="{E709FABE-64EB-4E65-B8DF-C03E81343848}" srcOrd="0" destOrd="0" presId="urn:microsoft.com/office/officeart/2005/8/layout/hierarchy4"/>
    <dgm:cxn modelId="{96BA8A8F-1243-485D-8D7E-E6CF1E0D5547}" srcId="{797D6C90-1611-4275-A9D7-E6D371A6EB68}" destId="{84EECF53-8884-4551-8452-89E5FADAF984}" srcOrd="1" destOrd="0" parTransId="{67955E23-0CCB-481E-9F1E-8A2D3E02A568}" sibTransId="{D676FC06-6C3C-430C-B028-42F525D478F5}"/>
    <dgm:cxn modelId="{8A27BC15-BF1D-479F-9238-E94BEBD55A74}" srcId="{055607B3-A1E9-4099-B6BC-9751992E84BB}" destId="{C7317BC1-533F-4CC7-8629-BD8A9018C6E9}" srcOrd="0" destOrd="0" parTransId="{429F0186-F08A-4E52-9E02-D01A72D9A6B0}" sibTransId="{D699291A-72D8-46D0-9386-D4284969C1DA}"/>
    <dgm:cxn modelId="{E208BD96-DEBB-48AE-9A5A-BD13A33192CB}" type="presOf" srcId="{055607B3-A1E9-4099-B6BC-9751992E84BB}" destId="{98560226-06EE-4665-8543-1E74648FD607}" srcOrd="0" destOrd="0" presId="urn:microsoft.com/office/officeart/2005/8/layout/hierarchy4"/>
    <dgm:cxn modelId="{5C0A9367-7986-42E4-A477-2E232DD5BED1}" srcId="{C7317BC1-533F-4CC7-8629-BD8A9018C6E9}" destId="{6D999A01-9C61-4BD6-BB4F-67A1C6EF13DE}" srcOrd="2" destOrd="0" parTransId="{9F490FBC-2FCD-4536-98F2-382E61EE9D1D}" sibTransId="{879AFDC2-EA6E-44C9-84E7-143B487B58A7}"/>
    <dgm:cxn modelId="{37DAC282-64E1-4B45-B914-96096FD353CB}" srcId="{C7317BC1-533F-4CC7-8629-BD8A9018C6E9}" destId="{797D6C90-1611-4275-A9D7-E6D371A6EB68}" srcOrd="0" destOrd="0" parTransId="{DCED5379-A3B6-4150-ACE8-61D6D04A500B}" sibTransId="{ADE4CF86-8210-4E37-9B46-D0FE2F69EC17}"/>
    <dgm:cxn modelId="{6E816CA0-E498-4142-8AF6-4F47B666507E}" srcId="{797D6C90-1611-4275-A9D7-E6D371A6EB68}" destId="{869EC670-04CD-4B08-999A-E9C0A9130DEE}" srcOrd="2" destOrd="0" parTransId="{860F3904-7A6B-4D8B-BA32-4726683D28CC}" sibTransId="{7950DC42-3FC5-4500-B77D-57F25D607294}"/>
    <dgm:cxn modelId="{8F9B1D7C-A894-4192-AED4-C9E1A5DC7DB8}" type="presOf" srcId="{63488DB7-3F8E-4925-9409-9AC43AADFE52}" destId="{9E87AC63-E392-482E-97DD-C11FE33864A2}" srcOrd="0" destOrd="0" presId="urn:microsoft.com/office/officeart/2005/8/layout/hierarchy4"/>
    <dgm:cxn modelId="{1547D1A2-AAF8-43C0-A2A7-CE08BAC48793}" type="presParOf" srcId="{98560226-06EE-4665-8543-1E74648FD607}" destId="{D13E0344-0B88-4615-9953-97AD192FE081}" srcOrd="0" destOrd="0" presId="urn:microsoft.com/office/officeart/2005/8/layout/hierarchy4"/>
    <dgm:cxn modelId="{89AD9636-E1C2-432F-9DEA-C8990F38F0A5}" type="presParOf" srcId="{D13E0344-0B88-4615-9953-97AD192FE081}" destId="{6F413C9D-E659-4E78-9A68-FEE612987DCD}" srcOrd="0" destOrd="0" presId="urn:microsoft.com/office/officeart/2005/8/layout/hierarchy4"/>
    <dgm:cxn modelId="{ED4AE99C-E130-40AA-AF7F-74BF152489A1}" type="presParOf" srcId="{D13E0344-0B88-4615-9953-97AD192FE081}" destId="{DAB739B3-6F2A-4F58-B1FB-67690CF5946D}" srcOrd="1" destOrd="0" presId="urn:microsoft.com/office/officeart/2005/8/layout/hierarchy4"/>
    <dgm:cxn modelId="{17B8580C-7471-4A4B-8D34-65DB053FB3D7}" type="presParOf" srcId="{D13E0344-0B88-4615-9953-97AD192FE081}" destId="{37B6D63F-4B14-43DD-BB7B-78B803CEBDDE}" srcOrd="2" destOrd="0" presId="urn:microsoft.com/office/officeart/2005/8/layout/hierarchy4"/>
    <dgm:cxn modelId="{70791DFB-F3C8-4B27-93D0-53B12C7EC4EA}" type="presParOf" srcId="{37B6D63F-4B14-43DD-BB7B-78B803CEBDDE}" destId="{30F26499-C11B-4326-968C-699F898E1CD4}" srcOrd="0" destOrd="0" presId="urn:microsoft.com/office/officeart/2005/8/layout/hierarchy4"/>
    <dgm:cxn modelId="{58714217-AC0B-497D-A96E-30871DDBAE0B}" type="presParOf" srcId="{30F26499-C11B-4326-968C-699F898E1CD4}" destId="{C37E86E5-F805-4AFD-8553-F5F2080A9BD8}" srcOrd="0" destOrd="0" presId="urn:microsoft.com/office/officeart/2005/8/layout/hierarchy4"/>
    <dgm:cxn modelId="{D34C9D3B-2B67-418F-AE12-8825C7AE599C}" type="presParOf" srcId="{30F26499-C11B-4326-968C-699F898E1CD4}" destId="{3AD8520C-7FA5-429F-A385-4685F8F9F26F}" srcOrd="1" destOrd="0" presId="urn:microsoft.com/office/officeart/2005/8/layout/hierarchy4"/>
    <dgm:cxn modelId="{6E473E6A-3CC8-4CE2-A6EE-3862A932075B}" type="presParOf" srcId="{30F26499-C11B-4326-968C-699F898E1CD4}" destId="{ECD16296-E28E-409C-AA15-E1D57C124B40}" srcOrd="2" destOrd="0" presId="urn:microsoft.com/office/officeart/2005/8/layout/hierarchy4"/>
    <dgm:cxn modelId="{FE41AF9B-3254-4B53-915B-EFFFC2E4FA94}" type="presParOf" srcId="{ECD16296-E28E-409C-AA15-E1D57C124B40}" destId="{617FEF3E-CAAB-4C95-9323-9CD0A0D7A2FA}" srcOrd="0" destOrd="0" presId="urn:microsoft.com/office/officeart/2005/8/layout/hierarchy4"/>
    <dgm:cxn modelId="{E656F982-C684-4AF8-9B3C-653DCB6B29E5}" type="presParOf" srcId="{617FEF3E-CAAB-4C95-9323-9CD0A0D7A2FA}" destId="{3960641D-E1D1-4169-991B-7B040B6C4E24}" srcOrd="0" destOrd="0" presId="urn:microsoft.com/office/officeart/2005/8/layout/hierarchy4"/>
    <dgm:cxn modelId="{0A940972-43F6-4045-BE36-EAB39B37C6D2}" type="presParOf" srcId="{617FEF3E-CAAB-4C95-9323-9CD0A0D7A2FA}" destId="{E6505FED-877C-45FF-A335-C4442D313B5D}" srcOrd="1" destOrd="0" presId="urn:microsoft.com/office/officeart/2005/8/layout/hierarchy4"/>
    <dgm:cxn modelId="{2D456C41-91EF-4CA8-8EF2-B1EDE3A681FF}" type="presParOf" srcId="{ECD16296-E28E-409C-AA15-E1D57C124B40}" destId="{16D32503-0882-49FF-862D-C7D58270E754}" srcOrd="1" destOrd="0" presId="urn:microsoft.com/office/officeart/2005/8/layout/hierarchy4"/>
    <dgm:cxn modelId="{788BC2AA-FE1B-414B-A796-CCA4A753FAAA}" type="presParOf" srcId="{ECD16296-E28E-409C-AA15-E1D57C124B40}" destId="{470F2B8A-CA63-4202-B0FF-850D9B289092}" srcOrd="2" destOrd="0" presId="urn:microsoft.com/office/officeart/2005/8/layout/hierarchy4"/>
    <dgm:cxn modelId="{35BCFBC4-48B2-4766-8A85-35A944AA30DE}" type="presParOf" srcId="{470F2B8A-CA63-4202-B0FF-850D9B289092}" destId="{A3C6C11E-4D12-45B0-A8E5-DD2C56EDD455}" srcOrd="0" destOrd="0" presId="urn:microsoft.com/office/officeart/2005/8/layout/hierarchy4"/>
    <dgm:cxn modelId="{A0A61BE5-8208-44A7-87A0-274C008B2B41}" type="presParOf" srcId="{470F2B8A-CA63-4202-B0FF-850D9B289092}" destId="{849FA7F3-7B30-47A7-A08B-816E7BE7405D}" srcOrd="1" destOrd="0" presId="urn:microsoft.com/office/officeart/2005/8/layout/hierarchy4"/>
    <dgm:cxn modelId="{A8A8E554-44A5-469B-9615-738904BDFD07}" type="presParOf" srcId="{ECD16296-E28E-409C-AA15-E1D57C124B40}" destId="{005B8B4D-E873-4832-BB5C-62C78B8C6156}" srcOrd="3" destOrd="0" presId="urn:microsoft.com/office/officeart/2005/8/layout/hierarchy4"/>
    <dgm:cxn modelId="{487412F2-CE34-4AB3-9219-E76C6792FD06}" type="presParOf" srcId="{ECD16296-E28E-409C-AA15-E1D57C124B40}" destId="{BF88BCA8-3EC3-46AA-AF9E-A54165619AA3}" srcOrd="4" destOrd="0" presId="urn:microsoft.com/office/officeart/2005/8/layout/hierarchy4"/>
    <dgm:cxn modelId="{8498925C-F7DF-4890-9863-13EBDB1C1B71}" type="presParOf" srcId="{BF88BCA8-3EC3-46AA-AF9E-A54165619AA3}" destId="{E709FABE-64EB-4E65-B8DF-C03E81343848}" srcOrd="0" destOrd="0" presId="urn:microsoft.com/office/officeart/2005/8/layout/hierarchy4"/>
    <dgm:cxn modelId="{610D3A9E-781D-4B1D-BA53-C2DA08F6ED9A}" type="presParOf" srcId="{BF88BCA8-3EC3-46AA-AF9E-A54165619AA3}" destId="{80E49A63-70E0-4421-94F9-C17844AC6A5A}" srcOrd="1" destOrd="0" presId="urn:microsoft.com/office/officeart/2005/8/layout/hierarchy4"/>
    <dgm:cxn modelId="{155C6244-1D8A-4F32-917B-DBC59E3D0330}" type="presParOf" srcId="{37B6D63F-4B14-43DD-BB7B-78B803CEBDDE}" destId="{8AC5BC20-C059-4804-A1EA-B5FC6150C7A3}" srcOrd="1" destOrd="0" presId="urn:microsoft.com/office/officeart/2005/8/layout/hierarchy4"/>
    <dgm:cxn modelId="{F7B151AB-B86E-4B70-90D6-D7C3A8CA0AD4}" type="presParOf" srcId="{37B6D63F-4B14-43DD-BB7B-78B803CEBDDE}" destId="{AA1FE7D5-8C70-437D-9FAB-F670C7A6982A}" srcOrd="2" destOrd="0" presId="urn:microsoft.com/office/officeart/2005/8/layout/hierarchy4"/>
    <dgm:cxn modelId="{D0EE0441-6FC8-47FD-952E-8CFCC5C68CBC}" type="presParOf" srcId="{AA1FE7D5-8C70-437D-9FAB-F670C7A6982A}" destId="{9E87AC63-E392-482E-97DD-C11FE33864A2}" srcOrd="0" destOrd="0" presId="urn:microsoft.com/office/officeart/2005/8/layout/hierarchy4"/>
    <dgm:cxn modelId="{20A6913E-408D-45A1-A4F8-28E90756003D}" type="presParOf" srcId="{AA1FE7D5-8C70-437D-9FAB-F670C7A6982A}" destId="{E6804457-04F2-4A5B-8B67-DA8DD96F3E93}" srcOrd="1" destOrd="0" presId="urn:microsoft.com/office/officeart/2005/8/layout/hierarchy4"/>
    <dgm:cxn modelId="{6B663C5A-E350-4D9C-B124-085A72FE297E}" type="presParOf" srcId="{37B6D63F-4B14-43DD-BB7B-78B803CEBDDE}" destId="{7F59F78F-028E-4194-8932-C9391857370E}" srcOrd="3" destOrd="0" presId="urn:microsoft.com/office/officeart/2005/8/layout/hierarchy4"/>
    <dgm:cxn modelId="{1CD388B6-04F6-446B-9EE9-753BB7FF98AC}" type="presParOf" srcId="{37B6D63F-4B14-43DD-BB7B-78B803CEBDDE}" destId="{C5BE1535-4033-44F1-818B-3CB8E5E381A5}" srcOrd="4" destOrd="0" presId="urn:microsoft.com/office/officeart/2005/8/layout/hierarchy4"/>
    <dgm:cxn modelId="{BD975454-4B4F-43F4-A2DD-7BF64FF5DC50}" type="presParOf" srcId="{C5BE1535-4033-44F1-818B-3CB8E5E381A5}" destId="{C36FB1F2-1A89-4E20-9945-D2F42C561C49}" srcOrd="0" destOrd="0" presId="urn:microsoft.com/office/officeart/2005/8/layout/hierarchy4"/>
    <dgm:cxn modelId="{B16FDAC1-83EB-4BF6-91FD-1EAD1EDACBFA}" type="presParOf" srcId="{C5BE1535-4033-44F1-818B-3CB8E5E381A5}" destId="{50EABDEC-6DB2-46F9-8AC9-86CA3B3F00C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F413C9D-E659-4E78-9A68-FEE612987DCD}">
      <dsp:nvSpPr>
        <dsp:cNvPr id="0" name=""/>
        <dsp:cNvSpPr/>
      </dsp:nvSpPr>
      <dsp:spPr>
        <a:xfrm>
          <a:off x="407" y="0"/>
          <a:ext cx="6123783" cy="8486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М</a:t>
          </a:r>
          <a:r>
            <a:rPr lang="uk-UA" sz="1800" kern="1200">
              <a:latin typeface="Times New Roman" pitchFamily="18" charset="0"/>
              <a:cs typeface="Times New Roman" pitchFamily="18" charset="0"/>
            </a:rPr>
            <a:t>ісцеві податки і збори </a:t>
          </a:r>
          <a:r>
            <a:rPr lang="en-US" sz="1800" kern="1200">
              <a:latin typeface="Times New Roman" pitchFamily="18" charset="0"/>
              <a:cs typeface="Times New Roman" pitchFamily="18" charset="0"/>
            </a:rPr>
            <a:t>1435,5 </a:t>
          </a:r>
          <a:r>
            <a:rPr lang="uk-UA" sz="1800" kern="1200">
              <a:latin typeface="Times New Roman" pitchFamily="18" charset="0"/>
              <a:cs typeface="Times New Roman" pitchFamily="18" charset="0"/>
            </a:rPr>
            <a:t>млн.грн. </a:t>
          </a: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>
        <a:off x="407" y="0"/>
        <a:ext cx="6123783" cy="848609"/>
      </dsp:txXfrm>
    </dsp:sp>
    <dsp:sp modelId="{C37E86E5-F805-4AFD-8553-F5F2080A9BD8}">
      <dsp:nvSpPr>
        <dsp:cNvPr id="0" name=""/>
        <dsp:cNvSpPr/>
      </dsp:nvSpPr>
      <dsp:spPr>
        <a:xfrm>
          <a:off x="6181" y="955023"/>
          <a:ext cx="3507502" cy="8486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податок на майно 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894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,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2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млн.грн. (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62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,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29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%)</a:t>
          </a:r>
        </a:p>
      </dsp:txBody>
      <dsp:txXfrm>
        <a:off x="6181" y="955023"/>
        <a:ext cx="3507502" cy="848609"/>
      </dsp:txXfrm>
    </dsp:sp>
    <dsp:sp modelId="{3960641D-E1D1-4169-991B-7B040B6C4E24}">
      <dsp:nvSpPr>
        <dsp:cNvPr id="0" name=""/>
        <dsp:cNvSpPr/>
      </dsp:nvSpPr>
      <dsp:spPr>
        <a:xfrm>
          <a:off x="6181" y="1909131"/>
          <a:ext cx="1004082" cy="8486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плата за землю 842,7 млн.грн.</a:t>
          </a:r>
        </a:p>
      </dsp:txBody>
      <dsp:txXfrm>
        <a:off x="6181" y="1909131"/>
        <a:ext cx="1004082" cy="848609"/>
      </dsp:txXfrm>
    </dsp:sp>
    <dsp:sp modelId="{A3C6C11E-4D12-45B0-A8E5-DD2C56EDD455}">
      <dsp:nvSpPr>
        <dsp:cNvPr id="0" name=""/>
        <dsp:cNvSpPr/>
      </dsp:nvSpPr>
      <dsp:spPr>
        <a:xfrm>
          <a:off x="1060716" y="1910046"/>
          <a:ext cx="1201257" cy="8486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податок на нерухоме майно, відмінне від земельної ділянки       46,2 млн.грн.</a:t>
          </a:r>
        </a:p>
      </dsp:txBody>
      <dsp:txXfrm>
        <a:off x="1060716" y="1910046"/>
        <a:ext cx="1201257" cy="848609"/>
      </dsp:txXfrm>
    </dsp:sp>
    <dsp:sp modelId="{E709FABE-64EB-4E65-B8DF-C03E81343848}">
      <dsp:nvSpPr>
        <dsp:cNvPr id="0" name=""/>
        <dsp:cNvSpPr/>
      </dsp:nvSpPr>
      <dsp:spPr>
        <a:xfrm>
          <a:off x="2312426" y="1909131"/>
          <a:ext cx="1201257" cy="8486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транспортний податок -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5,2 млн.грн.</a:t>
          </a:r>
        </a:p>
      </dsp:txBody>
      <dsp:txXfrm>
        <a:off x="2312426" y="1909131"/>
        <a:ext cx="1201257" cy="848609"/>
      </dsp:txXfrm>
    </dsp:sp>
    <dsp:sp modelId="{9E87AC63-E392-482E-97DD-C11FE33864A2}">
      <dsp:nvSpPr>
        <dsp:cNvPr id="0" name=""/>
        <dsp:cNvSpPr/>
      </dsp:nvSpPr>
      <dsp:spPr>
        <a:xfrm>
          <a:off x="3614589" y="955022"/>
          <a:ext cx="1201257" cy="8486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туристичний збір 0,6мл.грн. (0,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04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%)</a:t>
          </a:r>
        </a:p>
      </dsp:txBody>
      <dsp:txXfrm>
        <a:off x="3614589" y="955022"/>
        <a:ext cx="1201257" cy="848609"/>
      </dsp:txXfrm>
    </dsp:sp>
    <dsp:sp modelId="{C36FB1F2-1A89-4E20-9945-D2F42C561C49}">
      <dsp:nvSpPr>
        <dsp:cNvPr id="0" name=""/>
        <dsp:cNvSpPr/>
      </dsp:nvSpPr>
      <dsp:spPr>
        <a:xfrm>
          <a:off x="4922933" y="955022"/>
          <a:ext cx="1201257" cy="8486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єдиний податок 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540,7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млн.грн. (3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7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,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67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%)</a:t>
          </a:r>
        </a:p>
      </dsp:txBody>
      <dsp:txXfrm>
        <a:off x="4922933" y="955022"/>
        <a:ext cx="1201257" cy="848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0.01615</cdr:x>
      <cdr:y>0.07294</cdr:y>
    </cdr:from>
    <cdr:to>
      <cdr:x>0.25835</cdr:x>
      <cdr:y>0.48629</cdr:y>
    </cdr:to>
    <cdr:sp macro="" textlink="">
      <cdr:nvSpPr>
        <cdr:cNvPr id="2" name="Стрелка вправо 1"/>
        <cdr:cNvSpPr/>
      </cdr:nvSpPr>
      <cdr:spPr>
        <a:xfrm xmlns:a="http://schemas.openxmlformats.org/drawingml/2006/main">
          <a:off x="98840" y="314325"/>
          <a:ext cx="1482310" cy="1781175"/>
        </a:xfrm>
        <a:prstGeom xmlns:a="http://schemas.openxmlformats.org/drawingml/2006/main" prst="rightArrow">
          <a:avLst>
            <a:gd name="adj1" fmla="val 50000"/>
            <a:gd name="adj2" fmla="val 27209"/>
          </a:avLst>
        </a:prstGeom>
        <a:solidFill xmlns:a="http://schemas.openxmlformats.org/drawingml/2006/main">
          <a:schemeClr val="accent1">
            <a:alpha val="37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t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Доходи загального фонду</a:t>
          </a:r>
        </a:p>
        <a:p xmlns:a="http://schemas.openxmlformats.org/drawingml/2006/main">
          <a:pPr algn="ctr"/>
          <a:r>
            <a:rPr lang="ru-RU" sz="1200" b="1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4 973,4</a:t>
          </a: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млн.грн.</a:t>
          </a:r>
        </a:p>
      </cdr:txBody>
    </cdr:sp>
  </cdr:relSizeAnchor>
  <cdr:relSizeAnchor xmlns:cdr="http://schemas.openxmlformats.org/drawingml/2006/chartDrawing">
    <cdr:from>
      <cdr:x>0.71556</cdr:x>
      <cdr:y>0.71175</cdr:y>
    </cdr:from>
    <cdr:to>
      <cdr:x>0.97427</cdr:x>
      <cdr:y>0.95489</cdr:y>
    </cdr:to>
    <cdr:sp macro="" textlink="">
      <cdr:nvSpPr>
        <cdr:cNvPr id="3" name="Стрелка влево 2"/>
        <cdr:cNvSpPr/>
      </cdr:nvSpPr>
      <cdr:spPr>
        <a:xfrm xmlns:a="http://schemas.openxmlformats.org/drawingml/2006/main">
          <a:off x="4379311" y="3067051"/>
          <a:ext cx="1583339" cy="1047749"/>
        </a:xfrm>
        <a:prstGeom xmlns:a="http://schemas.openxmlformats.org/drawingml/2006/main" prst="leftArrow">
          <a:avLst>
            <a:gd name="adj1" fmla="val 71277"/>
            <a:gd name="adj2" fmla="val 34772"/>
          </a:avLst>
        </a:prstGeom>
        <a:solidFill xmlns:a="http://schemas.openxmlformats.org/drawingml/2006/main">
          <a:schemeClr val="accent3">
            <a:lumMod val="60000"/>
            <a:lumOff val="40000"/>
            <a:alpha val="60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t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Офіційні трансферти</a:t>
          </a:r>
        </a:p>
        <a:p xmlns:a="http://schemas.openxmlformats.org/drawingml/2006/main">
          <a:pPr algn="ctr"/>
          <a:r>
            <a:rPr lang="ru-RU" sz="1200" b="1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3 389,4</a:t>
          </a: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млн.грн.</a:t>
          </a:r>
        </a:p>
      </cdr:txBody>
    </cdr:sp>
  </cdr:relSizeAnchor>
  <cdr:relSizeAnchor xmlns:cdr="http://schemas.openxmlformats.org/drawingml/2006/chartDrawing">
    <cdr:from>
      <cdr:x>0.73766</cdr:x>
      <cdr:y>0.13041</cdr:y>
    </cdr:from>
    <cdr:to>
      <cdr:x>1</cdr:x>
      <cdr:y>0.44208</cdr:y>
    </cdr:to>
    <cdr:sp macro="" textlink="">
      <cdr:nvSpPr>
        <cdr:cNvPr id="4" name="Стрелка влево 3"/>
        <cdr:cNvSpPr/>
      </cdr:nvSpPr>
      <cdr:spPr>
        <a:xfrm xmlns:a="http://schemas.openxmlformats.org/drawingml/2006/main">
          <a:off x="4514575" y="561975"/>
          <a:ext cx="1605555" cy="1343025"/>
        </a:xfrm>
        <a:prstGeom xmlns:a="http://schemas.openxmlformats.org/drawingml/2006/main" prst="leftArrow">
          <a:avLst>
            <a:gd name="adj1" fmla="val 66403"/>
            <a:gd name="adj2" fmla="val 27825"/>
          </a:avLst>
        </a:prstGeom>
        <a:solidFill xmlns:a="http://schemas.openxmlformats.org/drawingml/2006/main">
          <a:schemeClr val="accent6">
            <a:lumMod val="60000"/>
            <a:lumOff val="40000"/>
            <a:alpha val="62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t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Доходи спеціального фонду</a:t>
          </a:r>
        </a:p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289,1 млн.грн.</a:t>
          </a:r>
        </a:p>
      </cdr:txBody>
    </cdr:sp>
  </cdr:relSizeAnchor>
  <cdr:relSizeAnchor xmlns:cdr="http://schemas.openxmlformats.org/drawingml/2006/chartDrawing">
    <cdr:from>
      <cdr:x>0.12413</cdr:x>
      <cdr:y>0.00665</cdr:y>
    </cdr:from>
    <cdr:to>
      <cdr:x>0.95726</cdr:x>
      <cdr:y>0.12272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847726" y="31924"/>
          <a:ext cx="5689810" cy="5572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rtl="0"/>
          <a:r>
            <a:rPr lang="ru-RU" sz="1400" b="1" i="0" baseline="0">
              <a:latin typeface="Times New Roman" pitchFamily="18" charset="0"/>
              <a:ea typeface="+mn-ea"/>
              <a:cs typeface="Times New Roman" pitchFamily="18" charset="0"/>
            </a:rPr>
            <a:t>Структура доходної частини бюджету  за  2018 рік</a:t>
          </a:r>
          <a:endParaRPr lang="ru-RU" sz="14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0.11405</cdr:x>
      <cdr:y>0.01008</cdr:y>
    </cdr:from>
    <cdr:to>
      <cdr:x>0.92072</cdr:x>
      <cdr:y>0.14782</cdr:y>
    </cdr:to>
    <cdr:sp macro="" textlink="">
      <cdr:nvSpPr>
        <cdr:cNvPr id="2" name="TextBox 1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693609" y="35912"/>
          <a:ext cx="4905863" cy="4907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Структура доходів  загального фонду бюджету міста за 2018 рік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0.15531</cdr:x>
      <cdr:y>0.56798</cdr:y>
    </cdr:from>
    <cdr:to>
      <cdr:x>0.25903</cdr:x>
      <cdr:y>0.63631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951219" y="2288451"/>
          <a:ext cx="635241" cy="275307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/>
        <a:p xmlns:a="http://schemas.openxmlformats.org/drawingml/2006/main">
          <a:pPr algn="l"/>
          <a:r>
            <a:rPr lang="ru-RU" sz="1200" b="1">
              <a:solidFill>
                <a:sysClr val="windowText" lastClr="000000"/>
              </a:solidFill>
            </a:rPr>
            <a:t>1292,2</a:t>
          </a:r>
        </a:p>
      </cdr:txBody>
    </cdr:sp>
  </cdr:relSizeAnchor>
  <cdr:relSizeAnchor xmlns:cdr="http://schemas.openxmlformats.org/drawingml/2006/chartDrawing">
    <cdr:from>
      <cdr:x>0.34723</cdr:x>
      <cdr:y>0.49441</cdr:y>
    </cdr:from>
    <cdr:to>
      <cdr:x>0.44962</cdr:x>
      <cdr:y>0.56212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126642" y="1992015"/>
          <a:ext cx="627095" cy="27280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</a:rPr>
            <a:t>1937,9</a:t>
          </a:r>
        </a:p>
      </cdr:txBody>
    </cdr:sp>
  </cdr:relSizeAnchor>
  <cdr:relSizeAnchor xmlns:cdr="http://schemas.openxmlformats.org/drawingml/2006/chartDrawing">
    <cdr:from>
      <cdr:x>0.56028</cdr:x>
      <cdr:y>0.44699</cdr:y>
    </cdr:from>
    <cdr:to>
      <cdr:x>0.664</cdr:x>
      <cdr:y>0.52678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3431454" y="1800948"/>
          <a:ext cx="635241" cy="3214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</a:rPr>
            <a:t>2487,4</a:t>
          </a:r>
        </a:p>
      </cdr:txBody>
    </cdr:sp>
  </cdr:relSizeAnchor>
  <cdr:relSizeAnchor xmlns:cdr="http://schemas.openxmlformats.org/drawingml/2006/chartDrawing">
    <cdr:from>
      <cdr:x>0.75335</cdr:x>
      <cdr:y>0.41371</cdr:y>
    </cdr:from>
    <cdr:to>
      <cdr:x>0.87621</cdr:x>
      <cdr:y>0.55942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4613945" y="1666869"/>
          <a:ext cx="752466" cy="5870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</a:rPr>
            <a:t>3132,1</a:t>
          </a:r>
        </a:p>
      </cdr:txBody>
    </cdr:sp>
  </cdr:relSizeAnchor>
  <cdr:relSizeAnchor xmlns:cdr="http://schemas.openxmlformats.org/drawingml/2006/chartDrawing">
    <cdr:from>
      <cdr:x>0.20704</cdr:x>
      <cdr:y>0.20016</cdr:y>
    </cdr:from>
    <cdr:to>
      <cdr:x>0.42379</cdr:x>
      <cdr:y>0.32206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 flipV="1">
          <a:off x="1268045" y="747351"/>
          <a:ext cx="1327501" cy="455150"/>
        </a:xfrm>
        <a:prstGeom xmlns:a="http://schemas.openxmlformats.org/drawingml/2006/main" prst="line">
          <a:avLst/>
        </a:prstGeom>
        <a:ln xmlns:a="http://schemas.openxmlformats.org/drawingml/2006/main" w="76200">
          <a:solidFill>
            <a:schemeClr val="accent3">
              <a:lumMod val="75000"/>
            </a:schemeClr>
          </a:solidFill>
          <a:headEnd type="oval"/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0.42156</cdr:x>
      <cdr:y>0.17792</cdr:y>
    </cdr:from>
    <cdr:to>
      <cdr:x>0.63965</cdr:x>
      <cdr:y>0.19858</cdr:y>
    </cdr:to>
    <cdr:sp macro="" textlink="">
      <cdr:nvSpPr>
        <cdr:cNvPr id="13" name="Прямая соединительная линия 12"/>
        <cdr:cNvSpPr/>
      </cdr:nvSpPr>
      <cdr:spPr>
        <a:xfrm xmlns:a="http://schemas.openxmlformats.org/drawingml/2006/main" flipV="1">
          <a:off x="2581884" y="664315"/>
          <a:ext cx="1335708" cy="77140"/>
        </a:xfrm>
        <a:prstGeom xmlns:a="http://schemas.openxmlformats.org/drawingml/2006/main" prst="line">
          <a:avLst/>
        </a:prstGeom>
        <a:ln xmlns:a="http://schemas.openxmlformats.org/drawingml/2006/main" w="76200">
          <a:solidFill>
            <a:schemeClr val="accent3">
              <a:lumMod val="75000"/>
            </a:schemeClr>
          </a:solidFill>
          <a:headEnd type="oval"/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0.63853</cdr:x>
      <cdr:y>0.17488</cdr:y>
    </cdr:from>
    <cdr:to>
      <cdr:x>0.85129</cdr:x>
      <cdr:y>0.23687</cdr:y>
    </cdr:to>
    <cdr:sp macro="" textlink="">
      <cdr:nvSpPr>
        <cdr:cNvPr id="15" name="Прямая соединительная линия 14"/>
        <cdr:cNvSpPr/>
      </cdr:nvSpPr>
      <cdr:spPr>
        <a:xfrm xmlns:a="http://schemas.openxmlformats.org/drawingml/2006/main">
          <a:off x="3910696" y="652956"/>
          <a:ext cx="1303064" cy="231459"/>
        </a:xfrm>
        <a:prstGeom xmlns:a="http://schemas.openxmlformats.org/drawingml/2006/main" prst="line">
          <a:avLst/>
        </a:prstGeom>
        <a:ln xmlns:a="http://schemas.openxmlformats.org/drawingml/2006/main" w="76200">
          <a:solidFill>
            <a:schemeClr val="accent3">
              <a:lumMod val="75000"/>
            </a:schemeClr>
          </a:solidFill>
          <a:headEnd type="oval"/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0.19285</cdr:x>
      <cdr:y>0.33605</cdr:y>
    </cdr:from>
    <cdr:to>
      <cdr:x>0.3437</cdr:x>
      <cdr:y>0.48527</cdr:y>
    </cdr:to>
    <cdr:sp macro="" textlink="">
      <cdr:nvSpPr>
        <cdr:cNvPr id="16" name="Стрелка вправо 15"/>
        <cdr:cNvSpPr/>
      </cdr:nvSpPr>
      <cdr:spPr>
        <a:xfrm xmlns:a="http://schemas.openxmlformats.org/drawingml/2006/main">
          <a:off x="1181100" y="1254753"/>
          <a:ext cx="923939" cy="557157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3">
            <a:shade val="50000"/>
          </a:schemeClr>
        </a:lnRef>
        <a:fillRef xmlns:a="http://schemas.openxmlformats.org/drawingml/2006/main" idx="1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400">
              <a:solidFill>
                <a:sysClr val="windowText" lastClr="000000"/>
              </a:solidFill>
            </a:rPr>
            <a:t>150,0%</a:t>
          </a:r>
          <a:endParaRPr lang="ru-RU" sz="14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0.42338</cdr:x>
      <cdr:y>0.22775</cdr:y>
    </cdr:from>
    <cdr:to>
      <cdr:x>0.57854</cdr:x>
      <cdr:y>0.38919</cdr:y>
    </cdr:to>
    <cdr:sp macro="" textlink="">
      <cdr:nvSpPr>
        <cdr:cNvPr id="17" name="Стрелка вправо 16"/>
        <cdr:cNvSpPr/>
      </cdr:nvSpPr>
      <cdr:spPr>
        <a:xfrm xmlns:a="http://schemas.openxmlformats.org/drawingml/2006/main">
          <a:off x="2593036" y="802645"/>
          <a:ext cx="950264" cy="568955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3">
            <a:shade val="50000"/>
          </a:schemeClr>
        </a:lnRef>
        <a:fillRef xmlns:a="http://schemas.openxmlformats.org/drawingml/2006/main" idx="1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400">
              <a:solidFill>
                <a:sysClr val="windowText" lastClr="000000"/>
              </a:solidFill>
            </a:rPr>
            <a:t>128,4%</a:t>
          </a:r>
          <a:endParaRPr lang="ru-RU" sz="14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0.6422</cdr:x>
      <cdr:y>0.22171</cdr:y>
    </cdr:from>
    <cdr:to>
      <cdr:x>0.80249</cdr:x>
      <cdr:y>0.36757</cdr:y>
    </cdr:to>
    <cdr:sp macro="" textlink="">
      <cdr:nvSpPr>
        <cdr:cNvPr id="18" name="Стрелка вправо 17"/>
        <cdr:cNvSpPr/>
      </cdr:nvSpPr>
      <cdr:spPr>
        <a:xfrm xmlns:a="http://schemas.openxmlformats.org/drawingml/2006/main">
          <a:off x="3933213" y="781378"/>
          <a:ext cx="981677" cy="514022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3">
            <a:shade val="50000"/>
          </a:schemeClr>
        </a:lnRef>
        <a:fillRef xmlns:a="http://schemas.openxmlformats.org/drawingml/2006/main" idx="1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400">
              <a:solidFill>
                <a:sysClr val="windowText" lastClr="000000"/>
              </a:solidFill>
            </a:rPr>
            <a:t>125,9%</a:t>
          </a:r>
          <a:endParaRPr lang="ru-RU" sz="140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895C-387F-4AC5-892A-5B9F1C5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26583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</cp:lastModifiedBy>
  <cp:revision>9</cp:revision>
  <cp:lastPrinted>2019-02-21T08:27:00Z</cp:lastPrinted>
  <dcterms:created xsi:type="dcterms:W3CDTF">2019-02-18T15:03:00Z</dcterms:created>
  <dcterms:modified xsi:type="dcterms:W3CDTF">2019-02-21T09:16:00Z</dcterms:modified>
</cp:coreProperties>
</file>