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56" w:rsidRPr="003D52CA" w:rsidRDefault="00372156" w:rsidP="00675437">
      <w:pPr>
        <w:pStyle w:val="a5"/>
        <w:ind w:firstLine="708"/>
        <w:jc w:val="center"/>
        <w:rPr>
          <w:b/>
          <w:bCs/>
          <w:sz w:val="27"/>
          <w:szCs w:val="27"/>
        </w:rPr>
      </w:pPr>
      <w:r w:rsidRPr="003D52CA">
        <w:rPr>
          <w:b/>
          <w:bCs/>
          <w:sz w:val="27"/>
          <w:szCs w:val="27"/>
        </w:rPr>
        <w:t>Довідка про виконання бюджету міста Запоріжжя</w:t>
      </w:r>
    </w:p>
    <w:p w:rsidR="00372156" w:rsidRPr="003D52CA" w:rsidRDefault="00372156" w:rsidP="00675437">
      <w:pPr>
        <w:pStyle w:val="a5"/>
        <w:ind w:firstLine="708"/>
        <w:jc w:val="center"/>
        <w:rPr>
          <w:b/>
          <w:bCs/>
          <w:sz w:val="27"/>
          <w:szCs w:val="27"/>
        </w:rPr>
      </w:pPr>
      <w:r w:rsidRPr="003D52CA">
        <w:rPr>
          <w:b/>
          <w:bCs/>
          <w:sz w:val="27"/>
          <w:szCs w:val="27"/>
        </w:rPr>
        <w:t>за І півріччя 2018 року</w:t>
      </w:r>
    </w:p>
    <w:p w:rsidR="00372156" w:rsidRPr="003D52CA" w:rsidRDefault="00372156" w:rsidP="00675437">
      <w:pPr>
        <w:pStyle w:val="a5"/>
        <w:ind w:firstLine="708"/>
        <w:jc w:val="center"/>
        <w:rPr>
          <w:b/>
          <w:bCs/>
          <w:sz w:val="27"/>
          <w:szCs w:val="27"/>
        </w:rPr>
      </w:pPr>
    </w:p>
    <w:p w:rsidR="00372156" w:rsidRPr="003D52CA" w:rsidRDefault="00372156" w:rsidP="00257161">
      <w:pPr>
        <w:ind w:firstLine="709"/>
        <w:contextualSpacing/>
        <w:jc w:val="center"/>
        <w:rPr>
          <w:b/>
          <w:sz w:val="27"/>
          <w:szCs w:val="27"/>
          <w:lang w:val="uk-UA"/>
        </w:rPr>
      </w:pPr>
      <w:r w:rsidRPr="003D52CA">
        <w:rPr>
          <w:b/>
          <w:sz w:val="27"/>
          <w:szCs w:val="27"/>
          <w:lang w:val="uk-UA"/>
        </w:rPr>
        <w:t>Доходи</w:t>
      </w:r>
    </w:p>
    <w:p w:rsidR="00372156" w:rsidRPr="003D52CA" w:rsidRDefault="00372156" w:rsidP="00257161">
      <w:pPr>
        <w:pStyle w:val="a7"/>
        <w:spacing w:after="0"/>
        <w:ind w:left="0" w:firstLine="709"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За підсумками І півріччя поточного року обсяг доходної частини бюджету міста склав 4 604,0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в тому числі доходи загального фонду – 2 372,4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спеціального фонду – 144,8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та офіційні трансферти – 2 086,8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В порівнянні з відповідним періодом минулого року доходи (без урахування трансфертів) збільшились на 14,5% або на 317,9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 xml:space="preserve">. </w:t>
      </w:r>
    </w:p>
    <w:p w:rsidR="00372156" w:rsidRPr="00C20A1F" w:rsidRDefault="00372156" w:rsidP="00C20A1F">
      <w:pPr>
        <w:pStyle w:val="a7"/>
        <w:spacing w:after="0"/>
        <w:ind w:left="284"/>
        <w:contextualSpacing/>
        <w:jc w:val="both"/>
        <w:rPr>
          <w:bCs/>
          <w:sz w:val="20"/>
          <w:szCs w:val="20"/>
          <w:lang w:val="uk-UA"/>
        </w:rPr>
      </w:pPr>
    </w:p>
    <w:p w:rsidR="00372156" w:rsidRPr="00E4140C" w:rsidRDefault="00372156" w:rsidP="00C20A1F">
      <w:pPr>
        <w:pStyle w:val="a7"/>
        <w:spacing w:after="0"/>
        <w:ind w:left="284"/>
        <w:contextualSpacing/>
        <w:jc w:val="both"/>
        <w:rPr>
          <w:i/>
          <w:sz w:val="28"/>
          <w:szCs w:val="28"/>
        </w:rPr>
      </w:pPr>
      <w:r w:rsidRPr="00E4140C">
        <w:rPr>
          <w:bCs/>
          <w:i/>
          <w:sz w:val="28"/>
          <w:szCs w:val="28"/>
        </w:rPr>
        <w:t xml:space="preserve">Структура </w:t>
      </w:r>
      <w:proofErr w:type="spellStart"/>
      <w:r w:rsidRPr="00E4140C">
        <w:rPr>
          <w:bCs/>
          <w:i/>
          <w:sz w:val="28"/>
          <w:szCs w:val="28"/>
        </w:rPr>
        <w:t>доходної</w:t>
      </w:r>
      <w:proofErr w:type="spellEnd"/>
      <w:r w:rsidRPr="00E4140C">
        <w:rPr>
          <w:bCs/>
          <w:i/>
          <w:sz w:val="28"/>
          <w:szCs w:val="28"/>
        </w:rPr>
        <w:t xml:space="preserve"> </w:t>
      </w:r>
      <w:proofErr w:type="spellStart"/>
      <w:r w:rsidRPr="00E4140C">
        <w:rPr>
          <w:bCs/>
          <w:i/>
          <w:sz w:val="28"/>
          <w:szCs w:val="28"/>
        </w:rPr>
        <w:t>частини</w:t>
      </w:r>
      <w:proofErr w:type="spellEnd"/>
      <w:r w:rsidRPr="00E4140C">
        <w:rPr>
          <w:bCs/>
          <w:i/>
          <w:sz w:val="28"/>
          <w:szCs w:val="28"/>
        </w:rPr>
        <w:t xml:space="preserve"> бюджету за І </w:t>
      </w:r>
      <w:proofErr w:type="spellStart"/>
      <w:proofErr w:type="gramStart"/>
      <w:r w:rsidRPr="00E4140C">
        <w:rPr>
          <w:bCs/>
          <w:i/>
          <w:sz w:val="28"/>
          <w:szCs w:val="28"/>
        </w:rPr>
        <w:t>п</w:t>
      </w:r>
      <w:proofErr w:type="gramEnd"/>
      <w:r w:rsidRPr="00E4140C">
        <w:rPr>
          <w:bCs/>
          <w:i/>
          <w:sz w:val="28"/>
          <w:szCs w:val="28"/>
        </w:rPr>
        <w:t>івріччя</w:t>
      </w:r>
      <w:proofErr w:type="spellEnd"/>
      <w:r w:rsidRPr="00E4140C">
        <w:rPr>
          <w:bCs/>
          <w:i/>
          <w:sz w:val="28"/>
          <w:szCs w:val="28"/>
        </w:rPr>
        <w:t xml:space="preserve"> 2018 року</w:t>
      </w:r>
    </w:p>
    <w:p w:rsidR="00372156" w:rsidRDefault="006F0528" w:rsidP="00481BC9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47054" cy="3076575"/>
            <wp:effectExtent l="6096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2156" w:rsidRPr="003D52CA" w:rsidRDefault="00372156" w:rsidP="00481BC9">
      <w:pPr>
        <w:pStyle w:val="a7"/>
        <w:spacing w:after="0"/>
        <w:ind w:left="0" w:firstLine="709"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План звітного періоду по доходах загального фонду в сумі 2 252,0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виконаний на 105,3%, понад планового показника надійшло 120,4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У порівнянні з січнем-червнем попереднього року відбулось збільшення зазначених доходів на 14,4% або на 298,5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</w:t>
      </w:r>
    </w:p>
    <w:p w:rsidR="00372156" w:rsidRPr="003D52CA" w:rsidRDefault="00372156" w:rsidP="00257161">
      <w:pPr>
        <w:ind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Найбільшим чином поповнив бюджет податок на доходи фізичних осіб, його обсяг склав 1 492,8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або 62,9% в доходах загального фонду. План виконаний на 106,3%. Порівняно з аналогічним минулорічним показником надходження цього податку збільшились на 28,5% або на 331,2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в тому числі податку з доходів у вигляді заробітної плати – на 29,0% або на 314,5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Це пояснюється суттєвим зростанням фонду оплати праці штатних працівників, який за останніми статистичними даними за І квартал 2018 року становив 5 550,7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що на 32,1% більше аналогічного показника попереднього року. Середньомісячна заробітна плата також зросла на 28,7% та складала 8 196,91 грн. Значно збільшили перерахування податку такі підприємства металургійного та машинобудівного комплексів як ПАТ «Запоріжсталь», ПАТ «Мотор Січ», ПАТ «</w:t>
      </w:r>
      <w:proofErr w:type="spellStart"/>
      <w:r w:rsidRPr="003D52CA">
        <w:rPr>
          <w:sz w:val="27"/>
          <w:szCs w:val="27"/>
          <w:lang w:val="uk-UA"/>
        </w:rPr>
        <w:t>Дніпроспецсталь</w:t>
      </w:r>
      <w:proofErr w:type="spellEnd"/>
      <w:r w:rsidRPr="003D52CA">
        <w:rPr>
          <w:sz w:val="27"/>
          <w:szCs w:val="27"/>
          <w:lang w:val="uk-UA"/>
        </w:rPr>
        <w:t>», ПАТ «</w:t>
      </w:r>
      <w:proofErr w:type="spellStart"/>
      <w:r w:rsidRPr="003D52CA">
        <w:rPr>
          <w:sz w:val="27"/>
          <w:szCs w:val="27"/>
          <w:lang w:val="uk-UA"/>
        </w:rPr>
        <w:t>Укрграфіт</w:t>
      </w:r>
      <w:proofErr w:type="spellEnd"/>
      <w:r w:rsidRPr="003D52CA">
        <w:rPr>
          <w:sz w:val="27"/>
          <w:szCs w:val="27"/>
          <w:lang w:val="uk-UA"/>
        </w:rPr>
        <w:t xml:space="preserve">», </w:t>
      </w:r>
      <w:proofErr w:type="spellStart"/>
      <w:r w:rsidRPr="003D52CA">
        <w:rPr>
          <w:sz w:val="27"/>
          <w:szCs w:val="27"/>
          <w:lang w:val="uk-UA"/>
        </w:rPr>
        <w:t>ДП</w:t>
      </w:r>
      <w:proofErr w:type="spellEnd"/>
      <w:r w:rsidRPr="003D52CA">
        <w:rPr>
          <w:sz w:val="27"/>
          <w:szCs w:val="27"/>
          <w:lang w:val="uk-UA"/>
        </w:rPr>
        <w:t xml:space="preserve"> «ЗМКБ «Прогрес» </w:t>
      </w:r>
      <w:proofErr w:type="spellStart"/>
      <w:r w:rsidRPr="003D52CA">
        <w:rPr>
          <w:sz w:val="27"/>
          <w:szCs w:val="27"/>
          <w:lang w:val="uk-UA"/>
        </w:rPr>
        <w:t>ім.Академіка</w:t>
      </w:r>
      <w:proofErr w:type="spellEnd"/>
      <w:r w:rsidRPr="003D52CA">
        <w:rPr>
          <w:sz w:val="27"/>
          <w:szCs w:val="27"/>
          <w:lang w:val="uk-UA"/>
        </w:rPr>
        <w:t xml:space="preserve"> О.Г.Івченка», ПАТ «</w:t>
      </w:r>
      <w:proofErr w:type="spellStart"/>
      <w:r w:rsidRPr="003D52CA">
        <w:rPr>
          <w:sz w:val="27"/>
          <w:szCs w:val="27"/>
          <w:lang w:val="uk-UA"/>
        </w:rPr>
        <w:t>Запоріжвогнетрив</w:t>
      </w:r>
      <w:proofErr w:type="spellEnd"/>
      <w:r w:rsidRPr="003D52CA">
        <w:rPr>
          <w:sz w:val="27"/>
          <w:szCs w:val="27"/>
          <w:lang w:val="uk-UA"/>
        </w:rPr>
        <w:t>», ПАТ «</w:t>
      </w:r>
      <w:proofErr w:type="spellStart"/>
      <w:r w:rsidRPr="003D52CA">
        <w:rPr>
          <w:sz w:val="27"/>
          <w:szCs w:val="27"/>
          <w:lang w:val="uk-UA"/>
        </w:rPr>
        <w:t>Запоріжкокс</w:t>
      </w:r>
      <w:proofErr w:type="spellEnd"/>
      <w:r w:rsidRPr="003D52CA">
        <w:rPr>
          <w:sz w:val="27"/>
          <w:szCs w:val="27"/>
          <w:lang w:val="uk-UA"/>
        </w:rPr>
        <w:t xml:space="preserve">», </w:t>
      </w:r>
      <w:proofErr w:type="spellStart"/>
      <w:r w:rsidRPr="003D52CA">
        <w:rPr>
          <w:sz w:val="27"/>
          <w:szCs w:val="27"/>
          <w:lang w:val="uk-UA"/>
        </w:rPr>
        <w:t>ПрАТ</w:t>
      </w:r>
      <w:proofErr w:type="spellEnd"/>
      <w:r w:rsidRPr="003D52CA">
        <w:rPr>
          <w:sz w:val="27"/>
          <w:szCs w:val="27"/>
          <w:lang w:val="uk-UA"/>
        </w:rPr>
        <w:t xml:space="preserve"> «ЗЕРЗ» та інші.</w:t>
      </w:r>
    </w:p>
    <w:p w:rsidR="00372156" w:rsidRPr="003D52CA" w:rsidRDefault="00372156" w:rsidP="00257161">
      <w:pPr>
        <w:ind w:firstLine="708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Також збільшились надходження податку за результатами річного декларування фізичних осіб на 3,0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(на 24,6%), з доходів військовослужбовців - на 8,7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(на 18,8%) та з інших (ніж заробітна плата) доходів платників – на 5,6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(на 34,7%).</w:t>
      </w:r>
    </w:p>
    <w:p w:rsidR="00372156" w:rsidRDefault="00372156" w:rsidP="007453B4">
      <w:pPr>
        <w:ind w:firstLine="708"/>
        <w:contextualSpacing/>
        <w:jc w:val="both"/>
        <w:rPr>
          <w:bCs/>
          <w:i/>
          <w:sz w:val="28"/>
          <w:szCs w:val="28"/>
          <w:lang w:val="uk-UA"/>
        </w:rPr>
      </w:pPr>
      <w:r w:rsidRPr="00E4140C">
        <w:rPr>
          <w:bCs/>
          <w:i/>
          <w:sz w:val="28"/>
          <w:szCs w:val="28"/>
        </w:rPr>
        <w:lastRenderedPageBreak/>
        <w:t xml:space="preserve">Структура </w:t>
      </w:r>
      <w:proofErr w:type="spellStart"/>
      <w:r w:rsidRPr="00E4140C">
        <w:rPr>
          <w:bCs/>
          <w:i/>
          <w:sz w:val="28"/>
          <w:szCs w:val="28"/>
        </w:rPr>
        <w:t>доходів</w:t>
      </w:r>
      <w:proofErr w:type="spellEnd"/>
      <w:r w:rsidRPr="00E4140C">
        <w:rPr>
          <w:bCs/>
          <w:i/>
          <w:sz w:val="28"/>
          <w:szCs w:val="28"/>
        </w:rPr>
        <w:t xml:space="preserve">  </w:t>
      </w:r>
      <w:proofErr w:type="spellStart"/>
      <w:r w:rsidRPr="00E4140C">
        <w:rPr>
          <w:bCs/>
          <w:i/>
          <w:sz w:val="28"/>
          <w:szCs w:val="28"/>
        </w:rPr>
        <w:t>загального</w:t>
      </w:r>
      <w:proofErr w:type="spellEnd"/>
      <w:r w:rsidRPr="00E4140C">
        <w:rPr>
          <w:bCs/>
          <w:i/>
          <w:sz w:val="28"/>
          <w:szCs w:val="28"/>
        </w:rPr>
        <w:t xml:space="preserve"> фонду бюджету за І </w:t>
      </w:r>
      <w:proofErr w:type="spellStart"/>
      <w:proofErr w:type="gramStart"/>
      <w:r w:rsidRPr="00E4140C">
        <w:rPr>
          <w:bCs/>
          <w:i/>
          <w:sz w:val="28"/>
          <w:szCs w:val="28"/>
        </w:rPr>
        <w:t>п</w:t>
      </w:r>
      <w:proofErr w:type="gramEnd"/>
      <w:r w:rsidRPr="00E4140C">
        <w:rPr>
          <w:bCs/>
          <w:i/>
          <w:sz w:val="28"/>
          <w:szCs w:val="28"/>
        </w:rPr>
        <w:t>івріччя</w:t>
      </w:r>
      <w:proofErr w:type="spellEnd"/>
      <w:r w:rsidRPr="00E4140C">
        <w:rPr>
          <w:bCs/>
          <w:i/>
          <w:sz w:val="28"/>
          <w:szCs w:val="28"/>
        </w:rPr>
        <w:t xml:space="preserve"> 2018 року</w:t>
      </w:r>
    </w:p>
    <w:p w:rsidR="0081671B" w:rsidRDefault="0081671B" w:rsidP="00E4140C">
      <w:pPr>
        <w:contextualSpacing/>
        <w:jc w:val="both"/>
        <w:rPr>
          <w:noProof/>
          <w:sz w:val="28"/>
          <w:szCs w:val="28"/>
          <w:lang w:val="uk-UA"/>
        </w:rPr>
      </w:pPr>
      <w:r w:rsidRPr="0081671B">
        <w:rPr>
          <w:noProof/>
          <w:sz w:val="28"/>
          <w:szCs w:val="28"/>
        </w:rPr>
        <w:drawing>
          <wp:inline distT="0" distB="0" distL="0" distR="0">
            <wp:extent cx="6000750" cy="360045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2156" w:rsidRPr="003D52CA" w:rsidRDefault="00372156" w:rsidP="00E4140C">
      <w:pPr>
        <w:ind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Надходження місцевих податків і зборів склали 686,0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або 103,2% до плану, в тому числі по податку на майно – 427,6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В його складі надійшло 405,9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плати за землю, що на 59,9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 xml:space="preserve">. або на 12,9% менше порівняно з відповідним періодом минулого року. Зазначене пояснюється </w:t>
      </w:r>
      <w:r w:rsidRPr="0070372C">
        <w:rPr>
          <w:sz w:val="27"/>
          <w:szCs w:val="27"/>
          <w:lang w:val="uk-UA"/>
        </w:rPr>
        <w:t>відсутніст</w:t>
      </w:r>
      <w:r>
        <w:rPr>
          <w:sz w:val="27"/>
          <w:szCs w:val="27"/>
          <w:lang w:val="uk-UA"/>
        </w:rPr>
        <w:t>ю</w:t>
      </w:r>
      <w:r w:rsidRPr="0070372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в поточному році </w:t>
      </w:r>
      <w:r w:rsidRPr="0070372C">
        <w:rPr>
          <w:sz w:val="27"/>
          <w:szCs w:val="27"/>
          <w:lang w:val="uk-UA"/>
        </w:rPr>
        <w:t>індексації нормативної грошової оцінки землі (</w:t>
      </w:r>
      <w:r>
        <w:rPr>
          <w:sz w:val="27"/>
          <w:szCs w:val="27"/>
          <w:lang w:val="uk-UA"/>
        </w:rPr>
        <w:t xml:space="preserve">згідно зі змінами </w:t>
      </w:r>
      <w:r w:rsidRPr="0070372C">
        <w:rPr>
          <w:sz w:val="27"/>
          <w:szCs w:val="27"/>
          <w:lang w:val="uk-UA"/>
        </w:rPr>
        <w:t>до Податкового кодексу України індекс споживчих цін за 2017 рік, що використовується для визначення коефіцієнта індексації нормативної грошової оцінки земел</w:t>
      </w:r>
      <w:r>
        <w:rPr>
          <w:sz w:val="27"/>
          <w:szCs w:val="27"/>
          <w:lang w:val="uk-UA"/>
        </w:rPr>
        <w:t xml:space="preserve">ь, застосовується зі </w:t>
      </w:r>
      <w:r w:rsidRPr="0070372C">
        <w:rPr>
          <w:sz w:val="27"/>
          <w:szCs w:val="27"/>
          <w:lang w:val="uk-UA"/>
        </w:rPr>
        <w:t xml:space="preserve">значенням 100%, </w:t>
      </w:r>
      <w:r>
        <w:rPr>
          <w:sz w:val="27"/>
          <w:szCs w:val="27"/>
          <w:lang w:val="uk-UA"/>
        </w:rPr>
        <w:t xml:space="preserve">а значить, </w:t>
      </w:r>
      <w:r w:rsidRPr="0070372C">
        <w:rPr>
          <w:sz w:val="27"/>
          <w:szCs w:val="27"/>
          <w:lang w:val="uk-UA"/>
        </w:rPr>
        <w:t>коефіцієнт індексації дорівнює 1</w:t>
      </w:r>
      <w:r>
        <w:rPr>
          <w:sz w:val="27"/>
          <w:szCs w:val="27"/>
          <w:lang w:val="uk-UA"/>
        </w:rPr>
        <w:t xml:space="preserve">), а також </w:t>
      </w:r>
      <w:r w:rsidRPr="003D52CA">
        <w:rPr>
          <w:sz w:val="27"/>
          <w:szCs w:val="27"/>
          <w:lang w:val="uk-UA"/>
        </w:rPr>
        <w:t>наданням державою пільги по сплаті земельного податку (стовідсоткове звільнення) суб’єктам літакобудування для земельних ділянок, на яких здійснюється розробка та/або виготовлення літальних апаратів та двигунів до них, та пільги для земельних ділянок залізниць у межах смуг відведення та гірничодобувних підприємств (зниження на 75% ставки податку).</w:t>
      </w:r>
    </w:p>
    <w:p w:rsidR="00372156" w:rsidRPr="003D52CA" w:rsidRDefault="00372156" w:rsidP="00257161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Доходи від єдиного податку склали 258,0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План виконаний на 108,7%. В порівнянні з минулорічним показником відбулось зростання на 57,7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 xml:space="preserve">. (на 28,8%). Це обумовлено збільшенням розміру мінімальної заробітної плати та прожиткового мінімуму, прив’язку до яких мають ставки для платників І та ІІ груп єдиного податку, зростанням кількості платників (юридичних осіб – на 55, фізичних – на 473) та коливанням показника індексу інфляції (станом на 01.07.2018 року - 104,4%), який супроводжувався поступовим підвищенням загального рівня цін на товари і послуги та вплинув на зростання обсягу доходів платників цього податку. </w:t>
      </w:r>
    </w:p>
    <w:p w:rsidR="00372156" w:rsidRPr="003D52CA" w:rsidRDefault="00372156" w:rsidP="00257161">
      <w:pPr>
        <w:ind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Податку на нерухоме майно, відмінне від земельної ділянки, надійшло в обсязі 19,8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План виконаний на 110,4%. Збільшення в порівнянні з минулорічним показником на 5,3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обумовлено зростанням кількості платників податку: юридичних осіб за об’єкти нежитлової нерухомості - на 73, фізичних осіб за об’єкти як житлової так і нежитлової нерухомості - на 224, а також зростанням ставок податку на 16,3%, які мають прив’язку до розміру мінімальної заробітної плати та прожиткового мінімуму для працездатних осіб.</w:t>
      </w:r>
    </w:p>
    <w:p w:rsidR="00372156" w:rsidRPr="003D52CA" w:rsidRDefault="00372156" w:rsidP="00FA6B90">
      <w:pPr>
        <w:pStyle w:val="a5"/>
        <w:ind w:firstLine="540"/>
        <w:rPr>
          <w:sz w:val="27"/>
          <w:szCs w:val="27"/>
        </w:rPr>
      </w:pPr>
      <w:r w:rsidRPr="003D52CA">
        <w:rPr>
          <w:sz w:val="27"/>
          <w:szCs w:val="27"/>
        </w:rPr>
        <w:lastRenderedPageBreak/>
        <w:t>Акцизного податку надійшло в розмірі 129,8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., що в порівнянні з аналогічним періодом минулого року менше на 1,7% або на 2,3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., в тому числі на 3,7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 знизились надходження частини загальнодержавного акцизу з виробленого та ввезеного пального та на 1,4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 xml:space="preserve">. зросли по податку з реалізації алкогольних напоїв </w:t>
      </w:r>
    </w:p>
    <w:p w:rsidR="00372156" w:rsidRPr="003D52CA" w:rsidRDefault="00372156" w:rsidP="00257161">
      <w:pPr>
        <w:ind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Бюджет міста отримав плати за надання інших адміністративних послуг в сумі 22,1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Основні надходження забезпечені підрозділами Державної міграційної служби України у Запорізькій області (71,0%), Міністерства внутрішніх справ України (16,5%) та Державної служби України з питань безпечності харчових продуктів та захисту споживачів (5,1%). В порівнянні з відповідними минулорічними показниками надходження збільшились на 65,9% або на 8,8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що насамперед пов’язано зі зростанням обсягів надання послуг у сфері оформлення біометричних закордонних паспортів.</w:t>
      </w:r>
    </w:p>
    <w:p w:rsidR="00372156" w:rsidRPr="003D52CA" w:rsidRDefault="00372156" w:rsidP="00257161">
      <w:pPr>
        <w:ind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Крім того, до загального фонду надійшло орендної плати за користування майном комунальної власності в сумі 13,6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податку на прибуток комунальних підприємств – 10,0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плати за розміщення тимчасово вільних бюджетних коштів – 5,6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частини чистого прибутку, що вилучається до бюджету - 2,2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адміністративного збору за проведення державної реєстрації юридичних осіб, фізичних осіб – підприємств та громадських формувань – 1,1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адміністративного збору за державну реєстрацію речових прав на нерухоме майно та їх обтяжень – 0,8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та інших податків, зборів і обов’язкових платежів на загальну суму 8,4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</w:t>
      </w:r>
    </w:p>
    <w:p w:rsidR="00372156" w:rsidRPr="00262802" w:rsidRDefault="00372156" w:rsidP="00262802">
      <w:pPr>
        <w:ind w:firstLine="708"/>
        <w:contextualSpacing/>
        <w:rPr>
          <w:bCs/>
          <w:sz w:val="20"/>
          <w:szCs w:val="20"/>
          <w:lang w:val="uk-UA"/>
        </w:rPr>
      </w:pPr>
    </w:p>
    <w:p w:rsidR="00372156" w:rsidRPr="00E4140C" w:rsidRDefault="00372156" w:rsidP="0004614B">
      <w:pPr>
        <w:ind w:firstLine="708"/>
        <w:contextualSpacing/>
        <w:jc w:val="center"/>
        <w:rPr>
          <w:i/>
          <w:sz w:val="28"/>
          <w:szCs w:val="28"/>
        </w:rPr>
      </w:pPr>
      <w:r w:rsidRPr="00E4140C">
        <w:rPr>
          <w:bCs/>
          <w:i/>
          <w:sz w:val="28"/>
          <w:szCs w:val="28"/>
        </w:rPr>
        <w:t xml:space="preserve">Структура </w:t>
      </w:r>
      <w:proofErr w:type="spellStart"/>
      <w:r w:rsidRPr="00E4140C">
        <w:rPr>
          <w:bCs/>
          <w:i/>
          <w:sz w:val="28"/>
          <w:szCs w:val="28"/>
        </w:rPr>
        <w:t>доходів</w:t>
      </w:r>
      <w:proofErr w:type="spellEnd"/>
      <w:r w:rsidRPr="00E4140C">
        <w:rPr>
          <w:bCs/>
          <w:i/>
          <w:sz w:val="28"/>
          <w:szCs w:val="28"/>
        </w:rPr>
        <w:t xml:space="preserve"> </w:t>
      </w:r>
      <w:r w:rsidRPr="00E4140C">
        <w:rPr>
          <w:bCs/>
          <w:i/>
          <w:sz w:val="28"/>
          <w:szCs w:val="28"/>
          <w:lang w:val="uk-UA"/>
        </w:rPr>
        <w:t>спеціального</w:t>
      </w:r>
      <w:r w:rsidRPr="00E4140C">
        <w:rPr>
          <w:bCs/>
          <w:i/>
          <w:sz w:val="28"/>
          <w:szCs w:val="28"/>
        </w:rPr>
        <w:t xml:space="preserve"> фонду бюджету за І</w:t>
      </w:r>
      <w:r w:rsidRPr="00E4140C">
        <w:rPr>
          <w:bCs/>
          <w:i/>
          <w:sz w:val="28"/>
          <w:szCs w:val="28"/>
          <w:lang w:val="uk-UA"/>
        </w:rPr>
        <w:t> </w:t>
      </w:r>
      <w:proofErr w:type="spellStart"/>
      <w:proofErr w:type="gramStart"/>
      <w:r w:rsidRPr="00E4140C">
        <w:rPr>
          <w:bCs/>
          <w:i/>
          <w:sz w:val="28"/>
          <w:szCs w:val="28"/>
        </w:rPr>
        <w:t>п</w:t>
      </w:r>
      <w:proofErr w:type="gramEnd"/>
      <w:r w:rsidRPr="00E4140C">
        <w:rPr>
          <w:bCs/>
          <w:i/>
          <w:sz w:val="28"/>
          <w:szCs w:val="28"/>
        </w:rPr>
        <w:t>івріччя</w:t>
      </w:r>
      <w:proofErr w:type="spellEnd"/>
      <w:r w:rsidRPr="00E4140C">
        <w:rPr>
          <w:bCs/>
          <w:i/>
          <w:sz w:val="28"/>
          <w:szCs w:val="28"/>
        </w:rPr>
        <w:t xml:space="preserve"> 2018</w:t>
      </w:r>
      <w:r w:rsidRPr="00E4140C">
        <w:rPr>
          <w:bCs/>
          <w:i/>
          <w:sz w:val="28"/>
          <w:szCs w:val="28"/>
          <w:lang w:val="uk-UA"/>
        </w:rPr>
        <w:t> </w:t>
      </w:r>
      <w:r w:rsidRPr="00E4140C">
        <w:rPr>
          <w:bCs/>
          <w:i/>
          <w:sz w:val="28"/>
          <w:szCs w:val="28"/>
        </w:rPr>
        <w:t>року</w:t>
      </w:r>
    </w:p>
    <w:p w:rsidR="00372156" w:rsidRDefault="006F0528" w:rsidP="00257161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47054" cy="3181350"/>
            <wp:effectExtent l="6096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2156" w:rsidRPr="003D52CA" w:rsidRDefault="00372156" w:rsidP="00BC5B1C">
      <w:pPr>
        <w:pStyle w:val="a7"/>
        <w:spacing w:after="0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В порівнянні з минулорічним показником доходи спеціального (без урахування трансфертів) зросли на 19,4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Бюджет розвитку поповнився на 11,8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в тому числі за рахунок коштів від відчуження майна комунальної власності на 4,7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від продажу землі – на 4,3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та коштів пайової участі у розвитку інфраструктури міста – на 2,7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</w:t>
      </w:r>
    </w:p>
    <w:p w:rsidR="00372156" w:rsidRPr="003D52CA" w:rsidRDefault="00372156" w:rsidP="00BC5B1C">
      <w:pPr>
        <w:pStyle w:val="2"/>
        <w:spacing w:after="0" w:line="240" w:lineRule="auto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За звітний період до загального фонду бюджету міста надійшло офіційних трансфертів на загальну суму 2 086,8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в тому числі:</w:t>
      </w:r>
    </w:p>
    <w:p w:rsidR="00372156" w:rsidRPr="003D52CA" w:rsidRDefault="00372156" w:rsidP="00BC5B1C">
      <w:pPr>
        <w:pStyle w:val="2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lastRenderedPageBreak/>
        <w:t>субвенцій соціального характеру (надання державної допомоги сім’ям з дітьми, малозабезпеченим сім’ям, пільг на оплату комунальних послуг та енергоносіїв, житлових субсидій) – 1 291,2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.;</w:t>
      </w:r>
    </w:p>
    <w:p w:rsidR="00372156" w:rsidRPr="003D52CA" w:rsidRDefault="00372156" w:rsidP="00BC5B1C">
      <w:pPr>
        <w:pStyle w:val="2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освітньої субвенції – 392,0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.;</w:t>
      </w:r>
    </w:p>
    <w:p w:rsidR="00372156" w:rsidRPr="003D52CA" w:rsidRDefault="00372156" w:rsidP="00BC5B1C">
      <w:pPr>
        <w:pStyle w:val="2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медичної субвенції – 355,1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.;</w:t>
      </w:r>
    </w:p>
    <w:p w:rsidR="00372156" w:rsidRPr="003D52CA" w:rsidRDefault="00372156" w:rsidP="00BC5B1C">
      <w:pPr>
        <w:pStyle w:val="2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субвенцій на виконання окремих заходів та державних програм у сфері освіти та охорони здоров’я – 39,0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.;</w:t>
      </w:r>
    </w:p>
    <w:p w:rsidR="00372156" w:rsidRPr="003D52CA" w:rsidRDefault="00372156" w:rsidP="00BC5B1C">
      <w:pPr>
        <w:pStyle w:val="2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додаткової дотації на компенсацію втрат доходів місцевих бюджетів внаслідок наданих державою податкових пільг зі сплати земельного податку суб’єктам космічної діяльності та літакобудування – 5,9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.;</w:t>
      </w:r>
    </w:p>
    <w:p w:rsidR="00372156" w:rsidRPr="003D52CA" w:rsidRDefault="00372156" w:rsidP="00BC5B1C">
      <w:pPr>
        <w:pStyle w:val="2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іншої субвенції з обласного бюджету – 2,6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 xml:space="preserve">.; </w:t>
      </w:r>
    </w:p>
    <w:p w:rsidR="00372156" w:rsidRPr="003D52CA" w:rsidRDefault="00372156" w:rsidP="00BC5B1C">
      <w:pPr>
        <w:pStyle w:val="2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субвенції на виплату грошової компенсації для отримання житла та поліпшення житлових умов для сімей загиблих осіб, визначених законодавством – 1,0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</w:t>
      </w:r>
    </w:p>
    <w:p w:rsidR="00372156" w:rsidRPr="003D52CA" w:rsidRDefault="00372156" w:rsidP="00324FD8">
      <w:pPr>
        <w:pStyle w:val="a5"/>
        <w:ind w:left="1069"/>
        <w:rPr>
          <w:b/>
          <w:bCs/>
          <w:sz w:val="27"/>
          <w:szCs w:val="27"/>
        </w:rPr>
      </w:pPr>
    </w:p>
    <w:p w:rsidR="00372156" w:rsidRPr="003D52CA" w:rsidRDefault="00372156" w:rsidP="00F670BB">
      <w:pPr>
        <w:pStyle w:val="a5"/>
        <w:ind w:firstLine="708"/>
        <w:jc w:val="center"/>
        <w:rPr>
          <w:b/>
          <w:bCs/>
          <w:sz w:val="27"/>
          <w:szCs w:val="27"/>
        </w:rPr>
      </w:pPr>
      <w:r w:rsidRPr="003D52CA">
        <w:rPr>
          <w:b/>
          <w:bCs/>
          <w:sz w:val="27"/>
          <w:szCs w:val="27"/>
        </w:rPr>
        <w:t>Видатки</w:t>
      </w:r>
    </w:p>
    <w:p w:rsidR="00372156" w:rsidRPr="003D52CA" w:rsidRDefault="00372156" w:rsidP="00612A5A">
      <w:pPr>
        <w:ind w:firstLine="708"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Видатки бюджету міста проведено в обсязі 4 525,3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в тому числі по загальному фонду – 4 045,6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або 96,6% планових показників на відповідний період, по спеціальному фонду – 479,7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з яких видатки бюджету розвитку – 364,7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що становить 73,7% планових показників на відповідний період. До державного бюджету перераховано реверсної дотації в сумі 175,7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що дорівнює плановим показникам.</w:t>
      </w:r>
    </w:p>
    <w:p w:rsidR="00372156" w:rsidRPr="003D52CA" w:rsidRDefault="00372156" w:rsidP="00CC7BC9">
      <w:pPr>
        <w:ind w:firstLine="708"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Майже 80,0% загального обсягу витрат склали захищені статті видатків, на які спрямовано 3 556,7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 xml:space="preserve">. Виплата заробітної плати здійснювалась своєчасно та в повному обсязі, заборгованість перед працівниками бюджетних установ відсутня. </w:t>
      </w:r>
    </w:p>
    <w:p w:rsidR="00372156" w:rsidRPr="00324FD8" w:rsidRDefault="00372156" w:rsidP="00CC7BC9">
      <w:pPr>
        <w:ind w:firstLine="708"/>
        <w:jc w:val="both"/>
        <w:rPr>
          <w:sz w:val="20"/>
          <w:szCs w:val="20"/>
          <w:lang w:val="uk-UA"/>
        </w:rPr>
      </w:pPr>
    </w:p>
    <w:p w:rsidR="00372156" w:rsidRPr="00E4140C" w:rsidRDefault="00372156" w:rsidP="00DC719A">
      <w:pPr>
        <w:ind w:firstLine="709"/>
        <w:jc w:val="center"/>
        <w:rPr>
          <w:i/>
          <w:sz w:val="28"/>
          <w:szCs w:val="28"/>
          <w:lang w:val="uk-UA"/>
        </w:rPr>
      </w:pPr>
      <w:r w:rsidRPr="00E4140C">
        <w:rPr>
          <w:i/>
          <w:sz w:val="28"/>
          <w:szCs w:val="28"/>
          <w:lang w:val="uk-UA"/>
        </w:rPr>
        <w:t xml:space="preserve">Порівняльний аналіз витрат по захищених статтях видатків за І півріччя 2018 року та </w:t>
      </w:r>
      <w:r w:rsidRPr="00E4140C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uk-UA"/>
        </w:rPr>
        <w:t xml:space="preserve"> </w:t>
      </w:r>
      <w:r w:rsidRPr="00E4140C">
        <w:rPr>
          <w:i/>
          <w:sz w:val="28"/>
          <w:szCs w:val="28"/>
          <w:lang w:val="uk-UA"/>
        </w:rPr>
        <w:t>півріччя 2017 року</w:t>
      </w:r>
    </w:p>
    <w:p w:rsidR="00372156" w:rsidRDefault="006F0528" w:rsidP="00E4140C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81725" cy="3343275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2156" w:rsidRPr="003D52CA" w:rsidRDefault="00372156" w:rsidP="00CC7BC9">
      <w:pPr>
        <w:ind w:firstLine="708"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 xml:space="preserve">У порівнянні з аналогічним періодом минулого року зростання видатків по захищених статтях склало 128,1%, що </w:t>
      </w:r>
      <w:proofErr w:type="spellStart"/>
      <w:r w:rsidRPr="003D52CA">
        <w:rPr>
          <w:sz w:val="27"/>
          <w:szCs w:val="27"/>
          <w:lang w:val="uk-UA"/>
        </w:rPr>
        <w:t>пов</w:t>
      </w:r>
      <w:proofErr w:type="spellEnd"/>
      <w:r w:rsidRPr="003D52CA">
        <w:rPr>
          <w:sz w:val="27"/>
          <w:szCs w:val="27"/>
        </w:rPr>
        <w:t>’</w:t>
      </w:r>
      <w:proofErr w:type="spellStart"/>
      <w:r w:rsidRPr="003D52CA">
        <w:rPr>
          <w:sz w:val="27"/>
          <w:szCs w:val="27"/>
          <w:lang w:val="uk-UA"/>
        </w:rPr>
        <w:t>язано</w:t>
      </w:r>
      <w:proofErr w:type="spellEnd"/>
      <w:r w:rsidRPr="003D52CA">
        <w:rPr>
          <w:sz w:val="27"/>
          <w:szCs w:val="27"/>
          <w:lang w:val="uk-UA"/>
        </w:rPr>
        <w:t xml:space="preserve"> зі зростанням соціальних </w:t>
      </w:r>
      <w:r w:rsidRPr="003D52CA">
        <w:rPr>
          <w:sz w:val="27"/>
          <w:szCs w:val="27"/>
          <w:lang w:val="uk-UA"/>
        </w:rPr>
        <w:lastRenderedPageBreak/>
        <w:t>стандартів, цін та тарифів на енергоносії. При цьому, при загальному прирості видатків на заробітну плату з нарахуваннями на 18,1%, приріст видатків за рахунок відповідних субвенцій з державного бюджету склав 5,5%, а за рахунок коштів бюджету міста – 31,4%.</w:t>
      </w:r>
    </w:p>
    <w:p w:rsidR="00372156" w:rsidRPr="003D52CA" w:rsidRDefault="00372156" w:rsidP="00CC7BC9">
      <w:pPr>
        <w:ind w:firstLine="708"/>
        <w:jc w:val="both"/>
        <w:rPr>
          <w:sz w:val="27"/>
          <w:szCs w:val="27"/>
          <w:lang w:val="uk-UA"/>
        </w:rPr>
      </w:pPr>
    </w:p>
    <w:p w:rsidR="00372156" w:rsidRPr="00E4140C" w:rsidRDefault="00372156" w:rsidP="00612A5A">
      <w:pPr>
        <w:ind w:firstLine="709"/>
        <w:jc w:val="center"/>
        <w:rPr>
          <w:i/>
          <w:sz w:val="28"/>
          <w:szCs w:val="28"/>
          <w:lang w:val="uk-UA"/>
        </w:rPr>
      </w:pPr>
      <w:r w:rsidRPr="00E4140C">
        <w:rPr>
          <w:i/>
          <w:sz w:val="28"/>
          <w:szCs w:val="28"/>
          <w:lang w:val="uk-UA"/>
        </w:rPr>
        <w:t xml:space="preserve">Структура видатків бюджету міста за функціональною ознакою </w:t>
      </w:r>
    </w:p>
    <w:p w:rsidR="00372156" w:rsidRPr="00E4140C" w:rsidRDefault="00372156" w:rsidP="00612A5A">
      <w:pPr>
        <w:ind w:firstLine="709"/>
        <w:jc w:val="center"/>
        <w:rPr>
          <w:i/>
          <w:sz w:val="28"/>
          <w:szCs w:val="28"/>
          <w:lang w:val="uk-UA"/>
        </w:rPr>
      </w:pPr>
      <w:r w:rsidRPr="00E4140C">
        <w:rPr>
          <w:i/>
          <w:sz w:val="28"/>
          <w:szCs w:val="28"/>
          <w:lang w:val="uk-UA"/>
        </w:rPr>
        <w:t>за І півріччя 2018 року</w:t>
      </w:r>
    </w:p>
    <w:p w:rsidR="00372156" w:rsidRPr="00C901DE" w:rsidRDefault="006F0528" w:rsidP="005E396A">
      <w:pPr>
        <w:jc w:val="center"/>
        <w:rPr>
          <w:b/>
          <w:i/>
          <w:sz w:val="16"/>
          <w:szCs w:val="16"/>
          <w:lang w:val="uk-UA"/>
        </w:rPr>
      </w:pPr>
      <w:r>
        <w:rPr>
          <w:b/>
          <w:i/>
          <w:noProof/>
          <w:sz w:val="16"/>
          <w:szCs w:val="16"/>
        </w:rPr>
        <w:drawing>
          <wp:inline distT="0" distB="0" distL="0" distR="0">
            <wp:extent cx="6153150" cy="319087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2156" w:rsidRPr="00A26031" w:rsidRDefault="00372156" w:rsidP="00B625FA">
      <w:pPr>
        <w:ind w:firstLine="708"/>
        <w:jc w:val="both"/>
        <w:rPr>
          <w:sz w:val="20"/>
          <w:szCs w:val="20"/>
          <w:lang w:val="uk-UA"/>
        </w:rPr>
      </w:pPr>
    </w:p>
    <w:p w:rsidR="00372156" w:rsidRPr="003D52CA" w:rsidRDefault="00372156" w:rsidP="00A92660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На забезпечення функціонування та розвиток установ соціально-культурної сфери спрямовано 2 084,4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що становить 46,1% загального обсягу витрат бюджету міста, в тому числі на освіту – 1 308,4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(за рахунок освітньої субвенції з державного бюджету – 434,0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.), охорону здоров'я – 666,8</w:t>
      </w:r>
      <w:r w:rsidRPr="003D52CA">
        <w:rPr>
          <w:sz w:val="27"/>
          <w:szCs w:val="27"/>
        </w:rPr>
        <w:t>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(за рахунок медичної та інших цільових субвенцій з державного бюджету – 361,6 </w:t>
      </w:r>
      <w:proofErr w:type="spellStart"/>
      <w:r w:rsidRPr="003D52CA">
        <w:rPr>
          <w:sz w:val="27"/>
          <w:szCs w:val="27"/>
          <w:lang w:val="uk-UA"/>
        </w:rPr>
        <w:t>тис.грн</w:t>
      </w:r>
      <w:proofErr w:type="spellEnd"/>
      <w:r w:rsidRPr="003D52CA">
        <w:rPr>
          <w:sz w:val="27"/>
          <w:szCs w:val="27"/>
          <w:lang w:val="uk-UA"/>
        </w:rPr>
        <w:t>.), культуру –36,5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фізичну культуру і спорт – 47,4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установи соціального захисту – 25,3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</w:t>
      </w:r>
    </w:p>
    <w:p w:rsidR="00372156" w:rsidRPr="003D52CA" w:rsidRDefault="00372156" w:rsidP="00A92660">
      <w:pPr>
        <w:pStyle w:val="justifyfull"/>
        <w:spacing w:before="0" w:beforeAutospacing="0" w:after="0" w:afterAutospacing="0"/>
        <w:ind w:firstLine="709"/>
        <w:contextualSpacing/>
        <w:jc w:val="both"/>
        <w:rPr>
          <w:i/>
          <w:sz w:val="27"/>
          <w:szCs w:val="27"/>
          <w:lang w:val="uk-UA"/>
        </w:rPr>
      </w:pPr>
      <w:r w:rsidRPr="003D52CA">
        <w:rPr>
          <w:i/>
          <w:sz w:val="27"/>
          <w:szCs w:val="27"/>
          <w:lang w:val="uk-UA"/>
        </w:rPr>
        <w:t>У сфері освіти за звітний період забезпечено:</w:t>
      </w:r>
    </w:p>
    <w:p w:rsidR="00372156" w:rsidRPr="003D52CA" w:rsidRDefault="00372156" w:rsidP="00F31E5B">
      <w:pPr>
        <w:pStyle w:val="af1"/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7"/>
          <w:szCs w:val="27"/>
          <w:lang w:val="uk-UA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Безкоштовне харчування більш як 26 тисяч учнів 1-4 класів, на що витрачено 18,6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</w:t>
      </w:r>
    </w:p>
    <w:p w:rsidR="00372156" w:rsidRPr="003D52CA" w:rsidRDefault="00372156" w:rsidP="00A92660">
      <w:pPr>
        <w:pStyle w:val="justifyfull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 xml:space="preserve">Придбано комплекти пристроїв для проведення зовнішнього незалежного оцінювання для восьми загальноосвітніх шкіл, обладнання для облаштування </w:t>
      </w:r>
      <w:proofErr w:type="spellStart"/>
      <w:r w:rsidRPr="003D52CA">
        <w:rPr>
          <w:sz w:val="27"/>
          <w:szCs w:val="27"/>
          <w:lang w:val="uk-UA"/>
        </w:rPr>
        <w:t>медіатеки</w:t>
      </w:r>
      <w:proofErr w:type="spellEnd"/>
      <w:r w:rsidRPr="003D52CA">
        <w:rPr>
          <w:sz w:val="27"/>
          <w:szCs w:val="27"/>
          <w:lang w:val="uk-UA"/>
        </w:rPr>
        <w:t xml:space="preserve"> ЗОШ №97 тощо на суму 2,2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</w:t>
      </w:r>
    </w:p>
    <w:p w:rsidR="00372156" w:rsidRDefault="00372156" w:rsidP="00A92660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Проведено поточних ремонтів на суму 2,1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., з яких ремонти приміщень та інженерних мереж – 1,4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 (24 заклади), покрівель – 0,5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 (7 закладів). Профінансовані роботи з капітального ремонту на суму 3,5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., будівництва і реконструкції – 2,8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., проводились розпочаті у минулих роках роботи з капітального ремонту (дитячі садки №№1, 217 та інші), реконструкції (дитячі садки №№144, 220, гімназія №28, ЗБПЛ «Перспектива», Міський палац дитячої та юнацької творчості) тощо. Завершені роботи з капітального ремонту елементів благоустрою Запорізького ліцею</w:t>
      </w:r>
      <w:r w:rsidRPr="003D52CA">
        <w:rPr>
          <w:sz w:val="27"/>
          <w:szCs w:val="27"/>
          <w:lang w:val="uk-UA"/>
        </w:rPr>
        <w:t xml:space="preserve"> </w:t>
      </w:r>
      <w:r w:rsidRPr="003D52CA">
        <w:rPr>
          <w:rFonts w:ascii="Times New Roman" w:hAnsi="Times New Roman"/>
          <w:sz w:val="27"/>
          <w:szCs w:val="27"/>
          <w:lang w:val="uk-UA" w:eastAsia="ru-RU"/>
        </w:rPr>
        <w:t>«Логос», виконані проекти на ремонт огорожі ЗОШ №33 та ремонт спортивного залу ЗЗШ №65.</w:t>
      </w:r>
    </w:p>
    <w:p w:rsidR="00372156" w:rsidRPr="003D52CA" w:rsidRDefault="00372156" w:rsidP="003D52CA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72156" w:rsidRPr="003D52CA" w:rsidRDefault="00372156" w:rsidP="00A92660">
      <w:pPr>
        <w:ind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i/>
          <w:sz w:val="27"/>
          <w:szCs w:val="27"/>
          <w:lang w:val="uk-UA"/>
        </w:rPr>
        <w:lastRenderedPageBreak/>
        <w:t>У сфері охорони здоров</w:t>
      </w:r>
      <w:r w:rsidRPr="003D52CA">
        <w:rPr>
          <w:i/>
          <w:sz w:val="27"/>
          <w:szCs w:val="27"/>
        </w:rPr>
        <w:t xml:space="preserve">’я </w:t>
      </w:r>
      <w:r w:rsidRPr="003D52CA">
        <w:rPr>
          <w:i/>
          <w:sz w:val="27"/>
          <w:szCs w:val="27"/>
          <w:lang w:val="uk-UA"/>
        </w:rPr>
        <w:t>за звітний період забезпечено:</w:t>
      </w:r>
    </w:p>
    <w:p w:rsidR="00372156" w:rsidRPr="003D52CA" w:rsidRDefault="00372156" w:rsidP="00A92660">
      <w:pPr>
        <w:pStyle w:val="af1"/>
        <w:numPr>
          <w:ilvl w:val="0"/>
          <w:numId w:val="23"/>
        </w:numPr>
        <w:spacing w:line="240" w:lineRule="auto"/>
        <w:ind w:left="0" w:firstLine="709"/>
        <w:jc w:val="both"/>
        <w:rPr>
          <w:sz w:val="27"/>
          <w:szCs w:val="27"/>
          <w:lang w:val="uk-UA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За програмою «Доступні ліки» за рахунок відповідної субвенції з державного бюджету відшкодовано вартість лікарських засобів для осіб, що страждають на серцево-судинні захворювання, цукровий діабет II типу, бронхіальну астму на загальну суму 8,7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 (понад 120,0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тис.рецептів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). 3 967 хворих на цукровий діабет </w:t>
      </w:r>
      <w:r w:rsidRPr="003D52CA">
        <w:rPr>
          <w:rFonts w:ascii="Times New Roman" w:hAnsi="Times New Roman"/>
          <w:sz w:val="27"/>
          <w:szCs w:val="27"/>
          <w:lang w:val="en-US" w:eastAsia="ru-RU"/>
        </w:rPr>
        <w:t>I</w:t>
      </w:r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типу забезпечені інсулінами, на що витрачено 8,6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., з яких за рахунок коштів бюджету міста – 2,5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</w:t>
      </w:r>
    </w:p>
    <w:p w:rsidR="00372156" w:rsidRPr="003D52CA" w:rsidRDefault="00372156" w:rsidP="00F31E5B">
      <w:pPr>
        <w:pStyle w:val="af1"/>
        <w:numPr>
          <w:ilvl w:val="0"/>
          <w:numId w:val="23"/>
        </w:numPr>
        <w:spacing w:line="240" w:lineRule="auto"/>
        <w:ind w:left="0" w:firstLine="709"/>
        <w:jc w:val="both"/>
        <w:rPr>
          <w:sz w:val="27"/>
          <w:szCs w:val="27"/>
          <w:lang w:val="uk-UA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Майже одна тисяча мешканців міста з числа інвалідів з ураженням опорно-рухового апарату та центральної і периферичної нервової системи та інших виробами медичного призначення загальну суму 6,6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 Зубопротезуванням на пільгових умовах охоплено 514 осіб пільгових категорій (інваліди війни, учасники бойових дій та ін.).</w:t>
      </w:r>
    </w:p>
    <w:p w:rsidR="00372156" w:rsidRPr="003D52CA" w:rsidRDefault="00372156" w:rsidP="00A92660">
      <w:pPr>
        <w:pStyle w:val="af1"/>
        <w:numPr>
          <w:ilvl w:val="0"/>
          <w:numId w:val="23"/>
        </w:numPr>
        <w:spacing w:line="240" w:lineRule="auto"/>
        <w:ind w:left="0" w:firstLine="708"/>
        <w:jc w:val="both"/>
        <w:rPr>
          <w:sz w:val="27"/>
          <w:szCs w:val="27"/>
          <w:lang w:val="uk-UA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Придбано медичного обладнання на загальну суму 7,7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., в тому числі 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відеоендоскопічний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комплекс для 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малоінвазивних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операцій в урології вартістю 5,1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</w:t>
      </w:r>
    </w:p>
    <w:p w:rsidR="00372156" w:rsidRPr="003D52CA" w:rsidRDefault="00372156" w:rsidP="007A45FA">
      <w:pPr>
        <w:pStyle w:val="af1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Тривали роботи з капітального ремонту у 8-ми та робіт з реконструкції у 6-ти лікувально-профілактичних закладах, з яких завершені роботи з капітального ремонту приміщень амбулаторій 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КЗ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"Центр первинної медико-санітарної допомоги №9", реконструкції 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КЗ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"Амбулаторія сімейного лікаря з вбудованою квартирою у селищі Тепличне в Шевченківському районі". У 7-ми закладах проводились коригування проектної документації та експертиза проектів.</w:t>
      </w:r>
    </w:p>
    <w:p w:rsidR="00372156" w:rsidRPr="003D52CA" w:rsidRDefault="00372156" w:rsidP="007A45FA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851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На реалізацію державних та міських програм соціального захисту спрямовано 1 383,1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 або 93,9% до плану на звітний період, з яких за рахунок відповідних субвенцій з державного бюджету на оплату наданих житлових субсидій та пільг, допомоги сім’ям з дітьми та іншим соціально-незахищеним верстам населення – 1 279,2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</w:t>
      </w:r>
    </w:p>
    <w:p w:rsidR="00372156" w:rsidRPr="003D52CA" w:rsidRDefault="00372156" w:rsidP="00D644F7">
      <w:pPr>
        <w:pStyle w:val="justifyfull"/>
        <w:spacing w:before="0" w:beforeAutospacing="0" w:after="0" w:afterAutospacing="0"/>
        <w:ind w:firstLine="851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 xml:space="preserve">Для підвищення рівня соціального захисту малозабезпечених мешканців міста, а саме: дітей, осіб з інвалідністю, пенсіонерів, ветеранів та інших категорій громадян, за рахунок коштів бюджету міста в рамках реалізації Міської комплексної програми соціального захисту населення міста Запоріжжя забезпечено перевезення пільгових категорій громадян всіма видами транспорту (авто, </w:t>
      </w:r>
      <w:proofErr w:type="spellStart"/>
      <w:r w:rsidRPr="003D52CA">
        <w:rPr>
          <w:sz w:val="27"/>
          <w:szCs w:val="27"/>
          <w:lang w:val="uk-UA"/>
        </w:rPr>
        <w:t>електро</w:t>
      </w:r>
      <w:proofErr w:type="spellEnd"/>
      <w:r w:rsidRPr="003D52CA">
        <w:rPr>
          <w:sz w:val="27"/>
          <w:szCs w:val="27"/>
          <w:lang w:val="uk-UA"/>
        </w:rPr>
        <w:t>, водному та залізничному) - 65,1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>., надання пільг на оплату послуги з управління багатоквартирним будинком – 6,1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 xml:space="preserve">. та матеріальної допомоги різним категоріям громадян, які опинилися в скрутному життєвому становищі, в т.ч. за рахунок коштів депутатського фонду – 23,8 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 xml:space="preserve">. та інші заходи. </w:t>
      </w:r>
    </w:p>
    <w:p w:rsidR="00372156" w:rsidRPr="003D52CA" w:rsidRDefault="00372156" w:rsidP="006C43C4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Видатки на житлово-комунальне та дорожнє господарство склали 453,8 </w:t>
      </w:r>
      <w:proofErr w:type="spellStart"/>
      <w:r w:rsidRPr="003D52CA">
        <w:rPr>
          <w:sz w:val="27"/>
          <w:szCs w:val="27"/>
          <w:lang w:val="uk-UA"/>
        </w:rPr>
        <w:t>млн.грн</w:t>
      </w:r>
      <w:proofErr w:type="spellEnd"/>
      <w:r w:rsidRPr="003D52CA">
        <w:rPr>
          <w:sz w:val="27"/>
          <w:szCs w:val="27"/>
          <w:lang w:val="uk-UA"/>
        </w:rPr>
        <w:t xml:space="preserve">., планові показники відповідного періоду виконані на 86,9%. </w:t>
      </w:r>
    </w:p>
    <w:p w:rsidR="00372156" w:rsidRPr="003D52CA" w:rsidRDefault="00372156" w:rsidP="00A92660">
      <w:pPr>
        <w:pStyle w:val="justifyfull"/>
        <w:spacing w:before="0" w:beforeAutospacing="0" w:after="0" w:afterAutospacing="0"/>
        <w:ind w:firstLine="708"/>
        <w:contextualSpacing/>
        <w:jc w:val="both"/>
        <w:rPr>
          <w:i/>
          <w:sz w:val="27"/>
          <w:szCs w:val="27"/>
          <w:lang w:val="uk-UA"/>
        </w:rPr>
      </w:pPr>
      <w:r w:rsidRPr="003D52CA">
        <w:rPr>
          <w:i/>
          <w:sz w:val="27"/>
          <w:szCs w:val="27"/>
          <w:lang w:val="uk-UA"/>
        </w:rPr>
        <w:t>У сфері житлово-комунального господарства за рахунок зазначених коштів:</w:t>
      </w:r>
    </w:p>
    <w:p w:rsidR="00372156" w:rsidRPr="003D52CA" w:rsidRDefault="00372156" w:rsidP="00D644F7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Проведено капітальний ремонт житлового фонду комунальної власності міста та об’єднань співвласників багатоквартирних будинків на суму 106,8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 Завершено вибірковий капітальний ремонт 13-ти будинків, проведено заміну 20,3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тис.п.м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інженерних мереж, виконано роботи з капітального ремонту 30,5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тис.кв.м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покрівлі, заміну 19-ти ліфтів, модернізацію 35-ти ліфтів, малий капітальний ремонт 8-ми ліфтів, розпочато капітальний ремонт 40 будинків ОСББ та ін.</w:t>
      </w:r>
    </w:p>
    <w:p w:rsidR="00372156" w:rsidRPr="003D52CA" w:rsidRDefault="00372156" w:rsidP="00D644F7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lastRenderedPageBreak/>
        <w:t>Надано фінансову підтримку комунальним підприємствам галузі та здійснено внески у статутні капітали на суму 85,0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</w:t>
      </w:r>
    </w:p>
    <w:p w:rsidR="00372156" w:rsidRPr="003D52CA" w:rsidRDefault="00372156" w:rsidP="00D644F7">
      <w:pPr>
        <w:pStyle w:val="af1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На функціонування Муніципальної аварійної служби, служби технічного обслуговування систем диспетчеризації ліфтів, Контакт-Центру «15-80» спрямовано кошти у розмірі</w:t>
      </w:r>
      <w:r w:rsidRPr="003D52CA">
        <w:rPr>
          <w:rFonts w:ascii="Times New Roman" w:hAnsi="Times New Roman"/>
          <w:sz w:val="27"/>
          <w:szCs w:val="27"/>
          <w:lang w:val="uk-UA"/>
        </w:rPr>
        <w:t xml:space="preserve"> 37,9 </w:t>
      </w:r>
      <w:proofErr w:type="spellStart"/>
      <w:r w:rsidRPr="003D52CA">
        <w:rPr>
          <w:rFonts w:ascii="Times New Roman" w:hAnsi="Times New Roman"/>
          <w:sz w:val="27"/>
          <w:szCs w:val="27"/>
          <w:lang w:val="uk-UA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372156" w:rsidRPr="003D52CA" w:rsidRDefault="00372156" w:rsidP="00A92660">
      <w:pPr>
        <w:pStyle w:val="af1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Забезпечено ефективну експлуатацію об’єктів житлово-комунального господарства на суму 23,2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. Також, виконані роботи з відновлення асфальтного покриття прибудинкових територій та 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внутрішньоквартальних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проїздів на площі 58,5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тис.кв.м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 на загальну суму 13,0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 Роботи з поточного ремонту тривають.</w:t>
      </w:r>
    </w:p>
    <w:p w:rsidR="00372156" w:rsidRPr="003D52CA" w:rsidRDefault="00372156" w:rsidP="00A92660">
      <w:pPr>
        <w:pStyle w:val="af1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Проведено реконструкцію та будівництво об’єктів житлового фонду, 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водо-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, теплопостачання на суму 4,3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 Завершено реконструкцію нежитлових приміщень під житлові по пр. Інженера Преображенського, 3, на 11-ти об’єктах житлового господарства тривають проектно-вишукувальні роботи, розпочато роботу з проектування будівництва диспетчерських систем зв’язку типу GSM для ліфтового господарства.</w:t>
      </w:r>
    </w:p>
    <w:p w:rsidR="00372156" w:rsidRPr="003D52CA" w:rsidRDefault="00372156" w:rsidP="00A92660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Відшкодовано відсоткові ставки за залученими в кредитно-фінансових установах короткостроковими кредитами на впровадження енергозберігаючих та 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енергоефективних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проектів 114 будинкам ОСББ та ЖБК (0,7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.) </w:t>
      </w:r>
    </w:p>
    <w:p w:rsidR="00372156" w:rsidRPr="003D52CA" w:rsidRDefault="00372156" w:rsidP="00A926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Загалом на реалізацію зазначених заходів спрямовано кошти у розмірі 257,9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</w:t>
      </w:r>
    </w:p>
    <w:p w:rsidR="00372156" w:rsidRPr="003D52CA" w:rsidRDefault="00372156" w:rsidP="00A92660">
      <w:pPr>
        <w:pStyle w:val="justifyfull"/>
        <w:spacing w:before="0" w:beforeAutospacing="0" w:after="0" w:afterAutospacing="0"/>
        <w:ind w:firstLine="708"/>
        <w:contextualSpacing/>
        <w:jc w:val="both"/>
        <w:rPr>
          <w:i/>
          <w:sz w:val="27"/>
          <w:szCs w:val="27"/>
          <w:lang w:val="uk-UA"/>
        </w:rPr>
      </w:pPr>
      <w:r w:rsidRPr="003D52CA">
        <w:rPr>
          <w:i/>
          <w:sz w:val="27"/>
          <w:szCs w:val="27"/>
          <w:lang w:val="uk-UA"/>
        </w:rPr>
        <w:t>У сфері міської інфраструктури та благоустрою:</w:t>
      </w:r>
    </w:p>
    <w:p w:rsidR="00372156" w:rsidRPr="003D52CA" w:rsidRDefault="00372156" w:rsidP="00746B2A">
      <w:pPr>
        <w:pStyle w:val="af1"/>
        <w:numPr>
          <w:ilvl w:val="0"/>
          <w:numId w:val="2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Проведено роботи, пов’язані із ремонтом та утриманням автомобільних доріг міста на загальну суму 99,1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., з яких: на утримання і експлуатацію доріг та мостів – 49,5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., поточний ремонт доріг та тротуарів - 30,2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., реконструкцію та капітальний ремонт доріг - 19,4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</w:t>
      </w:r>
    </w:p>
    <w:p w:rsidR="00372156" w:rsidRPr="003D52CA" w:rsidRDefault="00372156" w:rsidP="00A92660">
      <w:pPr>
        <w:pStyle w:val="af1"/>
        <w:numPr>
          <w:ilvl w:val="0"/>
          <w:numId w:val="2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Проведено заходи з благоустрою міста на суму 73,6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. Забезпечено зовнішнє освітлення міста та утримання 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світлоточок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(29,9 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.), догляд за зеленими насадженнями (22,0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.), утримання парків, пляжів, фонтанів, громадських вбиралень та поточний ремонт їх елементів (8,0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.), утримання кладовищ та перевезення експертних трупів (3,7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.), утримання, енергопостачання, поточний ремонт засобів регулювання дорожнього руху, нанесення дорожньої розмітки (3,6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.), ліквідацію стихійних звалищ та збирання твердих побутових відходів на території районів міста (1,8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.), капітальний ремонт тротуару (1,1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.) та ін.</w:t>
      </w:r>
    </w:p>
    <w:p w:rsidR="00372156" w:rsidRPr="003D52CA" w:rsidRDefault="00372156" w:rsidP="00A92660">
      <w:pPr>
        <w:pStyle w:val="af1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Проведено будівництво та реконструкцію об’єктів комунального господарства – 21,7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., а саме: мереж зовнішнього освітлення (5,3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.), скверів, парків, майданів та площ міста, пляжів (14,4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.), зливової каналізації, вулиць, тротуарів, 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водопропусків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 xml:space="preserve"> та мостових переходів (1,2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.) тощо.</w:t>
      </w:r>
    </w:p>
    <w:p w:rsidR="00372156" w:rsidRPr="003D52CA" w:rsidRDefault="00372156" w:rsidP="00A92660">
      <w:pPr>
        <w:pStyle w:val="af1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Придбано спеціалізовану комунальну техніку – 0,4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., інші заходи – 1,1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</w:t>
      </w:r>
    </w:p>
    <w:p w:rsidR="00372156" w:rsidRPr="003D52CA" w:rsidRDefault="00372156" w:rsidP="00A926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D52CA">
        <w:rPr>
          <w:rFonts w:ascii="Times New Roman" w:hAnsi="Times New Roman"/>
          <w:sz w:val="27"/>
          <w:szCs w:val="27"/>
          <w:lang w:val="uk-UA" w:eastAsia="ru-RU"/>
        </w:rPr>
        <w:t>Загалом на заходи з утримання і розвитку міської інфраструктури спрямовано 195,9 </w:t>
      </w:r>
      <w:proofErr w:type="spellStart"/>
      <w:r w:rsidRPr="003D52CA">
        <w:rPr>
          <w:rFonts w:ascii="Times New Roman" w:hAnsi="Times New Roman"/>
          <w:sz w:val="27"/>
          <w:szCs w:val="27"/>
          <w:lang w:val="uk-UA" w:eastAsia="ru-RU"/>
        </w:rPr>
        <w:t>млн.грн</w:t>
      </w:r>
      <w:proofErr w:type="spellEnd"/>
      <w:r w:rsidRPr="003D52CA">
        <w:rPr>
          <w:rFonts w:ascii="Times New Roman" w:hAnsi="Times New Roman"/>
          <w:sz w:val="27"/>
          <w:szCs w:val="27"/>
          <w:lang w:val="uk-UA" w:eastAsia="ru-RU"/>
        </w:rPr>
        <w:t>.</w:t>
      </w:r>
    </w:p>
    <w:p w:rsidR="00372156" w:rsidRDefault="00372156" w:rsidP="00A92660">
      <w:pPr>
        <w:pStyle w:val="213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>На розвиток та функціонування транспортної галузі профінансовано 214,4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 (89,7% планових призначень).</w:t>
      </w:r>
    </w:p>
    <w:p w:rsidR="00372156" w:rsidRDefault="00372156" w:rsidP="003D52CA">
      <w:pPr>
        <w:pStyle w:val="213"/>
        <w:spacing w:after="0" w:line="240" w:lineRule="auto"/>
        <w:contextualSpacing/>
        <w:jc w:val="both"/>
        <w:rPr>
          <w:sz w:val="27"/>
          <w:szCs w:val="27"/>
        </w:rPr>
      </w:pPr>
    </w:p>
    <w:p w:rsidR="00372156" w:rsidRPr="003D52CA" w:rsidRDefault="00372156" w:rsidP="003D52CA">
      <w:pPr>
        <w:pStyle w:val="213"/>
        <w:spacing w:after="0" w:line="240" w:lineRule="auto"/>
        <w:contextualSpacing/>
        <w:jc w:val="both"/>
        <w:rPr>
          <w:sz w:val="27"/>
          <w:szCs w:val="27"/>
        </w:rPr>
      </w:pPr>
    </w:p>
    <w:p w:rsidR="00372156" w:rsidRPr="003D52CA" w:rsidRDefault="00372156" w:rsidP="00A92660">
      <w:pPr>
        <w:pStyle w:val="213"/>
        <w:spacing w:after="0" w:line="240" w:lineRule="auto"/>
        <w:ind w:left="709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lastRenderedPageBreak/>
        <w:t>За рахунок зазначених коштів:</w:t>
      </w:r>
    </w:p>
    <w:p w:rsidR="00372156" w:rsidRPr="003D52CA" w:rsidRDefault="00372156" w:rsidP="00A92660">
      <w:pPr>
        <w:pStyle w:val="213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>надано фінансову підтримку ЗКПМЕТ «</w:t>
      </w:r>
      <w:proofErr w:type="spellStart"/>
      <w:r w:rsidRPr="003D52CA">
        <w:rPr>
          <w:sz w:val="27"/>
          <w:szCs w:val="27"/>
        </w:rPr>
        <w:t>Запоріжелектротранс</w:t>
      </w:r>
      <w:proofErr w:type="spellEnd"/>
      <w:r w:rsidRPr="003D52CA">
        <w:rPr>
          <w:sz w:val="27"/>
          <w:szCs w:val="27"/>
        </w:rPr>
        <w:t>» для забезпечення належної та безперебійної роботи підприємства - 50,0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 xml:space="preserve">. </w:t>
      </w:r>
    </w:p>
    <w:p w:rsidR="00372156" w:rsidRPr="003D52CA" w:rsidRDefault="00372156" w:rsidP="00A92660">
      <w:pPr>
        <w:pStyle w:val="213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>проведено видатки для забезпечення виконання умов договору фінансового лізингу на придбання автобусів великої місткості - 21,3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 xml:space="preserve">., </w:t>
      </w:r>
    </w:p>
    <w:p w:rsidR="00372156" w:rsidRPr="003D52CA" w:rsidRDefault="00372156" w:rsidP="00A92660">
      <w:pPr>
        <w:pStyle w:val="213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>здійснювався капітальний ремонт злітно-посадкової смуги - 19,4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 xml:space="preserve">., продовжено роботи з будівництва пасажирського терміналу </w:t>
      </w:r>
      <w:proofErr w:type="spellStart"/>
      <w:r w:rsidRPr="003D52CA">
        <w:rPr>
          <w:sz w:val="27"/>
          <w:szCs w:val="27"/>
        </w:rPr>
        <w:t>КП</w:t>
      </w:r>
      <w:proofErr w:type="spellEnd"/>
      <w:r w:rsidRPr="003D52CA">
        <w:rPr>
          <w:sz w:val="27"/>
          <w:szCs w:val="27"/>
        </w:rPr>
        <w:t> "Міжнародний аеропорт Запоріжжя"– 106,0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</w:t>
      </w:r>
    </w:p>
    <w:p w:rsidR="00372156" w:rsidRPr="003D52CA" w:rsidRDefault="00372156" w:rsidP="00A92660">
      <w:pPr>
        <w:pStyle w:val="213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 xml:space="preserve">здійснено внески до статутних капіталів </w:t>
      </w:r>
      <w:proofErr w:type="spellStart"/>
      <w:r w:rsidRPr="003D52CA">
        <w:rPr>
          <w:sz w:val="27"/>
          <w:szCs w:val="27"/>
        </w:rPr>
        <w:t>КП</w:t>
      </w:r>
      <w:proofErr w:type="spellEnd"/>
      <w:r w:rsidRPr="003D52CA">
        <w:rPr>
          <w:sz w:val="27"/>
          <w:szCs w:val="27"/>
        </w:rPr>
        <w:t xml:space="preserve"> «Міжнародний аеропорт Запоріжжя», ЗКПМЕТ «</w:t>
      </w:r>
      <w:proofErr w:type="spellStart"/>
      <w:r w:rsidRPr="003D52CA">
        <w:rPr>
          <w:sz w:val="27"/>
          <w:szCs w:val="27"/>
        </w:rPr>
        <w:t>Запоріжелектротранс</w:t>
      </w:r>
      <w:proofErr w:type="spellEnd"/>
      <w:r w:rsidRPr="003D52CA">
        <w:rPr>
          <w:sz w:val="27"/>
          <w:szCs w:val="27"/>
        </w:rPr>
        <w:t xml:space="preserve">» та </w:t>
      </w:r>
      <w:proofErr w:type="spellStart"/>
      <w:r w:rsidRPr="003D52CA">
        <w:rPr>
          <w:sz w:val="27"/>
          <w:szCs w:val="27"/>
        </w:rPr>
        <w:t>КП</w:t>
      </w:r>
      <w:proofErr w:type="spellEnd"/>
      <w:r w:rsidRPr="003D52CA">
        <w:rPr>
          <w:sz w:val="27"/>
          <w:szCs w:val="27"/>
        </w:rPr>
        <w:t xml:space="preserve"> "Запорізькій центр диспетчеризації громадського транспорту" – 17,7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 Проведено технічне переоснащення радіотехнічних засобів навігації та посадки аеродромного комплексу аеропорту (16,0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.), продовжено капітальний ремонт трамваїв Т-3 (0,9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.), проведено оплату за встановлення інтерактивних екранів на зупинках міського електротранспорту та придбання комп’ютерної техніки (0,8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.).</w:t>
      </w:r>
    </w:p>
    <w:p w:rsidR="00372156" w:rsidRPr="003D52CA" w:rsidRDefault="00372156" w:rsidP="00A92660">
      <w:pPr>
        <w:pStyle w:val="213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>На заходи у сфері зв’язку, телекомунікації та інформатики з бюджету виділено 9,5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 В рамках виконання міської цільової програми «Безпечне місто Запоріжжя» проведено видатки у розмірі 5,6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 на будівельні роботи зі створення Ситуаційного командного</w:t>
      </w:r>
      <w:r w:rsidRPr="003D52CA">
        <w:rPr>
          <w:sz w:val="27"/>
          <w:szCs w:val="27"/>
          <w:lang w:eastAsia="ru-RU"/>
        </w:rPr>
        <w:t xml:space="preserve"> центру та будівництво зон </w:t>
      </w:r>
      <w:proofErr w:type="spellStart"/>
      <w:r w:rsidRPr="003D52CA">
        <w:rPr>
          <w:sz w:val="27"/>
          <w:szCs w:val="27"/>
          <w:lang w:eastAsia="ru-RU"/>
        </w:rPr>
        <w:t>відеоспостереження</w:t>
      </w:r>
      <w:proofErr w:type="spellEnd"/>
      <w:r w:rsidRPr="003D52CA">
        <w:rPr>
          <w:sz w:val="27"/>
          <w:szCs w:val="27"/>
          <w:lang w:eastAsia="ru-RU"/>
        </w:rPr>
        <w:t xml:space="preserve"> у місті, реалізацію заходів програми "Цифрова стратегія міста на 2017-2020 роки" – 3,9 </w:t>
      </w:r>
      <w:proofErr w:type="spellStart"/>
      <w:r w:rsidRPr="003D52CA">
        <w:rPr>
          <w:sz w:val="27"/>
          <w:szCs w:val="27"/>
          <w:lang w:eastAsia="ru-RU"/>
        </w:rPr>
        <w:t>млн.грн</w:t>
      </w:r>
      <w:proofErr w:type="spellEnd"/>
      <w:r w:rsidRPr="003D52CA">
        <w:rPr>
          <w:sz w:val="27"/>
          <w:szCs w:val="27"/>
          <w:lang w:eastAsia="ru-RU"/>
        </w:rPr>
        <w:t>.</w:t>
      </w:r>
    </w:p>
    <w:p w:rsidR="00372156" w:rsidRPr="003D52CA" w:rsidRDefault="00372156" w:rsidP="00A92660">
      <w:pPr>
        <w:pStyle w:val="213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>На виконання завдань Програми раціонального використання території та комплексного містобудівного розвитку міста використано 0,8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 (доопрацювання матеріалів плану зонування території м. Запоріжжя, розроблення і рецензія 5 детальних планів).</w:t>
      </w:r>
    </w:p>
    <w:p w:rsidR="00372156" w:rsidRPr="003D52CA" w:rsidRDefault="00372156" w:rsidP="00A92660">
      <w:pPr>
        <w:pStyle w:val="213"/>
        <w:numPr>
          <w:ilvl w:val="0"/>
          <w:numId w:val="15"/>
        </w:numPr>
        <w:spacing w:after="0" w:line="240" w:lineRule="auto"/>
        <w:ind w:left="0" w:firstLine="708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>Забезпечено функціонування Комунальної спеціальної воєнізованої аварійно-рятувальної служби та Запорізької міської рятувально-водолазної служби. На зазначені цілі спрямовано 6,7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 xml:space="preserve">. </w:t>
      </w:r>
    </w:p>
    <w:p w:rsidR="00372156" w:rsidRPr="003D52CA" w:rsidRDefault="00372156" w:rsidP="00A92660">
      <w:pPr>
        <w:pStyle w:val="213"/>
        <w:numPr>
          <w:ilvl w:val="0"/>
          <w:numId w:val="15"/>
        </w:numPr>
        <w:spacing w:after="0" w:line="240" w:lineRule="auto"/>
        <w:ind w:left="0" w:firstLine="708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 xml:space="preserve">На виконання </w:t>
      </w:r>
      <w:r w:rsidRPr="003D52CA">
        <w:rPr>
          <w:sz w:val="27"/>
          <w:szCs w:val="27"/>
          <w:lang w:eastAsia="ru-RU"/>
        </w:rPr>
        <w:t>природоохоронних заходів  направлено 4,0 </w:t>
      </w:r>
      <w:proofErr w:type="spellStart"/>
      <w:r w:rsidRPr="003D52CA">
        <w:rPr>
          <w:sz w:val="27"/>
          <w:szCs w:val="27"/>
          <w:lang w:eastAsia="ru-RU"/>
        </w:rPr>
        <w:t>млн.грн</w:t>
      </w:r>
      <w:proofErr w:type="spellEnd"/>
      <w:r w:rsidRPr="003D52CA">
        <w:rPr>
          <w:sz w:val="27"/>
          <w:szCs w:val="27"/>
          <w:lang w:eastAsia="ru-RU"/>
        </w:rPr>
        <w:t xml:space="preserve">. за рахунок екологічних надходжень до бюджету міста. </w:t>
      </w:r>
      <w:r w:rsidRPr="003D52CA">
        <w:rPr>
          <w:sz w:val="27"/>
          <w:szCs w:val="27"/>
        </w:rPr>
        <w:t xml:space="preserve"> </w:t>
      </w:r>
      <w:r w:rsidRPr="003D52CA">
        <w:rPr>
          <w:sz w:val="27"/>
          <w:szCs w:val="27"/>
          <w:lang w:eastAsia="ru-RU"/>
        </w:rPr>
        <w:t xml:space="preserve">Продовжено роботи з будівництва Ландшафтного парку вздовж Прибережної магістралі та розчистки русла р. Верхня Хортиця в районі вул. </w:t>
      </w:r>
      <w:proofErr w:type="spellStart"/>
      <w:r w:rsidRPr="003D52CA">
        <w:rPr>
          <w:sz w:val="27"/>
          <w:szCs w:val="27"/>
          <w:lang w:eastAsia="ru-RU"/>
        </w:rPr>
        <w:t>Зачиняєва</w:t>
      </w:r>
      <w:proofErr w:type="spellEnd"/>
      <w:r w:rsidRPr="003D52CA">
        <w:rPr>
          <w:sz w:val="27"/>
          <w:szCs w:val="27"/>
          <w:lang w:eastAsia="ru-RU"/>
        </w:rPr>
        <w:t xml:space="preserve">, </w:t>
      </w:r>
      <w:proofErr w:type="spellStart"/>
      <w:r w:rsidRPr="003D52CA">
        <w:rPr>
          <w:sz w:val="27"/>
          <w:szCs w:val="27"/>
          <w:lang w:eastAsia="ru-RU"/>
        </w:rPr>
        <w:t>Шушенська</w:t>
      </w:r>
      <w:proofErr w:type="spellEnd"/>
      <w:r w:rsidRPr="003D52CA">
        <w:rPr>
          <w:sz w:val="27"/>
          <w:szCs w:val="27"/>
          <w:lang w:eastAsia="ru-RU"/>
        </w:rPr>
        <w:t>, Істоміна тощо.</w:t>
      </w:r>
    </w:p>
    <w:p w:rsidR="00372156" w:rsidRPr="003D52CA" w:rsidRDefault="00372156" w:rsidP="00A92660">
      <w:pPr>
        <w:pStyle w:val="213"/>
        <w:numPr>
          <w:ilvl w:val="0"/>
          <w:numId w:val="15"/>
        </w:numPr>
        <w:spacing w:after="0" w:line="240" w:lineRule="auto"/>
        <w:ind w:left="0" w:firstLine="708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>В рамках міської цільової програми забезпечення молоді житлом надано кредити 12-ти позичальникам на загальну суму 7,5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 Придбано житло загальною площею 874,5 </w:t>
      </w:r>
      <w:proofErr w:type="spellStart"/>
      <w:r w:rsidRPr="003D52CA">
        <w:rPr>
          <w:sz w:val="27"/>
          <w:szCs w:val="27"/>
        </w:rPr>
        <w:t>кв.м</w:t>
      </w:r>
      <w:proofErr w:type="spellEnd"/>
      <w:r w:rsidRPr="003D52CA">
        <w:rPr>
          <w:sz w:val="27"/>
          <w:szCs w:val="27"/>
        </w:rPr>
        <w:t>.</w:t>
      </w:r>
    </w:p>
    <w:p w:rsidR="00372156" w:rsidRPr="003D52CA" w:rsidRDefault="00372156" w:rsidP="00A92660">
      <w:pPr>
        <w:pStyle w:val="21"/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3D52CA">
        <w:rPr>
          <w:sz w:val="27"/>
          <w:szCs w:val="27"/>
        </w:rPr>
        <w:t>За даними звітності про виконання бюджету міста на звітну дату кредиторська заборгованість склала 13,5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., в тому числі по загальному фонду бюджету – 12,0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., з яких по заходах державних програм соціального захисту населення за рахунок субвенцій з державного бюджету – 11,9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., спеціальному фонду – 1,5 </w:t>
      </w:r>
      <w:proofErr w:type="spellStart"/>
      <w:r w:rsidRPr="003D52CA">
        <w:rPr>
          <w:sz w:val="27"/>
          <w:szCs w:val="27"/>
        </w:rPr>
        <w:t>млн.грн</w:t>
      </w:r>
      <w:proofErr w:type="spellEnd"/>
      <w:r w:rsidRPr="003D52CA">
        <w:rPr>
          <w:sz w:val="27"/>
          <w:szCs w:val="27"/>
        </w:rPr>
        <w:t>.</w:t>
      </w:r>
      <w:bookmarkStart w:id="0" w:name="_GoBack"/>
      <w:bookmarkEnd w:id="0"/>
    </w:p>
    <w:p w:rsidR="00372156" w:rsidRDefault="00372156" w:rsidP="00407CFE">
      <w:pPr>
        <w:ind w:firstLine="708"/>
        <w:jc w:val="both"/>
        <w:rPr>
          <w:sz w:val="27"/>
          <w:szCs w:val="27"/>
          <w:lang w:val="uk-UA"/>
        </w:rPr>
      </w:pPr>
    </w:p>
    <w:p w:rsidR="00D928F7" w:rsidRDefault="00D928F7" w:rsidP="00407CFE">
      <w:pPr>
        <w:ind w:firstLine="708"/>
        <w:jc w:val="both"/>
        <w:rPr>
          <w:sz w:val="27"/>
          <w:szCs w:val="27"/>
          <w:lang w:val="uk-UA"/>
        </w:rPr>
      </w:pPr>
    </w:p>
    <w:p w:rsidR="00D928F7" w:rsidRPr="003D52CA" w:rsidRDefault="00D928F7" w:rsidP="00407CFE">
      <w:pPr>
        <w:ind w:firstLine="708"/>
        <w:jc w:val="both"/>
        <w:rPr>
          <w:sz w:val="27"/>
          <w:szCs w:val="27"/>
          <w:lang w:val="uk-UA"/>
        </w:rPr>
      </w:pPr>
    </w:p>
    <w:p w:rsidR="00372156" w:rsidRPr="003D52CA" w:rsidRDefault="00372156" w:rsidP="003F54A4">
      <w:pPr>
        <w:pStyle w:val="2"/>
        <w:spacing w:after="0" w:line="240" w:lineRule="auto"/>
        <w:ind w:left="0"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 xml:space="preserve">Директор департаменту фінансової </w:t>
      </w:r>
    </w:p>
    <w:p w:rsidR="00372156" w:rsidRPr="003D52CA" w:rsidRDefault="00372156" w:rsidP="00A92660">
      <w:pPr>
        <w:pStyle w:val="2"/>
        <w:spacing w:after="0" w:line="240" w:lineRule="auto"/>
        <w:ind w:left="0"/>
        <w:jc w:val="both"/>
        <w:rPr>
          <w:sz w:val="27"/>
          <w:szCs w:val="27"/>
          <w:lang w:val="uk-UA"/>
        </w:rPr>
      </w:pPr>
      <w:r w:rsidRPr="003D52CA">
        <w:rPr>
          <w:sz w:val="27"/>
          <w:szCs w:val="27"/>
          <w:lang w:val="uk-UA"/>
        </w:rPr>
        <w:t>та бюджетної політики міської ради</w:t>
      </w:r>
      <w:r w:rsidRPr="003D52CA">
        <w:rPr>
          <w:sz w:val="27"/>
          <w:szCs w:val="27"/>
          <w:lang w:val="uk-UA"/>
        </w:rPr>
        <w:tab/>
      </w:r>
      <w:r w:rsidRPr="003D52CA">
        <w:rPr>
          <w:sz w:val="27"/>
          <w:szCs w:val="27"/>
          <w:lang w:val="uk-UA"/>
        </w:rPr>
        <w:tab/>
      </w:r>
      <w:r w:rsidRPr="003D52CA">
        <w:rPr>
          <w:sz w:val="27"/>
          <w:szCs w:val="27"/>
          <w:lang w:val="uk-UA"/>
        </w:rPr>
        <w:tab/>
      </w:r>
      <w:r w:rsidRPr="003D52CA">
        <w:rPr>
          <w:sz w:val="27"/>
          <w:szCs w:val="27"/>
          <w:lang w:val="uk-UA"/>
        </w:rPr>
        <w:tab/>
      </w:r>
      <w:r w:rsidRPr="003D52CA">
        <w:rPr>
          <w:sz w:val="27"/>
          <w:szCs w:val="27"/>
          <w:lang w:val="uk-UA"/>
        </w:rPr>
        <w:tab/>
        <w:t>О.А.</w:t>
      </w:r>
      <w:proofErr w:type="spellStart"/>
      <w:r w:rsidRPr="003D52CA">
        <w:rPr>
          <w:sz w:val="27"/>
          <w:szCs w:val="27"/>
          <w:lang w:val="uk-UA"/>
        </w:rPr>
        <w:t>Вагіс</w:t>
      </w:r>
      <w:proofErr w:type="spellEnd"/>
    </w:p>
    <w:sectPr w:rsidR="00372156" w:rsidRPr="003D52CA" w:rsidSect="00B33278">
      <w:headerReference w:type="even" r:id="rId12"/>
      <w:headerReference w:type="default" r:id="rId13"/>
      <w:pgSz w:w="11906" w:h="16838"/>
      <w:pgMar w:top="851" w:right="567" w:bottom="85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56" w:rsidRDefault="00372156">
      <w:r>
        <w:separator/>
      </w:r>
    </w:p>
  </w:endnote>
  <w:endnote w:type="continuationSeparator" w:id="0">
    <w:p w:rsidR="00372156" w:rsidRDefault="0037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56" w:rsidRDefault="00372156">
      <w:r>
        <w:separator/>
      </w:r>
    </w:p>
  </w:footnote>
  <w:footnote w:type="continuationSeparator" w:id="0">
    <w:p w:rsidR="00372156" w:rsidRDefault="00372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56" w:rsidRDefault="0085101F" w:rsidP="009A081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7215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72156" w:rsidRDefault="003721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56" w:rsidRDefault="0085101F" w:rsidP="009A081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7215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928F7">
      <w:rPr>
        <w:rStyle w:val="ad"/>
        <w:noProof/>
      </w:rPr>
      <w:t>7</w:t>
    </w:r>
    <w:r>
      <w:rPr>
        <w:rStyle w:val="ad"/>
      </w:rPr>
      <w:fldChar w:fldCharType="end"/>
    </w:r>
  </w:p>
  <w:p w:rsidR="00372156" w:rsidRDefault="003721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4CF"/>
    <w:multiLevelType w:val="hybridMultilevel"/>
    <w:tmpl w:val="0DBAED3E"/>
    <w:lvl w:ilvl="0" w:tplc="7A2A2A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8FF5C17"/>
    <w:multiLevelType w:val="hybridMultilevel"/>
    <w:tmpl w:val="E0CED3B4"/>
    <w:lvl w:ilvl="0" w:tplc="1A301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AA6423D"/>
    <w:multiLevelType w:val="hybridMultilevel"/>
    <w:tmpl w:val="B364A078"/>
    <w:lvl w:ilvl="0" w:tplc="D1E85DB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E6210"/>
    <w:multiLevelType w:val="hybridMultilevel"/>
    <w:tmpl w:val="9AB45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92BF9"/>
    <w:multiLevelType w:val="hybridMultilevel"/>
    <w:tmpl w:val="04521904"/>
    <w:lvl w:ilvl="0" w:tplc="8DC8AAC6">
      <w:start w:val="201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A05FC8"/>
    <w:multiLevelType w:val="hybridMultilevel"/>
    <w:tmpl w:val="64C68908"/>
    <w:lvl w:ilvl="0" w:tplc="5F76C9DC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7A07F8"/>
    <w:multiLevelType w:val="hybridMultilevel"/>
    <w:tmpl w:val="C6880C36"/>
    <w:lvl w:ilvl="0" w:tplc="46FC9F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D0F1E85"/>
    <w:multiLevelType w:val="hybridMultilevel"/>
    <w:tmpl w:val="0322739A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982BE9"/>
    <w:multiLevelType w:val="hybridMultilevel"/>
    <w:tmpl w:val="91F84B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1E6769"/>
    <w:multiLevelType w:val="hybridMultilevel"/>
    <w:tmpl w:val="6E0059D8"/>
    <w:lvl w:ilvl="0" w:tplc="3100512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D66745"/>
    <w:multiLevelType w:val="hybridMultilevel"/>
    <w:tmpl w:val="185E3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2A5B75"/>
    <w:multiLevelType w:val="hybridMultilevel"/>
    <w:tmpl w:val="76AC368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EA30D42"/>
    <w:multiLevelType w:val="hybridMultilevel"/>
    <w:tmpl w:val="D19E37C0"/>
    <w:lvl w:ilvl="0" w:tplc="604245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1A603B"/>
    <w:multiLevelType w:val="hybridMultilevel"/>
    <w:tmpl w:val="67A0FDEE"/>
    <w:lvl w:ilvl="0" w:tplc="B1D60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82334B"/>
    <w:multiLevelType w:val="hybridMultilevel"/>
    <w:tmpl w:val="F814B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683177"/>
    <w:multiLevelType w:val="hybridMultilevel"/>
    <w:tmpl w:val="338E5926"/>
    <w:lvl w:ilvl="0" w:tplc="993C3E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A161B7F"/>
    <w:multiLevelType w:val="hybridMultilevel"/>
    <w:tmpl w:val="930A57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9E747F"/>
    <w:multiLevelType w:val="hybridMultilevel"/>
    <w:tmpl w:val="DEBA2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8">
    <w:nsid w:val="6E24273A"/>
    <w:multiLevelType w:val="hybridMultilevel"/>
    <w:tmpl w:val="F7CAABCC"/>
    <w:lvl w:ilvl="0" w:tplc="FD7ADB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E6912FD"/>
    <w:multiLevelType w:val="hybridMultilevel"/>
    <w:tmpl w:val="C0341D42"/>
    <w:lvl w:ilvl="0" w:tplc="CF80F4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4BF2083"/>
    <w:multiLevelType w:val="hybridMultilevel"/>
    <w:tmpl w:val="0E529EAE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>
    <w:nsid w:val="762E0E24"/>
    <w:multiLevelType w:val="hybridMultilevel"/>
    <w:tmpl w:val="8068922E"/>
    <w:lvl w:ilvl="0" w:tplc="4C9A42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A4A4E72"/>
    <w:multiLevelType w:val="hybridMultilevel"/>
    <w:tmpl w:val="3C50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AC32DD"/>
    <w:multiLevelType w:val="hybridMultilevel"/>
    <w:tmpl w:val="FF2CF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21"/>
  </w:num>
  <w:num w:numId="8">
    <w:abstractNumId w:val="12"/>
  </w:num>
  <w:num w:numId="9">
    <w:abstractNumId w:val="6"/>
  </w:num>
  <w:num w:numId="10">
    <w:abstractNumId w:val="1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  <w:num w:numId="19">
    <w:abstractNumId w:val="19"/>
  </w:num>
  <w:num w:numId="20">
    <w:abstractNumId w:val="16"/>
  </w:num>
  <w:num w:numId="21">
    <w:abstractNumId w:val="5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29"/>
    <w:rsid w:val="00000C14"/>
    <w:rsid w:val="0000139B"/>
    <w:rsid w:val="00002C3E"/>
    <w:rsid w:val="0000461B"/>
    <w:rsid w:val="00004A8F"/>
    <w:rsid w:val="00004AD9"/>
    <w:rsid w:val="00004CDB"/>
    <w:rsid w:val="00012F00"/>
    <w:rsid w:val="00013EE8"/>
    <w:rsid w:val="000140BC"/>
    <w:rsid w:val="00014909"/>
    <w:rsid w:val="00014D8E"/>
    <w:rsid w:val="000175C6"/>
    <w:rsid w:val="00017686"/>
    <w:rsid w:val="00021459"/>
    <w:rsid w:val="00021D45"/>
    <w:rsid w:val="00022CD2"/>
    <w:rsid w:val="00024092"/>
    <w:rsid w:val="00026492"/>
    <w:rsid w:val="000300B0"/>
    <w:rsid w:val="0003412C"/>
    <w:rsid w:val="00034638"/>
    <w:rsid w:val="00035312"/>
    <w:rsid w:val="0003703B"/>
    <w:rsid w:val="0004031D"/>
    <w:rsid w:val="000422F9"/>
    <w:rsid w:val="0004614B"/>
    <w:rsid w:val="00046A7B"/>
    <w:rsid w:val="00050D58"/>
    <w:rsid w:val="00050F60"/>
    <w:rsid w:val="000527BF"/>
    <w:rsid w:val="00052E69"/>
    <w:rsid w:val="00055598"/>
    <w:rsid w:val="00055898"/>
    <w:rsid w:val="000565D4"/>
    <w:rsid w:val="000566F5"/>
    <w:rsid w:val="000569B4"/>
    <w:rsid w:val="00057602"/>
    <w:rsid w:val="000602F8"/>
    <w:rsid w:val="0006283D"/>
    <w:rsid w:val="00063C53"/>
    <w:rsid w:val="00063F5B"/>
    <w:rsid w:val="00064255"/>
    <w:rsid w:val="0006426B"/>
    <w:rsid w:val="00065FB2"/>
    <w:rsid w:val="000674F0"/>
    <w:rsid w:val="00067734"/>
    <w:rsid w:val="00067838"/>
    <w:rsid w:val="00067979"/>
    <w:rsid w:val="00072409"/>
    <w:rsid w:val="00072ECD"/>
    <w:rsid w:val="00083D58"/>
    <w:rsid w:val="0008595D"/>
    <w:rsid w:val="00090E8B"/>
    <w:rsid w:val="00091373"/>
    <w:rsid w:val="00092D44"/>
    <w:rsid w:val="00093FD8"/>
    <w:rsid w:val="000A1309"/>
    <w:rsid w:val="000A30DB"/>
    <w:rsid w:val="000A352B"/>
    <w:rsid w:val="000A364F"/>
    <w:rsid w:val="000B2A00"/>
    <w:rsid w:val="000B42F8"/>
    <w:rsid w:val="000B4B65"/>
    <w:rsid w:val="000B527C"/>
    <w:rsid w:val="000B5BF8"/>
    <w:rsid w:val="000B5D0D"/>
    <w:rsid w:val="000B6E27"/>
    <w:rsid w:val="000C36E7"/>
    <w:rsid w:val="000C45CF"/>
    <w:rsid w:val="000C507A"/>
    <w:rsid w:val="000C50CA"/>
    <w:rsid w:val="000C5129"/>
    <w:rsid w:val="000C56E1"/>
    <w:rsid w:val="000C5F5D"/>
    <w:rsid w:val="000C651B"/>
    <w:rsid w:val="000D08D3"/>
    <w:rsid w:val="000D165E"/>
    <w:rsid w:val="000D2BED"/>
    <w:rsid w:val="000D4396"/>
    <w:rsid w:val="000D538C"/>
    <w:rsid w:val="000E186A"/>
    <w:rsid w:val="000E1BAE"/>
    <w:rsid w:val="000E20AE"/>
    <w:rsid w:val="000E23CF"/>
    <w:rsid w:val="000E4D11"/>
    <w:rsid w:val="000E69F0"/>
    <w:rsid w:val="000F23BA"/>
    <w:rsid w:val="000F2AF0"/>
    <w:rsid w:val="000F4103"/>
    <w:rsid w:val="000F50B3"/>
    <w:rsid w:val="000F54FD"/>
    <w:rsid w:val="000F7427"/>
    <w:rsid w:val="000F7944"/>
    <w:rsid w:val="000F7C74"/>
    <w:rsid w:val="00104165"/>
    <w:rsid w:val="001048F7"/>
    <w:rsid w:val="0010591A"/>
    <w:rsid w:val="001077D8"/>
    <w:rsid w:val="00107C3B"/>
    <w:rsid w:val="001103EE"/>
    <w:rsid w:val="00110868"/>
    <w:rsid w:val="00111615"/>
    <w:rsid w:val="00111C9E"/>
    <w:rsid w:val="00111EC8"/>
    <w:rsid w:val="00113740"/>
    <w:rsid w:val="00113D5D"/>
    <w:rsid w:val="001144F8"/>
    <w:rsid w:val="001173C5"/>
    <w:rsid w:val="001174D4"/>
    <w:rsid w:val="00117DF8"/>
    <w:rsid w:val="001200F8"/>
    <w:rsid w:val="00120CBE"/>
    <w:rsid w:val="00120D47"/>
    <w:rsid w:val="0012165D"/>
    <w:rsid w:val="00123372"/>
    <w:rsid w:val="00126736"/>
    <w:rsid w:val="00126C9E"/>
    <w:rsid w:val="001304BA"/>
    <w:rsid w:val="00130997"/>
    <w:rsid w:val="001329DB"/>
    <w:rsid w:val="00132C4E"/>
    <w:rsid w:val="00132F2A"/>
    <w:rsid w:val="0013319E"/>
    <w:rsid w:val="00135F68"/>
    <w:rsid w:val="001361B2"/>
    <w:rsid w:val="001401A6"/>
    <w:rsid w:val="001412CB"/>
    <w:rsid w:val="00142DF8"/>
    <w:rsid w:val="00142F65"/>
    <w:rsid w:val="0014601B"/>
    <w:rsid w:val="00147891"/>
    <w:rsid w:val="001501D9"/>
    <w:rsid w:val="00150E9B"/>
    <w:rsid w:val="00150EBA"/>
    <w:rsid w:val="00151A72"/>
    <w:rsid w:val="00154DCD"/>
    <w:rsid w:val="00155BD9"/>
    <w:rsid w:val="001568DD"/>
    <w:rsid w:val="00156975"/>
    <w:rsid w:val="001621E3"/>
    <w:rsid w:val="0016267A"/>
    <w:rsid w:val="0016343E"/>
    <w:rsid w:val="00165238"/>
    <w:rsid w:val="00165A80"/>
    <w:rsid w:val="00165BAF"/>
    <w:rsid w:val="0017178C"/>
    <w:rsid w:val="00180467"/>
    <w:rsid w:val="001812AC"/>
    <w:rsid w:val="00181753"/>
    <w:rsid w:val="0018219A"/>
    <w:rsid w:val="00183AD5"/>
    <w:rsid w:val="00185319"/>
    <w:rsid w:val="001866CD"/>
    <w:rsid w:val="00186EDF"/>
    <w:rsid w:val="001879F4"/>
    <w:rsid w:val="00187FC3"/>
    <w:rsid w:val="001902E2"/>
    <w:rsid w:val="0019049D"/>
    <w:rsid w:val="001916B4"/>
    <w:rsid w:val="00192E49"/>
    <w:rsid w:val="00193467"/>
    <w:rsid w:val="001955A5"/>
    <w:rsid w:val="001957BE"/>
    <w:rsid w:val="001A0E81"/>
    <w:rsid w:val="001A254E"/>
    <w:rsid w:val="001A6E20"/>
    <w:rsid w:val="001A79AF"/>
    <w:rsid w:val="001B10F5"/>
    <w:rsid w:val="001B17DE"/>
    <w:rsid w:val="001B1AA0"/>
    <w:rsid w:val="001B1C6D"/>
    <w:rsid w:val="001B236A"/>
    <w:rsid w:val="001B4539"/>
    <w:rsid w:val="001B5D4F"/>
    <w:rsid w:val="001B63E2"/>
    <w:rsid w:val="001C0752"/>
    <w:rsid w:val="001C17EE"/>
    <w:rsid w:val="001C5126"/>
    <w:rsid w:val="001C52B3"/>
    <w:rsid w:val="001D02C3"/>
    <w:rsid w:val="001D0F3B"/>
    <w:rsid w:val="001D35D3"/>
    <w:rsid w:val="001D5B2E"/>
    <w:rsid w:val="001D6070"/>
    <w:rsid w:val="001D6681"/>
    <w:rsid w:val="001D7990"/>
    <w:rsid w:val="001E03DA"/>
    <w:rsid w:val="001E3AB5"/>
    <w:rsid w:val="001E3D1D"/>
    <w:rsid w:val="001E557C"/>
    <w:rsid w:val="001E5E8E"/>
    <w:rsid w:val="001E6CAC"/>
    <w:rsid w:val="001F049C"/>
    <w:rsid w:val="001F329A"/>
    <w:rsid w:val="001F33E8"/>
    <w:rsid w:val="001F415D"/>
    <w:rsid w:val="001F41C8"/>
    <w:rsid w:val="001F433D"/>
    <w:rsid w:val="001F652E"/>
    <w:rsid w:val="001F6EF4"/>
    <w:rsid w:val="001F7293"/>
    <w:rsid w:val="00202335"/>
    <w:rsid w:val="00202F90"/>
    <w:rsid w:val="00204BF7"/>
    <w:rsid w:val="00205000"/>
    <w:rsid w:val="002051C6"/>
    <w:rsid w:val="002053D6"/>
    <w:rsid w:val="002055DE"/>
    <w:rsid w:val="00205BE2"/>
    <w:rsid w:val="002069AC"/>
    <w:rsid w:val="00207728"/>
    <w:rsid w:val="00207CAE"/>
    <w:rsid w:val="00213A50"/>
    <w:rsid w:val="0021481F"/>
    <w:rsid w:val="00215A9D"/>
    <w:rsid w:val="00215CD5"/>
    <w:rsid w:val="00215F19"/>
    <w:rsid w:val="002167A9"/>
    <w:rsid w:val="00217327"/>
    <w:rsid w:val="002200BA"/>
    <w:rsid w:val="002202DE"/>
    <w:rsid w:val="00220C5D"/>
    <w:rsid w:val="00221CD0"/>
    <w:rsid w:val="00225447"/>
    <w:rsid w:val="00227ECA"/>
    <w:rsid w:val="00233D9A"/>
    <w:rsid w:val="0023464A"/>
    <w:rsid w:val="002357A3"/>
    <w:rsid w:val="00235B33"/>
    <w:rsid w:val="00237192"/>
    <w:rsid w:val="00237BAF"/>
    <w:rsid w:val="00242EE0"/>
    <w:rsid w:val="002448DC"/>
    <w:rsid w:val="00247826"/>
    <w:rsid w:val="00250252"/>
    <w:rsid w:val="00252C87"/>
    <w:rsid w:val="00253ED8"/>
    <w:rsid w:val="00256974"/>
    <w:rsid w:val="00256FB1"/>
    <w:rsid w:val="00257161"/>
    <w:rsid w:val="00262008"/>
    <w:rsid w:val="00262802"/>
    <w:rsid w:val="00263E02"/>
    <w:rsid w:val="00264854"/>
    <w:rsid w:val="002656E3"/>
    <w:rsid w:val="00267A09"/>
    <w:rsid w:val="00267AAB"/>
    <w:rsid w:val="00270A1C"/>
    <w:rsid w:val="0027258A"/>
    <w:rsid w:val="0027297C"/>
    <w:rsid w:val="00274030"/>
    <w:rsid w:val="002764B5"/>
    <w:rsid w:val="002770DD"/>
    <w:rsid w:val="00277783"/>
    <w:rsid w:val="002778DF"/>
    <w:rsid w:val="002815A5"/>
    <w:rsid w:val="00281E6E"/>
    <w:rsid w:val="002820F8"/>
    <w:rsid w:val="00283BE3"/>
    <w:rsid w:val="00284899"/>
    <w:rsid w:val="00284B1C"/>
    <w:rsid w:val="00284F8A"/>
    <w:rsid w:val="0028630D"/>
    <w:rsid w:val="0028722C"/>
    <w:rsid w:val="002901AD"/>
    <w:rsid w:val="002913F1"/>
    <w:rsid w:val="002941F6"/>
    <w:rsid w:val="002A0C83"/>
    <w:rsid w:val="002A1970"/>
    <w:rsid w:val="002A2088"/>
    <w:rsid w:val="002A2933"/>
    <w:rsid w:val="002A2F26"/>
    <w:rsid w:val="002A3C03"/>
    <w:rsid w:val="002A54DC"/>
    <w:rsid w:val="002A5571"/>
    <w:rsid w:val="002A59A1"/>
    <w:rsid w:val="002A6FBF"/>
    <w:rsid w:val="002B0AB4"/>
    <w:rsid w:val="002B1095"/>
    <w:rsid w:val="002B1A5A"/>
    <w:rsid w:val="002B21D0"/>
    <w:rsid w:val="002B2964"/>
    <w:rsid w:val="002B38AE"/>
    <w:rsid w:val="002B4391"/>
    <w:rsid w:val="002B5985"/>
    <w:rsid w:val="002B5BA6"/>
    <w:rsid w:val="002B62DA"/>
    <w:rsid w:val="002C0105"/>
    <w:rsid w:val="002C0F8E"/>
    <w:rsid w:val="002C108C"/>
    <w:rsid w:val="002C2BE5"/>
    <w:rsid w:val="002C3462"/>
    <w:rsid w:val="002C473D"/>
    <w:rsid w:val="002C47AA"/>
    <w:rsid w:val="002C48F3"/>
    <w:rsid w:val="002C54EB"/>
    <w:rsid w:val="002C5650"/>
    <w:rsid w:val="002C5668"/>
    <w:rsid w:val="002C6817"/>
    <w:rsid w:val="002D0431"/>
    <w:rsid w:val="002D23F4"/>
    <w:rsid w:val="002D3225"/>
    <w:rsid w:val="002D3398"/>
    <w:rsid w:val="002D415D"/>
    <w:rsid w:val="002D56D5"/>
    <w:rsid w:val="002E2FA5"/>
    <w:rsid w:val="002E37B3"/>
    <w:rsid w:val="002E536E"/>
    <w:rsid w:val="002E5FA8"/>
    <w:rsid w:val="002E5FC9"/>
    <w:rsid w:val="002E6032"/>
    <w:rsid w:val="002E6724"/>
    <w:rsid w:val="002F280D"/>
    <w:rsid w:val="002F3873"/>
    <w:rsid w:val="002F7315"/>
    <w:rsid w:val="00300E5D"/>
    <w:rsid w:val="0030127A"/>
    <w:rsid w:val="0030139C"/>
    <w:rsid w:val="00301D3B"/>
    <w:rsid w:val="00301E31"/>
    <w:rsid w:val="003100CB"/>
    <w:rsid w:val="00310EAF"/>
    <w:rsid w:val="00312225"/>
    <w:rsid w:val="00312874"/>
    <w:rsid w:val="003132D3"/>
    <w:rsid w:val="003153D1"/>
    <w:rsid w:val="00315626"/>
    <w:rsid w:val="00315772"/>
    <w:rsid w:val="00324123"/>
    <w:rsid w:val="003241E9"/>
    <w:rsid w:val="00324FD8"/>
    <w:rsid w:val="00326067"/>
    <w:rsid w:val="00326FEB"/>
    <w:rsid w:val="00330378"/>
    <w:rsid w:val="003314DF"/>
    <w:rsid w:val="003318A0"/>
    <w:rsid w:val="00331A1B"/>
    <w:rsid w:val="0033351E"/>
    <w:rsid w:val="0033553D"/>
    <w:rsid w:val="00336AFC"/>
    <w:rsid w:val="00337811"/>
    <w:rsid w:val="00337C1F"/>
    <w:rsid w:val="00340F9E"/>
    <w:rsid w:val="00341053"/>
    <w:rsid w:val="00341D3C"/>
    <w:rsid w:val="00344A38"/>
    <w:rsid w:val="00345E08"/>
    <w:rsid w:val="003465EC"/>
    <w:rsid w:val="00346B95"/>
    <w:rsid w:val="003504FD"/>
    <w:rsid w:val="00351118"/>
    <w:rsid w:val="00351CDA"/>
    <w:rsid w:val="0035243D"/>
    <w:rsid w:val="0035312A"/>
    <w:rsid w:val="00355069"/>
    <w:rsid w:val="00355210"/>
    <w:rsid w:val="00355907"/>
    <w:rsid w:val="003608AD"/>
    <w:rsid w:val="00360C75"/>
    <w:rsid w:val="00360F50"/>
    <w:rsid w:val="00364928"/>
    <w:rsid w:val="00364DFC"/>
    <w:rsid w:val="00365005"/>
    <w:rsid w:val="00367632"/>
    <w:rsid w:val="00367933"/>
    <w:rsid w:val="00367C87"/>
    <w:rsid w:val="00370602"/>
    <w:rsid w:val="00370A0F"/>
    <w:rsid w:val="00371094"/>
    <w:rsid w:val="00372156"/>
    <w:rsid w:val="003806C0"/>
    <w:rsid w:val="00382104"/>
    <w:rsid w:val="003847C7"/>
    <w:rsid w:val="00385309"/>
    <w:rsid w:val="003868C2"/>
    <w:rsid w:val="00386B42"/>
    <w:rsid w:val="00386FC8"/>
    <w:rsid w:val="00387522"/>
    <w:rsid w:val="003875D6"/>
    <w:rsid w:val="00387DB5"/>
    <w:rsid w:val="00391F30"/>
    <w:rsid w:val="003921B7"/>
    <w:rsid w:val="00393789"/>
    <w:rsid w:val="00394572"/>
    <w:rsid w:val="0039478B"/>
    <w:rsid w:val="00395C97"/>
    <w:rsid w:val="00395CF5"/>
    <w:rsid w:val="00395DAD"/>
    <w:rsid w:val="0039714D"/>
    <w:rsid w:val="003A19FB"/>
    <w:rsid w:val="003A28F3"/>
    <w:rsid w:val="003A2A0F"/>
    <w:rsid w:val="003A508F"/>
    <w:rsid w:val="003A579E"/>
    <w:rsid w:val="003A5E27"/>
    <w:rsid w:val="003A7124"/>
    <w:rsid w:val="003A76E0"/>
    <w:rsid w:val="003B3CB3"/>
    <w:rsid w:val="003B469A"/>
    <w:rsid w:val="003B4710"/>
    <w:rsid w:val="003B500A"/>
    <w:rsid w:val="003B7657"/>
    <w:rsid w:val="003C4C67"/>
    <w:rsid w:val="003C51F4"/>
    <w:rsid w:val="003C6E4A"/>
    <w:rsid w:val="003C772D"/>
    <w:rsid w:val="003D0228"/>
    <w:rsid w:val="003D1B33"/>
    <w:rsid w:val="003D24CB"/>
    <w:rsid w:val="003D27EE"/>
    <w:rsid w:val="003D46BC"/>
    <w:rsid w:val="003D52CA"/>
    <w:rsid w:val="003D53C3"/>
    <w:rsid w:val="003D7168"/>
    <w:rsid w:val="003E0E40"/>
    <w:rsid w:val="003E1A77"/>
    <w:rsid w:val="003E258E"/>
    <w:rsid w:val="003E4075"/>
    <w:rsid w:val="003E6806"/>
    <w:rsid w:val="003E6E52"/>
    <w:rsid w:val="003F0B08"/>
    <w:rsid w:val="003F48A4"/>
    <w:rsid w:val="003F4EB8"/>
    <w:rsid w:val="003F54A4"/>
    <w:rsid w:val="003F7453"/>
    <w:rsid w:val="00401CBB"/>
    <w:rsid w:val="00402C46"/>
    <w:rsid w:val="004030F8"/>
    <w:rsid w:val="004031B5"/>
    <w:rsid w:val="00403C04"/>
    <w:rsid w:val="00403EA8"/>
    <w:rsid w:val="004052F8"/>
    <w:rsid w:val="00405B10"/>
    <w:rsid w:val="00406156"/>
    <w:rsid w:val="00407CFE"/>
    <w:rsid w:val="00410291"/>
    <w:rsid w:val="00411268"/>
    <w:rsid w:val="00413EAC"/>
    <w:rsid w:val="00415E02"/>
    <w:rsid w:val="0041678D"/>
    <w:rsid w:val="004176D6"/>
    <w:rsid w:val="00417AFC"/>
    <w:rsid w:val="0042129C"/>
    <w:rsid w:val="0042163A"/>
    <w:rsid w:val="0042223B"/>
    <w:rsid w:val="00423348"/>
    <w:rsid w:val="00424427"/>
    <w:rsid w:val="00424910"/>
    <w:rsid w:val="00427253"/>
    <w:rsid w:val="00427285"/>
    <w:rsid w:val="00430ADA"/>
    <w:rsid w:val="00430B97"/>
    <w:rsid w:val="0043146A"/>
    <w:rsid w:val="00434076"/>
    <w:rsid w:val="00434FB2"/>
    <w:rsid w:val="00435A08"/>
    <w:rsid w:val="00436075"/>
    <w:rsid w:val="004409A1"/>
    <w:rsid w:val="00441E85"/>
    <w:rsid w:val="0044309A"/>
    <w:rsid w:val="0044317C"/>
    <w:rsid w:val="00445205"/>
    <w:rsid w:val="00445EC6"/>
    <w:rsid w:val="00451DC3"/>
    <w:rsid w:val="004547EF"/>
    <w:rsid w:val="0045503E"/>
    <w:rsid w:val="0045665E"/>
    <w:rsid w:val="0046163D"/>
    <w:rsid w:val="004616E1"/>
    <w:rsid w:val="004635E9"/>
    <w:rsid w:val="004646BB"/>
    <w:rsid w:val="00464DBE"/>
    <w:rsid w:val="00465E01"/>
    <w:rsid w:val="004666C8"/>
    <w:rsid w:val="0047039B"/>
    <w:rsid w:val="004710E4"/>
    <w:rsid w:val="004719D4"/>
    <w:rsid w:val="00472B4A"/>
    <w:rsid w:val="00473140"/>
    <w:rsid w:val="004753E3"/>
    <w:rsid w:val="00477DF7"/>
    <w:rsid w:val="00481117"/>
    <w:rsid w:val="004812E5"/>
    <w:rsid w:val="00481756"/>
    <w:rsid w:val="00481922"/>
    <w:rsid w:val="00481BC9"/>
    <w:rsid w:val="00482D23"/>
    <w:rsid w:val="00482ED4"/>
    <w:rsid w:val="00483D76"/>
    <w:rsid w:val="00483E34"/>
    <w:rsid w:val="00484700"/>
    <w:rsid w:val="0048506E"/>
    <w:rsid w:val="004854C1"/>
    <w:rsid w:val="00487596"/>
    <w:rsid w:val="0049054F"/>
    <w:rsid w:val="00491D7A"/>
    <w:rsid w:val="00491F77"/>
    <w:rsid w:val="0049224B"/>
    <w:rsid w:val="00492268"/>
    <w:rsid w:val="004935A6"/>
    <w:rsid w:val="00493E5E"/>
    <w:rsid w:val="00495122"/>
    <w:rsid w:val="0049658B"/>
    <w:rsid w:val="00496D89"/>
    <w:rsid w:val="00497120"/>
    <w:rsid w:val="004A09DB"/>
    <w:rsid w:val="004A0FDE"/>
    <w:rsid w:val="004A1D18"/>
    <w:rsid w:val="004A28AB"/>
    <w:rsid w:val="004A5E9D"/>
    <w:rsid w:val="004A63EF"/>
    <w:rsid w:val="004A7685"/>
    <w:rsid w:val="004A76B0"/>
    <w:rsid w:val="004B01EE"/>
    <w:rsid w:val="004B2831"/>
    <w:rsid w:val="004B2FA7"/>
    <w:rsid w:val="004B5BE2"/>
    <w:rsid w:val="004B7913"/>
    <w:rsid w:val="004C38FC"/>
    <w:rsid w:val="004C406E"/>
    <w:rsid w:val="004C4602"/>
    <w:rsid w:val="004C590F"/>
    <w:rsid w:val="004C601E"/>
    <w:rsid w:val="004D0F70"/>
    <w:rsid w:val="004D166D"/>
    <w:rsid w:val="004D249A"/>
    <w:rsid w:val="004D6BAC"/>
    <w:rsid w:val="004D722E"/>
    <w:rsid w:val="004E0189"/>
    <w:rsid w:val="004E28C0"/>
    <w:rsid w:val="004E2D2E"/>
    <w:rsid w:val="004E43FC"/>
    <w:rsid w:val="004E5C6D"/>
    <w:rsid w:val="004E5DDD"/>
    <w:rsid w:val="004E7272"/>
    <w:rsid w:val="004E75EB"/>
    <w:rsid w:val="004F1334"/>
    <w:rsid w:val="004F2073"/>
    <w:rsid w:val="004F3053"/>
    <w:rsid w:val="004F36E4"/>
    <w:rsid w:val="004F585B"/>
    <w:rsid w:val="004F6F1A"/>
    <w:rsid w:val="004F72CF"/>
    <w:rsid w:val="004F7F71"/>
    <w:rsid w:val="00500A96"/>
    <w:rsid w:val="00505DD3"/>
    <w:rsid w:val="00506441"/>
    <w:rsid w:val="00506652"/>
    <w:rsid w:val="005068D2"/>
    <w:rsid w:val="00507846"/>
    <w:rsid w:val="00510DD2"/>
    <w:rsid w:val="00510FEF"/>
    <w:rsid w:val="00513B18"/>
    <w:rsid w:val="005203A3"/>
    <w:rsid w:val="0052063F"/>
    <w:rsid w:val="00522707"/>
    <w:rsid w:val="0052407A"/>
    <w:rsid w:val="0052460D"/>
    <w:rsid w:val="0052527C"/>
    <w:rsid w:val="00525CAE"/>
    <w:rsid w:val="00530328"/>
    <w:rsid w:val="00534B08"/>
    <w:rsid w:val="00537689"/>
    <w:rsid w:val="00541B47"/>
    <w:rsid w:val="00541BE7"/>
    <w:rsid w:val="00543647"/>
    <w:rsid w:val="00547A4A"/>
    <w:rsid w:val="00553689"/>
    <w:rsid w:val="005536D1"/>
    <w:rsid w:val="00556BEE"/>
    <w:rsid w:val="005575F6"/>
    <w:rsid w:val="00562952"/>
    <w:rsid w:val="00565559"/>
    <w:rsid w:val="00567EF3"/>
    <w:rsid w:val="00573873"/>
    <w:rsid w:val="00573EAD"/>
    <w:rsid w:val="00574729"/>
    <w:rsid w:val="00576B2D"/>
    <w:rsid w:val="00577C6E"/>
    <w:rsid w:val="00577F00"/>
    <w:rsid w:val="005802F3"/>
    <w:rsid w:val="00580333"/>
    <w:rsid w:val="0058193D"/>
    <w:rsid w:val="00581D9F"/>
    <w:rsid w:val="00585462"/>
    <w:rsid w:val="00586A1E"/>
    <w:rsid w:val="005874AC"/>
    <w:rsid w:val="00591F88"/>
    <w:rsid w:val="0059238E"/>
    <w:rsid w:val="0059469D"/>
    <w:rsid w:val="005953A2"/>
    <w:rsid w:val="0059632C"/>
    <w:rsid w:val="0059790E"/>
    <w:rsid w:val="005979B7"/>
    <w:rsid w:val="005A031F"/>
    <w:rsid w:val="005A067B"/>
    <w:rsid w:val="005A2848"/>
    <w:rsid w:val="005A5EB2"/>
    <w:rsid w:val="005B074C"/>
    <w:rsid w:val="005B39EE"/>
    <w:rsid w:val="005B3B3A"/>
    <w:rsid w:val="005B3F31"/>
    <w:rsid w:val="005B6B75"/>
    <w:rsid w:val="005B7FAF"/>
    <w:rsid w:val="005C2246"/>
    <w:rsid w:val="005C2B77"/>
    <w:rsid w:val="005C73A0"/>
    <w:rsid w:val="005C7A49"/>
    <w:rsid w:val="005D0FC3"/>
    <w:rsid w:val="005D2319"/>
    <w:rsid w:val="005D2594"/>
    <w:rsid w:val="005D5F71"/>
    <w:rsid w:val="005D6C89"/>
    <w:rsid w:val="005D6F84"/>
    <w:rsid w:val="005D78FB"/>
    <w:rsid w:val="005E1514"/>
    <w:rsid w:val="005E2A49"/>
    <w:rsid w:val="005E2F5D"/>
    <w:rsid w:val="005E396A"/>
    <w:rsid w:val="005E3D0F"/>
    <w:rsid w:val="005E3F70"/>
    <w:rsid w:val="005E406D"/>
    <w:rsid w:val="005E643F"/>
    <w:rsid w:val="005E7618"/>
    <w:rsid w:val="005F2878"/>
    <w:rsid w:val="005F2CB2"/>
    <w:rsid w:val="005F3723"/>
    <w:rsid w:val="005F38B7"/>
    <w:rsid w:val="005F4164"/>
    <w:rsid w:val="005F4900"/>
    <w:rsid w:val="005F62F8"/>
    <w:rsid w:val="005F6941"/>
    <w:rsid w:val="005F6E1C"/>
    <w:rsid w:val="005F71F1"/>
    <w:rsid w:val="005F7CCB"/>
    <w:rsid w:val="005F7F99"/>
    <w:rsid w:val="00600382"/>
    <w:rsid w:val="00601224"/>
    <w:rsid w:val="00601A3A"/>
    <w:rsid w:val="00602ED9"/>
    <w:rsid w:val="006048E2"/>
    <w:rsid w:val="00605E57"/>
    <w:rsid w:val="006069DC"/>
    <w:rsid w:val="00610020"/>
    <w:rsid w:val="006100D3"/>
    <w:rsid w:val="00612A5A"/>
    <w:rsid w:val="00612F70"/>
    <w:rsid w:val="00614930"/>
    <w:rsid w:val="00615534"/>
    <w:rsid w:val="00621585"/>
    <w:rsid w:val="00622D75"/>
    <w:rsid w:val="00623229"/>
    <w:rsid w:val="0062337F"/>
    <w:rsid w:val="00625041"/>
    <w:rsid w:val="0062551A"/>
    <w:rsid w:val="006266EF"/>
    <w:rsid w:val="006312BB"/>
    <w:rsid w:val="006317AB"/>
    <w:rsid w:val="006321C7"/>
    <w:rsid w:val="00632B95"/>
    <w:rsid w:val="006361FC"/>
    <w:rsid w:val="006401DF"/>
    <w:rsid w:val="006423E0"/>
    <w:rsid w:val="006440B8"/>
    <w:rsid w:val="00645E0E"/>
    <w:rsid w:val="00646E28"/>
    <w:rsid w:val="00647C21"/>
    <w:rsid w:val="00654F58"/>
    <w:rsid w:val="00656533"/>
    <w:rsid w:val="00660788"/>
    <w:rsid w:val="00664480"/>
    <w:rsid w:val="00665589"/>
    <w:rsid w:val="0066637C"/>
    <w:rsid w:val="00666645"/>
    <w:rsid w:val="00666956"/>
    <w:rsid w:val="00666A05"/>
    <w:rsid w:val="0067121E"/>
    <w:rsid w:val="0067146F"/>
    <w:rsid w:val="00673A08"/>
    <w:rsid w:val="00673B0F"/>
    <w:rsid w:val="006748A7"/>
    <w:rsid w:val="00675437"/>
    <w:rsid w:val="00675531"/>
    <w:rsid w:val="006765EF"/>
    <w:rsid w:val="006769F4"/>
    <w:rsid w:val="00677E0F"/>
    <w:rsid w:val="0068172E"/>
    <w:rsid w:val="0068415D"/>
    <w:rsid w:val="00684438"/>
    <w:rsid w:val="00684E08"/>
    <w:rsid w:val="00685704"/>
    <w:rsid w:val="00691938"/>
    <w:rsid w:val="00691E05"/>
    <w:rsid w:val="006944E2"/>
    <w:rsid w:val="00695A43"/>
    <w:rsid w:val="00697F57"/>
    <w:rsid w:val="006A0AE3"/>
    <w:rsid w:val="006A417D"/>
    <w:rsid w:val="006A670D"/>
    <w:rsid w:val="006B0E20"/>
    <w:rsid w:val="006B435D"/>
    <w:rsid w:val="006B5A70"/>
    <w:rsid w:val="006B6B3A"/>
    <w:rsid w:val="006B7A57"/>
    <w:rsid w:val="006C0EDC"/>
    <w:rsid w:val="006C1A4B"/>
    <w:rsid w:val="006C34D8"/>
    <w:rsid w:val="006C43C4"/>
    <w:rsid w:val="006C5186"/>
    <w:rsid w:val="006D0686"/>
    <w:rsid w:val="006D0E65"/>
    <w:rsid w:val="006D0F60"/>
    <w:rsid w:val="006D1689"/>
    <w:rsid w:val="006D1730"/>
    <w:rsid w:val="006D1CD5"/>
    <w:rsid w:val="006D5A4A"/>
    <w:rsid w:val="006E1665"/>
    <w:rsid w:val="006E3C0A"/>
    <w:rsid w:val="006E51E7"/>
    <w:rsid w:val="006E56E4"/>
    <w:rsid w:val="006E603B"/>
    <w:rsid w:val="006E61CF"/>
    <w:rsid w:val="006E63A4"/>
    <w:rsid w:val="006E669B"/>
    <w:rsid w:val="006E761F"/>
    <w:rsid w:val="006F0528"/>
    <w:rsid w:val="006F059A"/>
    <w:rsid w:val="006F2CF8"/>
    <w:rsid w:val="006F3AFF"/>
    <w:rsid w:val="006F783D"/>
    <w:rsid w:val="006F790E"/>
    <w:rsid w:val="00700271"/>
    <w:rsid w:val="00703224"/>
    <w:rsid w:val="0070372C"/>
    <w:rsid w:val="00705094"/>
    <w:rsid w:val="007069C9"/>
    <w:rsid w:val="00706DBF"/>
    <w:rsid w:val="00710510"/>
    <w:rsid w:val="00710AD2"/>
    <w:rsid w:val="0071177E"/>
    <w:rsid w:val="0071315B"/>
    <w:rsid w:val="007136F2"/>
    <w:rsid w:val="00713C0C"/>
    <w:rsid w:val="00717481"/>
    <w:rsid w:val="00717670"/>
    <w:rsid w:val="00717F20"/>
    <w:rsid w:val="007225C6"/>
    <w:rsid w:val="00722B10"/>
    <w:rsid w:val="00722D49"/>
    <w:rsid w:val="00727B08"/>
    <w:rsid w:val="007314CA"/>
    <w:rsid w:val="007326C1"/>
    <w:rsid w:val="007362A1"/>
    <w:rsid w:val="00740B2D"/>
    <w:rsid w:val="00741AE6"/>
    <w:rsid w:val="00742545"/>
    <w:rsid w:val="007432E8"/>
    <w:rsid w:val="007453B4"/>
    <w:rsid w:val="00745EB2"/>
    <w:rsid w:val="00746B2A"/>
    <w:rsid w:val="00746D96"/>
    <w:rsid w:val="00751BB7"/>
    <w:rsid w:val="0075241F"/>
    <w:rsid w:val="00752678"/>
    <w:rsid w:val="00753BD8"/>
    <w:rsid w:val="00753D91"/>
    <w:rsid w:val="007543EF"/>
    <w:rsid w:val="00756540"/>
    <w:rsid w:val="00757BD6"/>
    <w:rsid w:val="00760E37"/>
    <w:rsid w:val="00760F9F"/>
    <w:rsid w:val="00761C85"/>
    <w:rsid w:val="00766BF0"/>
    <w:rsid w:val="00772A68"/>
    <w:rsid w:val="0077436A"/>
    <w:rsid w:val="00774709"/>
    <w:rsid w:val="00774747"/>
    <w:rsid w:val="007778A1"/>
    <w:rsid w:val="00777CED"/>
    <w:rsid w:val="007800C5"/>
    <w:rsid w:val="00780327"/>
    <w:rsid w:val="00781580"/>
    <w:rsid w:val="007817DF"/>
    <w:rsid w:val="007839D7"/>
    <w:rsid w:val="007866CB"/>
    <w:rsid w:val="00786FE3"/>
    <w:rsid w:val="00790AFC"/>
    <w:rsid w:val="0079187B"/>
    <w:rsid w:val="00792907"/>
    <w:rsid w:val="00793D1D"/>
    <w:rsid w:val="00795F51"/>
    <w:rsid w:val="00796AA2"/>
    <w:rsid w:val="007A0EC2"/>
    <w:rsid w:val="007A1324"/>
    <w:rsid w:val="007A18B9"/>
    <w:rsid w:val="007A309D"/>
    <w:rsid w:val="007A397A"/>
    <w:rsid w:val="007A45FA"/>
    <w:rsid w:val="007A56BC"/>
    <w:rsid w:val="007A5EA6"/>
    <w:rsid w:val="007A7C8F"/>
    <w:rsid w:val="007A7FF6"/>
    <w:rsid w:val="007B0B49"/>
    <w:rsid w:val="007B0E6B"/>
    <w:rsid w:val="007B2259"/>
    <w:rsid w:val="007B264D"/>
    <w:rsid w:val="007B3922"/>
    <w:rsid w:val="007B4430"/>
    <w:rsid w:val="007B5AC6"/>
    <w:rsid w:val="007B6A05"/>
    <w:rsid w:val="007C00DA"/>
    <w:rsid w:val="007C0896"/>
    <w:rsid w:val="007C1316"/>
    <w:rsid w:val="007C13AF"/>
    <w:rsid w:val="007C4472"/>
    <w:rsid w:val="007C5448"/>
    <w:rsid w:val="007C5993"/>
    <w:rsid w:val="007C6037"/>
    <w:rsid w:val="007C730F"/>
    <w:rsid w:val="007D0073"/>
    <w:rsid w:val="007D1D59"/>
    <w:rsid w:val="007D1F45"/>
    <w:rsid w:val="007D206A"/>
    <w:rsid w:val="007D267D"/>
    <w:rsid w:val="007D34A1"/>
    <w:rsid w:val="007D4FBE"/>
    <w:rsid w:val="007D7030"/>
    <w:rsid w:val="007D790B"/>
    <w:rsid w:val="007E0BF6"/>
    <w:rsid w:val="007E1C85"/>
    <w:rsid w:val="007E2709"/>
    <w:rsid w:val="007E2748"/>
    <w:rsid w:val="007E3769"/>
    <w:rsid w:val="007E37BA"/>
    <w:rsid w:val="007E5CBC"/>
    <w:rsid w:val="007E6BFE"/>
    <w:rsid w:val="007E7E41"/>
    <w:rsid w:val="007F0249"/>
    <w:rsid w:val="007F2070"/>
    <w:rsid w:val="007F7B32"/>
    <w:rsid w:val="007F7EBA"/>
    <w:rsid w:val="008022B8"/>
    <w:rsid w:val="0080234D"/>
    <w:rsid w:val="00806F91"/>
    <w:rsid w:val="00807257"/>
    <w:rsid w:val="0081314E"/>
    <w:rsid w:val="008159DE"/>
    <w:rsid w:val="0081671B"/>
    <w:rsid w:val="00820190"/>
    <w:rsid w:val="00822031"/>
    <w:rsid w:val="00824DED"/>
    <w:rsid w:val="00824E10"/>
    <w:rsid w:val="0082573A"/>
    <w:rsid w:val="00826597"/>
    <w:rsid w:val="00834328"/>
    <w:rsid w:val="0083532E"/>
    <w:rsid w:val="00836C10"/>
    <w:rsid w:val="00837B68"/>
    <w:rsid w:val="00840CE8"/>
    <w:rsid w:val="00842E1B"/>
    <w:rsid w:val="00843A20"/>
    <w:rsid w:val="00844CE5"/>
    <w:rsid w:val="008455ED"/>
    <w:rsid w:val="00845F82"/>
    <w:rsid w:val="00846606"/>
    <w:rsid w:val="00850564"/>
    <w:rsid w:val="0085101F"/>
    <w:rsid w:val="0085127B"/>
    <w:rsid w:val="00853A13"/>
    <w:rsid w:val="00854101"/>
    <w:rsid w:val="008543C4"/>
    <w:rsid w:val="00856498"/>
    <w:rsid w:val="0085716D"/>
    <w:rsid w:val="00860B84"/>
    <w:rsid w:val="00863277"/>
    <w:rsid w:val="00863E33"/>
    <w:rsid w:val="008652B7"/>
    <w:rsid w:val="008657AA"/>
    <w:rsid w:val="0087019A"/>
    <w:rsid w:val="00870FDB"/>
    <w:rsid w:val="008741B3"/>
    <w:rsid w:val="00874E9E"/>
    <w:rsid w:val="008750B1"/>
    <w:rsid w:val="00875163"/>
    <w:rsid w:val="0087538E"/>
    <w:rsid w:val="008756A3"/>
    <w:rsid w:val="00877889"/>
    <w:rsid w:val="00877B7C"/>
    <w:rsid w:val="00877C82"/>
    <w:rsid w:val="00880052"/>
    <w:rsid w:val="00880B67"/>
    <w:rsid w:val="008813F4"/>
    <w:rsid w:val="008839E5"/>
    <w:rsid w:val="00884C5E"/>
    <w:rsid w:val="00884FA3"/>
    <w:rsid w:val="00884FEF"/>
    <w:rsid w:val="008878A0"/>
    <w:rsid w:val="008878F4"/>
    <w:rsid w:val="00893C57"/>
    <w:rsid w:val="008954FF"/>
    <w:rsid w:val="00895D4A"/>
    <w:rsid w:val="0089601D"/>
    <w:rsid w:val="008A242F"/>
    <w:rsid w:val="008A2D22"/>
    <w:rsid w:val="008A38B3"/>
    <w:rsid w:val="008A5200"/>
    <w:rsid w:val="008A7F48"/>
    <w:rsid w:val="008B234D"/>
    <w:rsid w:val="008B2397"/>
    <w:rsid w:val="008B2465"/>
    <w:rsid w:val="008B3279"/>
    <w:rsid w:val="008B47F8"/>
    <w:rsid w:val="008B4D8E"/>
    <w:rsid w:val="008B5CB0"/>
    <w:rsid w:val="008C1F9B"/>
    <w:rsid w:val="008C20FF"/>
    <w:rsid w:val="008C24EB"/>
    <w:rsid w:val="008C524B"/>
    <w:rsid w:val="008C540D"/>
    <w:rsid w:val="008C573C"/>
    <w:rsid w:val="008C5FAF"/>
    <w:rsid w:val="008C63F4"/>
    <w:rsid w:val="008C683B"/>
    <w:rsid w:val="008D0CCE"/>
    <w:rsid w:val="008D1C9B"/>
    <w:rsid w:val="008D38E7"/>
    <w:rsid w:val="008D3F1E"/>
    <w:rsid w:val="008D53DB"/>
    <w:rsid w:val="008D63D9"/>
    <w:rsid w:val="008D7903"/>
    <w:rsid w:val="008E03BF"/>
    <w:rsid w:val="008E0434"/>
    <w:rsid w:val="008E27A0"/>
    <w:rsid w:val="008E3585"/>
    <w:rsid w:val="008E70EB"/>
    <w:rsid w:val="008F239D"/>
    <w:rsid w:val="008F24D5"/>
    <w:rsid w:val="008F2D69"/>
    <w:rsid w:val="008F45D8"/>
    <w:rsid w:val="008F62F3"/>
    <w:rsid w:val="008F663C"/>
    <w:rsid w:val="008F7387"/>
    <w:rsid w:val="008F7667"/>
    <w:rsid w:val="00900AE3"/>
    <w:rsid w:val="00903787"/>
    <w:rsid w:val="00903CF4"/>
    <w:rsid w:val="00904989"/>
    <w:rsid w:val="0090763D"/>
    <w:rsid w:val="00907E6F"/>
    <w:rsid w:val="00911028"/>
    <w:rsid w:val="00914FDF"/>
    <w:rsid w:val="00915241"/>
    <w:rsid w:val="00916547"/>
    <w:rsid w:val="009169BB"/>
    <w:rsid w:val="00920513"/>
    <w:rsid w:val="00921D94"/>
    <w:rsid w:val="00921FC0"/>
    <w:rsid w:val="009240AA"/>
    <w:rsid w:val="00924825"/>
    <w:rsid w:val="00924E0B"/>
    <w:rsid w:val="009255B3"/>
    <w:rsid w:val="00926719"/>
    <w:rsid w:val="0092793B"/>
    <w:rsid w:val="00931806"/>
    <w:rsid w:val="00931DC6"/>
    <w:rsid w:val="00932896"/>
    <w:rsid w:val="00935213"/>
    <w:rsid w:val="009367A4"/>
    <w:rsid w:val="00937926"/>
    <w:rsid w:val="00941376"/>
    <w:rsid w:val="00942FAA"/>
    <w:rsid w:val="00946711"/>
    <w:rsid w:val="00946E27"/>
    <w:rsid w:val="009477FD"/>
    <w:rsid w:val="00950883"/>
    <w:rsid w:val="00951592"/>
    <w:rsid w:val="00951B1A"/>
    <w:rsid w:val="009524E9"/>
    <w:rsid w:val="00952DD1"/>
    <w:rsid w:val="009533CB"/>
    <w:rsid w:val="00953787"/>
    <w:rsid w:val="00953BA8"/>
    <w:rsid w:val="009543FF"/>
    <w:rsid w:val="00954A98"/>
    <w:rsid w:val="00956275"/>
    <w:rsid w:val="00957E39"/>
    <w:rsid w:val="0096289C"/>
    <w:rsid w:val="0096461C"/>
    <w:rsid w:val="00965A53"/>
    <w:rsid w:val="00965C36"/>
    <w:rsid w:val="00967E22"/>
    <w:rsid w:val="00971F58"/>
    <w:rsid w:val="009752E0"/>
    <w:rsid w:val="00975F3D"/>
    <w:rsid w:val="00976693"/>
    <w:rsid w:val="009801C2"/>
    <w:rsid w:val="00980926"/>
    <w:rsid w:val="009815F4"/>
    <w:rsid w:val="009817FB"/>
    <w:rsid w:val="0098383C"/>
    <w:rsid w:val="00984276"/>
    <w:rsid w:val="00985415"/>
    <w:rsid w:val="009861E7"/>
    <w:rsid w:val="009861FD"/>
    <w:rsid w:val="00986FB0"/>
    <w:rsid w:val="0098727F"/>
    <w:rsid w:val="0099021B"/>
    <w:rsid w:val="009903E1"/>
    <w:rsid w:val="0099082F"/>
    <w:rsid w:val="009909FB"/>
    <w:rsid w:val="00991181"/>
    <w:rsid w:val="00991313"/>
    <w:rsid w:val="009918BD"/>
    <w:rsid w:val="00991903"/>
    <w:rsid w:val="0099272F"/>
    <w:rsid w:val="00994CE0"/>
    <w:rsid w:val="00994FDB"/>
    <w:rsid w:val="00995065"/>
    <w:rsid w:val="009955A7"/>
    <w:rsid w:val="00996628"/>
    <w:rsid w:val="009A06FC"/>
    <w:rsid w:val="009A0811"/>
    <w:rsid w:val="009A0DDC"/>
    <w:rsid w:val="009A41D8"/>
    <w:rsid w:val="009A5F72"/>
    <w:rsid w:val="009A671B"/>
    <w:rsid w:val="009A7A4E"/>
    <w:rsid w:val="009A7B88"/>
    <w:rsid w:val="009A7F01"/>
    <w:rsid w:val="009B0A4A"/>
    <w:rsid w:val="009B2C20"/>
    <w:rsid w:val="009B32DC"/>
    <w:rsid w:val="009B3888"/>
    <w:rsid w:val="009B3959"/>
    <w:rsid w:val="009B4360"/>
    <w:rsid w:val="009B6B55"/>
    <w:rsid w:val="009B7C2A"/>
    <w:rsid w:val="009C0324"/>
    <w:rsid w:val="009C25C0"/>
    <w:rsid w:val="009C4FF2"/>
    <w:rsid w:val="009C5D0E"/>
    <w:rsid w:val="009C7F18"/>
    <w:rsid w:val="009D05FE"/>
    <w:rsid w:val="009D2E5B"/>
    <w:rsid w:val="009D3A58"/>
    <w:rsid w:val="009D490E"/>
    <w:rsid w:val="009D4F67"/>
    <w:rsid w:val="009D5973"/>
    <w:rsid w:val="009D7924"/>
    <w:rsid w:val="009E00CE"/>
    <w:rsid w:val="009E0569"/>
    <w:rsid w:val="009E0AE8"/>
    <w:rsid w:val="009E18BF"/>
    <w:rsid w:val="009E1B70"/>
    <w:rsid w:val="009E2DBB"/>
    <w:rsid w:val="009E5E54"/>
    <w:rsid w:val="009E6011"/>
    <w:rsid w:val="009F1DCB"/>
    <w:rsid w:val="009F30F9"/>
    <w:rsid w:val="009F4500"/>
    <w:rsid w:val="009F4992"/>
    <w:rsid w:val="009F579E"/>
    <w:rsid w:val="009F6601"/>
    <w:rsid w:val="009F6CEF"/>
    <w:rsid w:val="009F7EC8"/>
    <w:rsid w:val="009F7ED6"/>
    <w:rsid w:val="00A01C5D"/>
    <w:rsid w:val="00A02D81"/>
    <w:rsid w:val="00A103C8"/>
    <w:rsid w:val="00A11780"/>
    <w:rsid w:val="00A13328"/>
    <w:rsid w:val="00A134F6"/>
    <w:rsid w:val="00A146CA"/>
    <w:rsid w:val="00A14974"/>
    <w:rsid w:val="00A14C3D"/>
    <w:rsid w:val="00A1542A"/>
    <w:rsid w:val="00A2009E"/>
    <w:rsid w:val="00A20246"/>
    <w:rsid w:val="00A203B5"/>
    <w:rsid w:val="00A20E75"/>
    <w:rsid w:val="00A2233B"/>
    <w:rsid w:val="00A23580"/>
    <w:rsid w:val="00A26031"/>
    <w:rsid w:val="00A2712E"/>
    <w:rsid w:val="00A275D5"/>
    <w:rsid w:val="00A318E8"/>
    <w:rsid w:val="00A320A7"/>
    <w:rsid w:val="00A32441"/>
    <w:rsid w:val="00A332FE"/>
    <w:rsid w:val="00A33F83"/>
    <w:rsid w:val="00A34239"/>
    <w:rsid w:val="00A371D4"/>
    <w:rsid w:val="00A40D28"/>
    <w:rsid w:val="00A41009"/>
    <w:rsid w:val="00A41471"/>
    <w:rsid w:val="00A4203C"/>
    <w:rsid w:val="00A42350"/>
    <w:rsid w:val="00A42C73"/>
    <w:rsid w:val="00A42EC7"/>
    <w:rsid w:val="00A4395E"/>
    <w:rsid w:val="00A4741B"/>
    <w:rsid w:val="00A506FC"/>
    <w:rsid w:val="00A50D96"/>
    <w:rsid w:val="00A5113D"/>
    <w:rsid w:val="00A51B2B"/>
    <w:rsid w:val="00A540E7"/>
    <w:rsid w:val="00A540FA"/>
    <w:rsid w:val="00A56436"/>
    <w:rsid w:val="00A61114"/>
    <w:rsid w:val="00A620DE"/>
    <w:rsid w:val="00A620F4"/>
    <w:rsid w:val="00A63557"/>
    <w:rsid w:val="00A64A2A"/>
    <w:rsid w:val="00A65E57"/>
    <w:rsid w:val="00A664AD"/>
    <w:rsid w:val="00A6734D"/>
    <w:rsid w:val="00A6738B"/>
    <w:rsid w:val="00A67A6B"/>
    <w:rsid w:val="00A67FDF"/>
    <w:rsid w:val="00A71098"/>
    <w:rsid w:val="00A71C28"/>
    <w:rsid w:val="00A7261F"/>
    <w:rsid w:val="00A72A45"/>
    <w:rsid w:val="00A73590"/>
    <w:rsid w:val="00A7384B"/>
    <w:rsid w:val="00A757D9"/>
    <w:rsid w:val="00A77456"/>
    <w:rsid w:val="00A8133E"/>
    <w:rsid w:val="00A81CD9"/>
    <w:rsid w:val="00A82A63"/>
    <w:rsid w:val="00A8763B"/>
    <w:rsid w:val="00A916F7"/>
    <w:rsid w:val="00A91A9A"/>
    <w:rsid w:val="00A92660"/>
    <w:rsid w:val="00A9343F"/>
    <w:rsid w:val="00A97164"/>
    <w:rsid w:val="00A974E9"/>
    <w:rsid w:val="00AA109B"/>
    <w:rsid w:val="00AA3134"/>
    <w:rsid w:val="00AA3867"/>
    <w:rsid w:val="00AA4FB5"/>
    <w:rsid w:val="00AB3441"/>
    <w:rsid w:val="00AB4ACC"/>
    <w:rsid w:val="00AB4CDC"/>
    <w:rsid w:val="00AB4D2C"/>
    <w:rsid w:val="00AB718A"/>
    <w:rsid w:val="00AB7C1E"/>
    <w:rsid w:val="00AC23EB"/>
    <w:rsid w:val="00AC36D3"/>
    <w:rsid w:val="00AC48DF"/>
    <w:rsid w:val="00AC58F3"/>
    <w:rsid w:val="00AC6504"/>
    <w:rsid w:val="00AC6C50"/>
    <w:rsid w:val="00AD0965"/>
    <w:rsid w:val="00AD355F"/>
    <w:rsid w:val="00AD3B6A"/>
    <w:rsid w:val="00AD4E5F"/>
    <w:rsid w:val="00AD5D23"/>
    <w:rsid w:val="00AD6B2B"/>
    <w:rsid w:val="00AD7F2F"/>
    <w:rsid w:val="00AE1464"/>
    <w:rsid w:val="00AE1FBE"/>
    <w:rsid w:val="00AE4991"/>
    <w:rsid w:val="00AE509B"/>
    <w:rsid w:val="00AE67A8"/>
    <w:rsid w:val="00AE6EC3"/>
    <w:rsid w:val="00AE734C"/>
    <w:rsid w:val="00AF0B66"/>
    <w:rsid w:val="00AF2C68"/>
    <w:rsid w:val="00AF3150"/>
    <w:rsid w:val="00AF46CF"/>
    <w:rsid w:val="00AF50DB"/>
    <w:rsid w:val="00AF553D"/>
    <w:rsid w:val="00AF6A6D"/>
    <w:rsid w:val="00AF6A81"/>
    <w:rsid w:val="00AF6FB1"/>
    <w:rsid w:val="00AF7D95"/>
    <w:rsid w:val="00B00030"/>
    <w:rsid w:val="00B01451"/>
    <w:rsid w:val="00B028E1"/>
    <w:rsid w:val="00B031F2"/>
    <w:rsid w:val="00B054CE"/>
    <w:rsid w:val="00B07760"/>
    <w:rsid w:val="00B1014D"/>
    <w:rsid w:val="00B1158D"/>
    <w:rsid w:val="00B11873"/>
    <w:rsid w:val="00B124C5"/>
    <w:rsid w:val="00B125AC"/>
    <w:rsid w:val="00B12603"/>
    <w:rsid w:val="00B129E0"/>
    <w:rsid w:val="00B12D7B"/>
    <w:rsid w:val="00B130D6"/>
    <w:rsid w:val="00B133F8"/>
    <w:rsid w:val="00B1422F"/>
    <w:rsid w:val="00B1466F"/>
    <w:rsid w:val="00B21040"/>
    <w:rsid w:val="00B213BF"/>
    <w:rsid w:val="00B21D72"/>
    <w:rsid w:val="00B21F9B"/>
    <w:rsid w:val="00B22163"/>
    <w:rsid w:val="00B23450"/>
    <w:rsid w:val="00B23BC4"/>
    <w:rsid w:val="00B27ABE"/>
    <w:rsid w:val="00B30613"/>
    <w:rsid w:val="00B33010"/>
    <w:rsid w:val="00B330BA"/>
    <w:rsid w:val="00B33278"/>
    <w:rsid w:val="00B34621"/>
    <w:rsid w:val="00B347C9"/>
    <w:rsid w:val="00B36B10"/>
    <w:rsid w:val="00B42FAC"/>
    <w:rsid w:val="00B4332F"/>
    <w:rsid w:val="00B43F7F"/>
    <w:rsid w:val="00B469DC"/>
    <w:rsid w:val="00B46C66"/>
    <w:rsid w:val="00B47163"/>
    <w:rsid w:val="00B50CD3"/>
    <w:rsid w:val="00B60BF0"/>
    <w:rsid w:val="00B61813"/>
    <w:rsid w:val="00B61F2C"/>
    <w:rsid w:val="00B625FA"/>
    <w:rsid w:val="00B62767"/>
    <w:rsid w:val="00B629D3"/>
    <w:rsid w:val="00B62B02"/>
    <w:rsid w:val="00B65A04"/>
    <w:rsid w:val="00B6604F"/>
    <w:rsid w:val="00B70601"/>
    <w:rsid w:val="00B70C48"/>
    <w:rsid w:val="00B71441"/>
    <w:rsid w:val="00B72139"/>
    <w:rsid w:val="00B73013"/>
    <w:rsid w:val="00B74228"/>
    <w:rsid w:val="00B7440C"/>
    <w:rsid w:val="00B74A1B"/>
    <w:rsid w:val="00B75F63"/>
    <w:rsid w:val="00B7602B"/>
    <w:rsid w:val="00B7674F"/>
    <w:rsid w:val="00B77F06"/>
    <w:rsid w:val="00B80669"/>
    <w:rsid w:val="00B82C99"/>
    <w:rsid w:val="00B82D57"/>
    <w:rsid w:val="00B83690"/>
    <w:rsid w:val="00B83BEA"/>
    <w:rsid w:val="00B83D03"/>
    <w:rsid w:val="00B84257"/>
    <w:rsid w:val="00B84F6F"/>
    <w:rsid w:val="00B8502E"/>
    <w:rsid w:val="00B853B6"/>
    <w:rsid w:val="00B85AA3"/>
    <w:rsid w:val="00B8712E"/>
    <w:rsid w:val="00B87184"/>
    <w:rsid w:val="00B921C6"/>
    <w:rsid w:val="00B9220F"/>
    <w:rsid w:val="00B9228E"/>
    <w:rsid w:val="00B928E7"/>
    <w:rsid w:val="00B93491"/>
    <w:rsid w:val="00B96B64"/>
    <w:rsid w:val="00B973EF"/>
    <w:rsid w:val="00BA054D"/>
    <w:rsid w:val="00BA0F6E"/>
    <w:rsid w:val="00BA2791"/>
    <w:rsid w:val="00BA3460"/>
    <w:rsid w:val="00BA4491"/>
    <w:rsid w:val="00BA54A7"/>
    <w:rsid w:val="00BA79C2"/>
    <w:rsid w:val="00BB381D"/>
    <w:rsid w:val="00BB5D89"/>
    <w:rsid w:val="00BB6765"/>
    <w:rsid w:val="00BC095F"/>
    <w:rsid w:val="00BC20FB"/>
    <w:rsid w:val="00BC26B7"/>
    <w:rsid w:val="00BC2CB5"/>
    <w:rsid w:val="00BC58CB"/>
    <w:rsid w:val="00BC5B1C"/>
    <w:rsid w:val="00BD31FB"/>
    <w:rsid w:val="00BD3E8B"/>
    <w:rsid w:val="00BD4663"/>
    <w:rsid w:val="00BD4A34"/>
    <w:rsid w:val="00BD79CD"/>
    <w:rsid w:val="00BE16A6"/>
    <w:rsid w:val="00BE1836"/>
    <w:rsid w:val="00BE1A6A"/>
    <w:rsid w:val="00BE1ABE"/>
    <w:rsid w:val="00BE378A"/>
    <w:rsid w:val="00BE403B"/>
    <w:rsid w:val="00BE40ED"/>
    <w:rsid w:val="00BE4CCE"/>
    <w:rsid w:val="00BE4CF1"/>
    <w:rsid w:val="00BE5229"/>
    <w:rsid w:val="00BE55F1"/>
    <w:rsid w:val="00BE6A61"/>
    <w:rsid w:val="00BE71E9"/>
    <w:rsid w:val="00BE786E"/>
    <w:rsid w:val="00BE797A"/>
    <w:rsid w:val="00BF3371"/>
    <w:rsid w:val="00BF412B"/>
    <w:rsid w:val="00BF57DE"/>
    <w:rsid w:val="00BF71D4"/>
    <w:rsid w:val="00BF722F"/>
    <w:rsid w:val="00C0283D"/>
    <w:rsid w:val="00C0296E"/>
    <w:rsid w:val="00C04D21"/>
    <w:rsid w:val="00C05307"/>
    <w:rsid w:val="00C0550D"/>
    <w:rsid w:val="00C05BE2"/>
    <w:rsid w:val="00C071C9"/>
    <w:rsid w:val="00C07799"/>
    <w:rsid w:val="00C10A12"/>
    <w:rsid w:val="00C10FAB"/>
    <w:rsid w:val="00C111B6"/>
    <w:rsid w:val="00C111D8"/>
    <w:rsid w:val="00C12134"/>
    <w:rsid w:val="00C156D8"/>
    <w:rsid w:val="00C15F0D"/>
    <w:rsid w:val="00C16636"/>
    <w:rsid w:val="00C167E9"/>
    <w:rsid w:val="00C20078"/>
    <w:rsid w:val="00C202E2"/>
    <w:rsid w:val="00C20A1F"/>
    <w:rsid w:val="00C24139"/>
    <w:rsid w:val="00C246F6"/>
    <w:rsid w:val="00C26360"/>
    <w:rsid w:val="00C26F3F"/>
    <w:rsid w:val="00C275FF"/>
    <w:rsid w:val="00C3266A"/>
    <w:rsid w:val="00C32E7C"/>
    <w:rsid w:val="00C371A8"/>
    <w:rsid w:val="00C379A7"/>
    <w:rsid w:val="00C43638"/>
    <w:rsid w:val="00C43CEF"/>
    <w:rsid w:val="00C44116"/>
    <w:rsid w:val="00C506CE"/>
    <w:rsid w:val="00C50A87"/>
    <w:rsid w:val="00C51CE1"/>
    <w:rsid w:val="00C52E1B"/>
    <w:rsid w:val="00C53838"/>
    <w:rsid w:val="00C53E25"/>
    <w:rsid w:val="00C53FD0"/>
    <w:rsid w:val="00C5428D"/>
    <w:rsid w:val="00C56F7B"/>
    <w:rsid w:val="00C57BE5"/>
    <w:rsid w:val="00C6003C"/>
    <w:rsid w:val="00C609E3"/>
    <w:rsid w:val="00C613F7"/>
    <w:rsid w:val="00C623F8"/>
    <w:rsid w:val="00C658C5"/>
    <w:rsid w:val="00C70067"/>
    <w:rsid w:val="00C70BBE"/>
    <w:rsid w:val="00C71AE1"/>
    <w:rsid w:val="00C71B5A"/>
    <w:rsid w:val="00C72B3F"/>
    <w:rsid w:val="00C730C5"/>
    <w:rsid w:val="00C73574"/>
    <w:rsid w:val="00C73E3D"/>
    <w:rsid w:val="00C74A26"/>
    <w:rsid w:val="00C74D67"/>
    <w:rsid w:val="00C751F6"/>
    <w:rsid w:val="00C7581B"/>
    <w:rsid w:val="00C75C64"/>
    <w:rsid w:val="00C7663C"/>
    <w:rsid w:val="00C77040"/>
    <w:rsid w:val="00C7730E"/>
    <w:rsid w:val="00C80D11"/>
    <w:rsid w:val="00C80D66"/>
    <w:rsid w:val="00C82E2D"/>
    <w:rsid w:val="00C8353F"/>
    <w:rsid w:val="00C838A6"/>
    <w:rsid w:val="00C84700"/>
    <w:rsid w:val="00C85603"/>
    <w:rsid w:val="00C86AF6"/>
    <w:rsid w:val="00C86B19"/>
    <w:rsid w:val="00C901DE"/>
    <w:rsid w:val="00C902B3"/>
    <w:rsid w:val="00C9036B"/>
    <w:rsid w:val="00C91C58"/>
    <w:rsid w:val="00C9224E"/>
    <w:rsid w:val="00C92CE6"/>
    <w:rsid w:val="00C9302A"/>
    <w:rsid w:val="00C93556"/>
    <w:rsid w:val="00C93D38"/>
    <w:rsid w:val="00C958FD"/>
    <w:rsid w:val="00C95A1D"/>
    <w:rsid w:val="00C960AB"/>
    <w:rsid w:val="00CA096A"/>
    <w:rsid w:val="00CA57AE"/>
    <w:rsid w:val="00CB26F5"/>
    <w:rsid w:val="00CB3527"/>
    <w:rsid w:val="00CB74CB"/>
    <w:rsid w:val="00CC0062"/>
    <w:rsid w:val="00CC0F6C"/>
    <w:rsid w:val="00CC7A5C"/>
    <w:rsid w:val="00CC7BC9"/>
    <w:rsid w:val="00CD0480"/>
    <w:rsid w:val="00CD1AD7"/>
    <w:rsid w:val="00CD25C7"/>
    <w:rsid w:val="00CD5274"/>
    <w:rsid w:val="00CD52BB"/>
    <w:rsid w:val="00CD72CE"/>
    <w:rsid w:val="00CD7378"/>
    <w:rsid w:val="00CD7D2F"/>
    <w:rsid w:val="00CE216B"/>
    <w:rsid w:val="00CE283F"/>
    <w:rsid w:val="00CF0A90"/>
    <w:rsid w:val="00CF2A93"/>
    <w:rsid w:val="00CF2FB1"/>
    <w:rsid w:val="00CF6F19"/>
    <w:rsid w:val="00D01F86"/>
    <w:rsid w:val="00D02DAB"/>
    <w:rsid w:val="00D04EA3"/>
    <w:rsid w:val="00D056CC"/>
    <w:rsid w:val="00D0643E"/>
    <w:rsid w:val="00D06D6C"/>
    <w:rsid w:val="00D07016"/>
    <w:rsid w:val="00D12793"/>
    <w:rsid w:val="00D13BED"/>
    <w:rsid w:val="00D15D34"/>
    <w:rsid w:val="00D173BC"/>
    <w:rsid w:val="00D22022"/>
    <w:rsid w:val="00D2263D"/>
    <w:rsid w:val="00D22674"/>
    <w:rsid w:val="00D232D9"/>
    <w:rsid w:val="00D23D67"/>
    <w:rsid w:val="00D25072"/>
    <w:rsid w:val="00D25633"/>
    <w:rsid w:val="00D27D04"/>
    <w:rsid w:val="00D27DF6"/>
    <w:rsid w:val="00D31097"/>
    <w:rsid w:val="00D314FB"/>
    <w:rsid w:val="00D317A7"/>
    <w:rsid w:val="00D32332"/>
    <w:rsid w:val="00D32E1F"/>
    <w:rsid w:val="00D33C57"/>
    <w:rsid w:val="00D34910"/>
    <w:rsid w:val="00D364EE"/>
    <w:rsid w:val="00D422E0"/>
    <w:rsid w:val="00D44D93"/>
    <w:rsid w:val="00D47F30"/>
    <w:rsid w:val="00D506A9"/>
    <w:rsid w:val="00D51F5F"/>
    <w:rsid w:val="00D53DA7"/>
    <w:rsid w:val="00D53F0C"/>
    <w:rsid w:val="00D5486C"/>
    <w:rsid w:val="00D55E69"/>
    <w:rsid w:val="00D562ED"/>
    <w:rsid w:val="00D56751"/>
    <w:rsid w:val="00D57860"/>
    <w:rsid w:val="00D61299"/>
    <w:rsid w:val="00D635F5"/>
    <w:rsid w:val="00D63D1B"/>
    <w:rsid w:val="00D64271"/>
    <w:rsid w:val="00D6430C"/>
    <w:rsid w:val="00D644F7"/>
    <w:rsid w:val="00D64EC1"/>
    <w:rsid w:val="00D6537E"/>
    <w:rsid w:val="00D65A82"/>
    <w:rsid w:val="00D6601F"/>
    <w:rsid w:val="00D66243"/>
    <w:rsid w:val="00D67680"/>
    <w:rsid w:val="00D70268"/>
    <w:rsid w:val="00D721B0"/>
    <w:rsid w:val="00D738FE"/>
    <w:rsid w:val="00D75ACC"/>
    <w:rsid w:val="00D77DC0"/>
    <w:rsid w:val="00D77F62"/>
    <w:rsid w:val="00D80A97"/>
    <w:rsid w:val="00D80FF0"/>
    <w:rsid w:val="00D81F23"/>
    <w:rsid w:val="00D8321A"/>
    <w:rsid w:val="00D85376"/>
    <w:rsid w:val="00D853F7"/>
    <w:rsid w:val="00D863AA"/>
    <w:rsid w:val="00D90F8B"/>
    <w:rsid w:val="00D91B7A"/>
    <w:rsid w:val="00D928F7"/>
    <w:rsid w:val="00D935C2"/>
    <w:rsid w:val="00D9408F"/>
    <w:rsid w:val="00D974EE"/>
    <w:rsid w:val="00DA0032"/>
    <w:rsid w:val="00DA15C9"/>
    <w:rsid w:val="00DA7031"/>
    <w:rsid w:val="00DA7551"/>
    <w:rsid w:val="00DA7A16"/>
    <w:rsid w:val="00DB28F8"/>
    <w:rsid w:val="00DB2BBA"/>
    <w:rsid w:val="00DB3C73"/>
    <w:rsid w:val="00DB486B"/>
    <w:rsid w:val="00DC10A1"/>
    <w:rsid w:val="00DC14A7"/>
    <w:rsid w:val="00DC3E94"/>
    <w:rsid w:val="00DC655F"/>
    <w:rsid w:val="00DC69D9"/>
    <w:rsid w:val="00DC6B82"/>
    <w:rsid w:val="00DC719A"/>
    <w:rsid w:val="00DC734D"/>
    <w:rsid w:val="00DC79F0"/>
    <w:rsid w:val="00DD0B85"/>
    <w:rsid w:val="00DD0CE6"/>
    <w:rsid w:val="00DD1288"/>
    <w:rsid w:val="00DD1441"/>
    <w:rsid w:val="00DD1E54"/>
    <w:rsid w:val="00DD1F66"/>
    <w:rsid w:val="00DD257F"/>
    <w:rsid w:val="00DD653A"/>
    <w:rsid w:val="00DD6977"/>
    <w:rsid w:val="00DD6D79"/>
    <w:rsid w:val="00DE2CCF"/>
    <w:rsid w:val="00DE35E4"/>
    <w:rsid w:val="00DE4140"/>
    <w:rsid w:val="00DE4F57"/>
    <w:rsid w:val="00DE50C3"/>
    <w:rsid w:val="00DE64C2"/>
    <w:rsid w:val="00DE75C1"/>
    <w:rsid w:val="00DF092C"/>
    <w:rsid w:val="00DF0C33"/>
    <w:rsid w:val="00DF1739"/>
    <w:rsid w:val="00DF2FC0"/>
    <w:rsid w:val="00DF3CDD"/>
    <w:rsid w:val="00DF4C87"/>
    <w:rsid w:val="00DF5466"/>
    <w:rsid w:val="00DF5BC8"/>
    <w:rsid w:val="00E01BD7"/>
    <w:rsid w:val="00E02674"/>
    <w:rsid w:val="00E02F44"/>
    <w:rsid w:val="00E03261"/>
    <w:rsid w:val="00E0731D"/>
    <w:rsid w:val="00E12C3C"/>
    <w:rsid w:val="00E16BB0"/>
    <w:rsid w:val="00E172F8"/>
    <w:rsid w:val="00E20813"/>
    <w:rsid w:val="00E219AE"/>
    <w:rsid w:val="00E21FCC"/>
    <w:rsid w:val="00E24611"/>
    <w:rsid w:val="00E25A07"/>
    <w:rsid w:val="00E26564"/>
    <w:rsid w:val="00E33861"/>
    <w:rsid w:val="00E33B28"/>
    <w:rsid w:val="00E34D44"/>
    <w:rsid w:val="00E375A7"/>
    <w:rsid w:val="00E37832"/>
    <w:rsid w:val="00E4140C"/>
    <w:rsid w:val="00E41C9E"/>
    <w:rsid w:val="00E41CD8"/>
    <w:rsid w:val="00E43155"/>
    <w:rsid w:val="00E43F85"/>
    <w:rsid w:val="00E46B2B"/>
    <w:rsid w:val="00E513E0"/>
    <w:rsid w:val="00E51C59"/>
    <w:rsid w:val="00E52010"/>
    <w:rsid w:val="00E52A17"/>
    <w:rsid w:val="00E54331"/>
    <w:rsid w:val="00E5518D"/>
    <w:rsid w:val="00E60D2D"/>
    <w:rsid w:val="00E610E1"/>
    <w:rsid w:val="00E62C9F"/>
    <w:rsid w:val="00E6404E"/>
    <w:rsid w:val="00E6524C"/>
    <w:rsid w:val="00E66991"/>
    <w:rsid w:val="00E66A41"/>
    <w:rsid w:val="00E679D5"/>
    <w:rsid w:val="00E70111"/>
    <w:rsid w:val="00E7044D"/>
    <w:rsid w:val="00E72255"/>
    <w:rsid w:val="00E7289E"/>
    <w:rsid w:val="00E7390B"/>
    <w:rsid w:val="00E75749"/>
    <w:rsid w:val="00E80D11"/>
    <w:rsid w:val="00E841CC"/>
    <w:rsid w:val="00E85720"/>
    <w:rsid w:val="00E8748C"/>
    <w:rsid w:val="00E915CB"/>
    <w:rsid w:val="00E9359C"/>
    <w:rsid w:val="00E945A2"/>
    <w:rsid w:val="00E9530D"/>
    <w:rsid w:val="00EA0DB4"/>
    <w:rsid w:val="00EA253F"/>
    <w:rsid w:val="00EA2B80"/>
    <w:rsid w:val="00EA3D1A"/>
    <w:rsid w:val="00EA6468"/>
    <w:rsid w:val="00EA7C36"/>
    <w:rsid w:val="00EB0FD2"/>
    <w:rsid w:val="00EB10F9"/>
    <w:rsid w:val="00EB3E49"/>
    <w:rsid w:val="00EB4AFC"/>
    <w:rsid w:val="00EB5708"/>
    <w:rsid w:val="00EC00B3"/>
    <w:rsid w:val="00EC01D1"/>
    <w:rsid w:val="00EC113D"/>
    <w:rsid w:val="00EC247E"/>
    <w:rsid w:val="00EC72F0"/>
    <w:rsid w:val="00EC7538"/>
    <w:rsid w:val="00ED0BA9"/>
    <w:rsid w:val="00ED18E4"/>
    <w:rsid w:val="00EE0044"/>
    <w:rsid w:val="00EE1106"/>
    <w:rsid w:val="00EE2A80"/>
    <w:rsid w:val="00EE3A35"/>
    <w:rsid w:val="00EE75C0"/>
    <w:rsid w:val="00EF2C79"/>
    <w:rsid w:val="00EF335D"/>
    <w:rsid w:val="00EF40B1"/>
    <w:rsid w:val="00EF55B2"/>
    <w:rsid w:val="00EF7D36"/>
    <w:rsid w:val="00F024F3"/>
    <w:rsid w:val="00F031F2"/>
    <w:rsid w:val="00F03B42"/>
    <w:rsid w:val="00F04843"/>
    <w:rsid w:val="00F05AE3"/>
    <w:rsid w:val="00F07424"/>
    <w:rsid w:val="00F07BF0"/>
    <w:rsid w:val="00F07DC5"/>
    <w:rsid w:val="00F104A4"/>
    <w:rsid w:val="00F10BFA"/>
    <w:rsid w:val="00F12A82"/>
    <w:rsid w:val="00F16C8B"/>
    <w:rsid w:val="00F25EE2"/>
    <w:rsid w:val="00F27404"/>
    <w:rsid w:val="00F27546"/>
    <w:rsid w:val="00F3104A"/>
    <w:rsid w:val="00F31BF1"/>
    <w:rsid w:val="00F31E5B"/>
    <w:rsid w:val="00F33981"/>
    <w:rsid w:val="00F36301"/>
    <w:rsid w:val="00F36352"/>
    <w:rsid w:val="00F37178"/>
    <w:rsid w:val="00F40213"/>
    <w:rsid w:val="00F42F25"/>
    <w:rsid w:val="00F44545"/>
    <w:rsid w:val="00F46174"/>
    <w:rsid w:val="00F47D22"/>
    <w:rsid w:val="00F50E84"/>
    <w:rsid w:val="00F57471"/>
    <w:rsid w:val="00F60645"/>
    <w:rsid w:val="00F61CE1"/>
    <w:rsid w:val="00F631E4"/>
    <w:rsid w:val="00F63B5C"/>
    <w:rsid w:val="00F6661A"/>
    <w:rsid w:val="00F670BB"/>
    <w:rsid w:val="00F673FD"/>
    <w:rsid w:val="00F6749D"/>
    <w:rsid w:val="00F71098"/>
    <w:rsid w:val="00F71776"/>
    <w:rsid w:val="00F71C13"/>
    <w:rsid w:val="00F71FFB"/>
    <w:rsid w:val="00F720BF"/>
    <w:rsid w:val="00F72B25"/>
    <w:rsid w:val="00F74927"/>
    <w:rsid w:val="00F749FA"/>
    <w:rsid w:val="00F7503B"/>
    <w:rsid w:val="00F769EB"/>
    <w:rsid w:val="00F8083B"/>
    <w:rsid w:val="00F84AB0"/>
    <w:rsid w:val="00F8685D"/>
    <w:rsid w:val="00F86E4B"/>
    <w:rsid w:val="00F90462"/>
    <w:rsid w:val="00F91F60"/>
    <w:rsid w:val="00F94D8A"/>
    <w:rsid w:val="00F97C1E"/>
    <w:rsid w:val="00FA4A67"/>
    <w:rsid w:val="00FA6AB5"/>
    <w:rsid w:val="00FA6B90"/>
    <w:rsid w:val="00FA7BC6"/>
    <w:rsid w:val="00FB01BD"/>
    <w:rsid w:val="00FB1EE4"/>
    <w:rsid w:val="00FB4185"/>
    <w:rsid w:val="00FB53F2"/>
    <w:rsid w:val="00FB7AEC"/>
    <w:rsid w:val="00FC024A"/>
    <w:rsid w:val="00FC07E3"/>
    <w:rsid w:val="00FC1439"/>
    <w:rsid w:val="00FC27A4"/>
    <w:rsid w:val="00FC351A"/>
    <w:rsid w:val="00FC4B0A"/>
    <w:rsid w:val="00FC61D4"/>
    <w:rsid w:val="00FC6DAE"/>
    <w:rsid w:val="00FC7698"/>
    <w:rsid w:val="00FD0FC6"/>
    <w:rsid w:val="00FD101A"/>
    <w:rsid w:val="00FD2606"/>
    <w:rsid w:val="00FD2F5C"/>
    <w:rsid w:val="00FD30EA"/>
    <w:rsid w:val="00FD4658"/>
    <w:rsid w:val="00FD5078"/>
    <w:rsid w:val="00FD646B"/>
    <w:rsid w:val="00FD7AF6"/>
    <w:rsid w:val="00FD7D0D"/>
    <w:rsid w:val="00FE1A97"/>
    <w:rsid w:val="00FE2FDC"/>
    <w:rsid w:val="00FE4D91"/>
    <w:rsid w:val="00FE5ACD"/>
    <w:rsid w:val="00FE5C62"/>
    <w:rsid w:val="00FE6128"/>
    <w:rsid w:val="00FF0589"/>
    <w:rsid w:val="00FF22B3"/>
    <w:rsid w:val="00FF318E"/>
    <w:rsid w:val="00FF3580"/>
    <w:rsid w:val="00FF3BC4"/>
    <w:rsid w:val="00FF3BF4"/>
    <w:rsid w:val="00FF6436"/>
    <w:rsid w:val="00FF6648"/>
    <w:rsid w:val="00FF68E3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E4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C6E4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rsid w:val="000D0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3C6E4A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B3E49"/>
    <w:rPr>
      <w:rFonts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A36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A364F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6666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6664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01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7F"/>
    <w:rPr>
      <w:sz w:val="0"/>
      <w:szCs w:val="0"/>
    </w:rPr>
  </w:style>
  <w:style w:type="paragraph" w:styleId="ab">
    <w:name w:val="header"/>
    <w:basedOn w:val="a"/>
    <w:link w:val="ac"/>
    <w:uiPriority w:val="99"/>
    <w:rsid w:val="00E02F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0D7F"/>
    <w:rPr>
      <w:sz w:val="24"/>
      <w:szCs w:val="24"/>
    </w:rPr>
  </w:style>
  <w:style w:type="character" w:styleId="ad">
    <w:name w:val="page number"/>
    <w:basedOn w:val="a0"/>
    <w:uiPriority w:val="99"/>
    <w:rsid w:val="00E02F44"/>
    <w:rPr>
      <w:rFonts w:cs="Times New Roman"/>
    </w:rPr>
  </w:style>
  <w:style w:type="paragraph" w:styleId="ae">
    <w:name w:val="footer"/>
    <w:basedOn w:val="a"/>
    <w:link w:val="af"/>
    <w:uiPriority w:val="99"/>
    <w:rsid w:val="00142D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0D7F"/>
    <w:rPr>
      <w:sz w:val="24"/>
      <w:szCs w:val="24"/>
    </w:rPr>
  </w:style>
  <w:style w:type="paragraph" w:styleId="af0">
    <w:name w:val="Normal (Web)"/>
    <w:basedOn w:val="a"/>
    <w:uiPriority w:val="99"/>
    <w:rsid w:val="00360C75"/>
    <w:pPr>
      <w:spacing w:before="100" w:beforeAutospacing="1" w:after="100" w:afterAutospacing="1"/>
    </w:pPr>
  </w:style>
  <w:style w:type="paragraph" w:customStyle="1" w:styleId="justifyfull">
    <w:name w:val="justifyfull"/>
    <w:basedOn w:val="a"/>
    <w:uiPriority w:val="99"/>
    <w:rsid w:val="00D5486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D5486C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styleId="af1">
    <w:name w:val="List Paragraph"/>
    <w:basedOn w:val="a"/>
    <w:uiPriority w:val="99"/>
    <w:qFormat/>
    <w:rsid w:val="00D548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3">
    <w:name w:val="Основной текст 213"/>
    <w:basedOn w:val="a"/>
    <w:uiPriority w:val="99"/>
    <w:rsid w:val="00612A5A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customStyle="1" w:styleId="xfmc1">
    <w:name w:val="xfmc1"/>
    <w:basedOn w:val="a"/>
    <w:uiPriority w:val="99"/>
    <w:rsid w:val="008D63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\FIN\2018\&#1042;&#1080;&#1082;&#1086;&#1085;&#1072;&#1085;&#1085;&#1103;%20&#1073;&#1102;&#1076;&#1078;&#1077;&#1090;&#1091;%20&#1079;&#1072;%20&#1030;%20&#1087;&#1110;&#1074;&#1088;&#1110;&#1095;&#1095;&#1103;%202018%20&#1088;&#1086;&#1082;&#1091;\&#1044;&#1110;&#1072;&#1075;&#1088;&#1072;&#1084;&#1080;%20&#1092;&#1072;&#1082;&#1090;%20&#1079;&#1072;%20&#1030;%20&#1087;&#1110;&#1074;&#1088;&#1110;&#1095;&#1095;&#1103;%202018%20&#1088;&#1086;&#1082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FIN\2018\&#1042;&#1080;&#1082;&#1086;&#1085;&#1072;&#1085;&#1085;&#1103;%20&#1073;&#1102;&#1076;&#1078;&#1077;&#1090;&#1091;%20&#1079;&#1072;%20&#1030;%20&#1087;&#1110;&#1074;&#1088;&#1110;&#1095;&#1095;&#1103;%202018%20&#1088;&#1086;&#1082;&#1091;\&#1044;&#1110;&#1072;&#1075;&#1088;&#1072;&#1084;&#1080;%20&#1092;&#1072;&#1082;&#1090;%20&#1079;&#1072;%20&#1030;%20&#1087;&#1110;&#1074;&#1088;&#1110;&#1095;&#1095;&#1103;%202018%20&#1088;&#1086;&#1082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FIN\2018\&#1042;&#1080;&#1082;&#1086;&#1085;&#1072;&#1085;&#1085;&#1103;%20&#1073;&#1102;&#1076;&#1078;&#1077;&#1090;&#1091;%20&#1079;&#1072;%20&#1030;%20&#1087;&#1110;&#1074;&#1088;&#1110;&#1095;&#1095;&#1103;%202018%20&#1088;&#1086;&#1082;&#1091;\&#1044;&#1110;&#1072;&#1075;&#1088;&#1072;&#1084;&#1080;%20&#1092;&#1072;&#1082;&#1090;%20&#1079;&#1072;%20&#1030;%20&#1087;&#1110;&#1074;&#1088;&#1110;&#1095;&#1095;&#1103;%202018%20&#1088;&#1086;&#1082;&#1091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17.1.2\budzhet\2018\&#1044;&#1086;&#1074;&#1110;&#1076;&#1082;&#1072;%20&#1087;&#1088;&#1086;%20&#1074;&#1080;&#1082;&#1086;&#1085;&#1072;&#1085;&#1085;&#1103;%20&#1073;&#1102;&#1076;&#1078;&#1077;&#1090;&#1091;\1%20&#1087;&#1110;&#1074;&#1088;&#1110;&#1095;&#1095;&#1103;%202018&#1088;&#1086;&#1082;&#1091;\&#1044;&#1110;&#1072;&#1075;&#1088;&#1072;&#1084;&#1080;%20%206%20%20&#1084;&#1110;&#1089;&#1103;&#1094;&#1110;&#1074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ser\Desktop\2018\&#1040;&#1085;&#1072;&#1083;&#1080;&#1079;\1%20&#1087;&#1110;&#1074;&#1088;&#1110;&#1095;&#1095;&#1103;%202018\&#1044;&#1110;&#1072;&#1075;&#1088;&#1072;&#1084;&#1080;%20%206%20%20&#1084;&#1110;&#1089;&#1103;&#1094;&#1110;&#1074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180"/>
      <c:perspective val="50"/>
    </c:view3D>
    <c:plotArea>
      <c:layout>
        <c:manualLayout>
          <c:layoutTarget val="inner"/>
          <c:xMode val="edge"/>
          <c:yMode val="edge"/>
          <c:x val="0.1063464290619366"/>
          <c:y val="0.13113873940049842"/>
          <c:w val="0.81675249877489164"/>
          <c:h val="0.83564039985477256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4"/>
            <c:spPr>
              <a:scene3d>
                <a:camera prst="orthographicFront"/>
                <a:lightRig rig="threePt" dir="t"/>
              </a:scene3d>
              <a:sp3d>
                <a:bevelT w="381000" h="254000"/>
              </a:sp3d>
            </c:spPr>
          </c:dPt>
          <c:dPt>
            <c:idx val="1"/>
            <c:spPr>
              <a:scene3d>
                <a:camera prst="orthographicFront"/>
                <a:lightRig rig="threePt" dir="t"/>
              </a:scene3d>
              <a:sp3d>
                <a:bevelT w="381000" h="254000"/>
                <a:bevelB w="381000" h="254000"/>
              </a:sp3d>
            </c:spPr>
          </c:dPt>
          <c:dPt>
            <c:idx val="2"/>
            <c:explosion val="8"/>
            <c:spPr>
              <a:scene3d>
                <a:camera prst="orthographicFront"/>
                <a:lightRig rig="threePt" dir="t"/>
              </a:scene3d>
              <a:sp3d>
                <a:bevelT w="381000" h="254000"/>
              </a:sp3d>
            </c:spPr>
          </c:dPt>
          <c:dLbls>
            <c:dLbl>
              <c:idx val="0"/>
              <c:layout>
                <c:manualLayout>
                  <c:x val="0.18809543739430193"/>
                  <c:y val="0.53485027993791756"/>
                </c:manualLayout>
              </c:layout>
              <c:showPercent val="1"/>
            </c:dLbl>
            <c:dLbl>
              <c:idx val="1"/>
              <c:layout>
                <c:manualLayout>
                  <c:x val="-4.3418829535563905E-2"/>
                  <c:y val="-3.2020997375328139E-2"/>
                </c:manualLayout>
              </c:layout>
              <c:showPercent val="1"/>
            </c:dLbl>
            <c:dLbl>
              <c:idx val="2"/>
              <c:layout>
                <c:manualLayout>
                  <c:x val="-0.2240461014723254"/>
                  <c:y val="0.37798623469280046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val>
            <c:numRef>
              <c:f>'Структура доходів І півр 2018'!$B$6:$B$8</c:f>
              <c:numCache>
                <c:formatCode>#,##0.0</c:formatCode>
                <c:ptCount val="3"/>
                <c:pt idx="0">
                  <c:v>2372.4002951799998</c:v>
                </c:pt>
                <c:pt idx="1">
                  <c:v>144.83335523999995</c:v>
                </c:pt>
                <c:pt idx="2">
                  <c:v>2086.8049211199987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1072315960504939"/>
          <c:y val="0.19047619047619052"/>
          <c:w val="0.77124407488076241"/>
          <c:h val="0.76545770412434833"/>
        </c:manualLayout>
      </c:layout>
      <c:ofPieChart>
        <c:ofPieType val="pie"/>
        <c:varyColors val="1"/>
        <c:ser>
          <c:idx val="0"/>
          <c:order val="0"/>
          <c:tx>
            <c:strRef>
              <c:f>'Структура ЗФ І півріччя 2018'!$C$4</c:f>
              <c:strCache>
                <c:ptCount val="1"/>
                <c:pt idx="0">
                  <c:v>Факт за І півріччя 2018 року</c:v>
                </c:pt>
              </c:strCache>
            </c:strRef>
          </c:tx>
          <c:dLbls>
            <c:dLbl>
              <c:idx val="0"/>
              <c:layout>
                <c:manualLayout>
                  <c:x val="0.10989426321709787"/>
                  <c:y val="-4.75651654654279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Податок на доходи фізичних осіб;</a:t>
                    </a:r>
                  </a:p>
                  <a:p>
                    <a:r>
                      <a:rPr lang="ru-RU"/>
                      <a:t> 1 492,8 млн.грн.;</a:t>
                    </a:r>
                  </a:p>
                  <a:p>
                    <a:r>
                      <a:rPr lang="ru-RU"/>
                      <a:t> 62,9%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8752674148117168"/>
                  <c:y val="-4.304387483479458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</a:t>
                    </a:r>
                    <a:r>
                      <a:rPr lang="ru-RU"/>
                      <a:t>одаток на прибуток та частина чистого прибутку; 12,2</a:t>
                    </a:r>
                    <a:r>
                      <a:rPr lang="en-US"/>
                      <a:t> </a:t>
                    </a:r>
                    <a:r>
                      <a:rPr lang="uk-UA"/>
                      <a:t>млн.грн.</a:t>
                    </a:r>
                    <a:r>
                      <a:rPr lang="ru-RU"/>
                      <a:t>; </a:t>
                    </a:r>
                  </a:p>
                  <a:p>
                    <a:r>
                      <a:rPr lang="ru-RU"/>
                      <a:t>0</a:t>
                    </a:r>
                    <a:r>
                      <a:rPr lang="en-US"/>
                      <a:t>,5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7.3857553961502662E-2"/>
                  <c:y val="-0.153923568064630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Акцизний податок;</a:t>
                    </a:r>
                  </a:p>
                  <a:p>
                    <a:r>
                      <a:rPr lang="ru-RU"/>
                      <a:t> 129,8 млн.грн.; </a:t>
                    </a:r>
                  </a:p>
                  <a:p>
                    <a:r>
                      <a:rPr lang="ru-RU"/>
                      <a:t>5,5%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0.26911302753822436"/>
                  <c:y val="-0.137936924551097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Плата за надання інших адмінпослуг;</a:t>
                    </a:r>
                  </a:p>
                  <a:p>
                    <a:r>
                      <a:rPr lang="ru-RU"/>
                      <a:t> 22,1 млн.грн.; </a:t>
                    </a:r>
                  </a:p>
                  <a:p>
                    <a:r>
                      <a:rPr lang="ru-RU"/>
                      <a:t>0,9%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5917027038286879"/>
                  <c:y val="1.6081323167937346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Плата за оренду МК; </a:t>
                    </a:r>
                  </a:p>
                  <a:p>
                    <a:r>
                      <a:rPr lang="ru-RU"/>
                      <a:t>13,6 млн.грн.;</a:t>
                    </a:r>
                  </a:p>
                  <a:p>
                    <a:r>
                      <a:rPr lang="ru-RU"/>
                      <a:t> 0,6%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7.8197058700995706E-2"/>
                  <c:y val="0.147609604355011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Інші; </a:t>
                    </a:r>
                  </a:p>
                  <a:p>
                    <a:r>
                      <a:rPr lang="ru-RU"/>
                      <a:t>15,9 млн.грн.; </a:t>
                    </a:r>
                  </a:p>
                  <a:p>
                    <a:r>
                      <a:rPr lang="ru-RU"/>
                      <a:t>0,7%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0.10502562179727537"/>
                  <c:y val="5.69795442236387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Єдиний податок; 258,0 млн.грн.;</a:t>
                    </a:r>
                  </a:p>
                  <a:p>
                    <a:r>
                      <a:rPr lang="ru-RU"/>
                      <a:t> 10,9%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7"/>
              <c:layout>
                <c:manualLayout>
                  <c:x val="2.4470941132358454E-2"/>
                  <c:y val="5.93997972475663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Плата за землю; 405,9 млн.грн.; </a:t>
                    </a:r>
                  </a:p>
                  <a:p>
                    <a:r>
                      <a:rPr lang="ru-RU"/>
                      <a:t>17,1%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8"/>
              <c:layout>
                <c:manualLayout>
                  <c:x val="-6.4016997875265629E-4"/>
                  <c:y val="7.00865169631574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 місцеві податки та збори;</a:t>
                    </a:r>
                  </a:p>
                  <a:p>
                    <a:r>
                      <a:rPr lang="ru-RU"/>
                      <a:t> 22,1 млн.грн.; 0,9%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 b="1"/>
                      <a:t>М</a:t>
                    </a:r>
                    <a:r>
                      <a:rPr lang="ru-RU"/>
                      <a:t>ісцеві податки та збори;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686,0 млн.грн.</a:t>
                    </a:r>
                    <a:r>
                      <a:rPr lang="ru-RU"/>
                      <a:t>
28,9%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'Структура ЗФ І півріччя 2018'!$B$5:$B$13</c:f>
              <c:strCache>
                <c:ptCount val="9"/>
                <c:pt idx="0">
                  <c:v>Податок на доходи фізичних осіб</c:v>
                </c:pt>
                <c:pt idx="1">
                  <c:v>Податок на прибуток та частина чистого прибутку</c:v>
                </c:pt>
                <c:pt idx="2">
                  <c:v>Акцизний податок </c:v>
                </c:pt>
                <c:pt idx="3">
                  <c:v>Плата за надання інших адмінпослуг</c:v>
                </c:pt>
                <c:pt idx="4">
                  <c:v>Плата за оренду МК</c:v>
                </c:pt>
                <c:pt idx="5">
                  <c:v>Інші</c:v>
                </c:pt>
                <c:pt idx="6">
                  <c:v>Єдиний податок</c:v>
                </c:pt>
                <c:pt idx="7">
                  <c:v>Плата за землю</c:v>
                </c:pt>
                <c:pt idx="8">
                  <c:v>Інші місцеві податки та збори</c:v>
                </c:pt>
              </c:strCache>
            </c:strRef>
          </c:cat>
          <c:val>
            <c:numRef>
              <c:f>'Структура ЗФ І півріччя 2018'!$C$5:$C$13</c:f>
              <c:numCache>
                <c:formatCode>#,##0.0</c:formatCode>
                <c:ptCount val="9"/>
                <c:pt idx="0">
                  <c:v>1492.84981389</c:v>
                </c:pt>
                <c:pt idx="1">
                  <c:v>12.202414800000001</c:v>
                </c:pt>
                <c:pt idx="2">
                  <c:v>129.77290816000001</c:v>
                </c:pt>
                <c:pt idx="3">
                  <c:v>22.142366060000001</c:v>
                </c:pt>
                <c:pt idx="4">
                  <c:v>13.565355390000002</c:v>
                </c:pt>
                <c:pt idx="5">
                  <c:v>15.914850779999998</c:v>
                </c:pt>
                <c:pt idx="6">
                  <c:v>258</c:v>
                </c:pt>
                <c:pt idx="7">
                  <c:v>405.9</c:v>
                </c:pt>
                <c:pt idx="8">
                  <c:v>22.1</c:v>
                </c:pt>
              </c:numCache>
            </c:numRef>
          </c:val>
        </c:ser>
        <c:dLbls>
          <c:showVal val="1"/>
          <c:showCatName val="1"/>
        </c:dLbls>
        <c:gapWidth val="100"/>
        <c:splitType val="pos"/>
        <c:splitPos val="3"/>
        <c:secondPieSize val="75"/>
        <c:serLines/>
      </c:ofPie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40"/>
      <c:rotY val="100"/>
      <c:perspective val="30"/>
    </c:view3D>
    <c:plotArea>
      <c:layout>
        <c:manualLayout>
          <c:layoutTarget val="inner"/>
          <c:xMode val="edge"/>
          <c:yMode val="edge"/>
          <c:x val="2.3095433330922378E-2"/>
          <c:y val="0"/>
          <c:w val="0.71153812709111641"/>
          <c:h val="1"/>
        </c:manualLayout>
      </c:layout>
      <c:pie3DChart>
        <c:varyColors val="1"/>
        <c:ser>
          <c:idx val="0"/>
          <c:order val="0"/>
          <c:tx>
            <c:strRef>
              <c:f>'Структура СФ за І півр 2018'!$C$3</c:f>
              <c:strCache>
                <c:ptCount val="1"/>
                <c:pt idx="0">
                  <c:v>Структура спеціального фонду за І півріччя 2018 року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0" h="254000"/>
              <a:bevelB w="381000" h="254000"/>
            </a:sp3d>
          </c:spPr>
          <c:explosion val="25"/>
          <c:dPt>
            <c:idx val="0"/>
            <c:explosion val="8"/>
          </c:dPt>
          <c:dPt>
            <c:idx val="1"/>
            <c:explosion val="11"/>
          </c:dPt>
          <c:dPt>
            <c:idx val="3"/>
            <c:explosion val="32"/>
          </c:dPt>
          <c:dPt>
            <c:idx val="4"/>
            <c:explosion val="21"/>
          </c:dPt>
          <c:dPt>
            <c:idx val="5"/>
            <c:explosion val="24"/>
          </c:dPt>
          <c:dLbls>
            <c:dLbl>
              <c:idx val="0"/>
              <c:layout>
                <c:manualLayout>
                  <c:x val="0"/>
                  <c:y val="-0.4879340949433344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u="sng">
                        <a:latin typeface="Times New Roman" pitchFamily="18" charset="0"/>
                        <a:cs typeface="Times New Roman" pitchFamily="18" charset="0"/>
                      </a:rPr>
                      <a:t>Власні надходження бюджетних установ </a:t>
                    </a:r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
120,2 млн.грн.
83,0%</a:t>
                    </a:r>
                  </a:p>
                </c:rich>
              </c:tx>
              <c:numFmt formatCode="0.0%" sourceLinked="0"/>
              <c:spPr>
                <a:ln>
                  <a:noFill/>
                </a:ln>
              </c:spPr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-9.2531265669405273E-4"/>
                  <c:y val="-0.11585514211778949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Екологічний податок</a:t>
                    </a:r>
                    <a:r>
                      <a:rPr lang="ru-RU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
12,2 млн.грн.
8,4%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8.9396775139922641E-2"/>
                  <c:y val="-5.635449922321722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u="sng">
                        <a:latin typeface="Times New Roman" pitchFamily="18" charset="0"/>
                        <a:cs typeface="Times New Roman" pitchFamily="18" charset="0"/>
                      </a:rPr>
                      <a:t>Кошти від відчуження майна</a:t>
                    </a:r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
4,7 млн.грн.
3,2%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8.0927068036404814E-2"/>
                  <c:y val="0.12164550240468516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u="sng">
                        <a:latin typeface="Times New Roman" pitchFamily="18" charset="0"/>
                        <a:cs typeface="Times New Roman" pitchFamily="18" charset="0"/>
                      </a:rPr>
                      <a:t>Кошти пайової участі</a:t>
                    </a:r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
2,7 млн.грн.
1,9%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7.0793976121959923E-2"/>
                  <c:y val="0.2222032931899346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u="sng">
                        <a:latin typeface="Times New Roman" pitchFamily="18" charset="0"/>
                        <a:cs typeface="Times New Roman" pitchFamily="18" charset="0"/>
                      </a:rPr>
                      <a:t>Кошти від продажу землі</a:t>
                    </a:r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
4,3</a:t>
                    </a:r>
                    <a:r>
                      <a:rPr lang="ru-RU" sz="1000" b="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млн.грн.
2,9%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-0.13457878607366255"/>
                  <c:y val="0.3242083855613038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u="sng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 sz="1000" b="0" u="sng"/>
                      <a:t>нші</a:t>
                    </a:r>
                    <a:r>
                      <a:rPr lang="ru-RU" sz="1000" b="0"/>
                      <a:t>
0,7</a:t>
                    </a:r>
                    <a:r>
                      <a:rPr lang="ru-RU" sz="1000" b="0" baseline="0"/>
                      <a:t> </a:t>
                    </a:r>
                    <a:r>
                      <a:rPr lang="ru-RU" sz="1000" b="0"/>
                      <a:t>млн.грн.
0,6%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0.19460485791877069"/>
                  <c:y val="0.2062105958168967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 sz="1100"/>
                      <a:t>нші
0,8 млн.грн.
0,5%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СФ за І півр 2018'!$B$4:$B$9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'Структура СФ за І півр 2018'!$C$4:$C$9</c:f>
              <c:numCache>
                <c:formatCode>#,##0.0</c:formatCode>
                <c:ptCount val="6"/>
                <c:pt idx="0">
                  <c:v>120.20064685</c:v>
                </c:pt>
                <c:pt idx="1">
                  <c:v>12.224046320000001</c:v>
                </c:pt>
                <c:pt idx="2">
                  <c:v>4.6968785199999914</c:v>
                </c:pt>
                <c:pt idx="3">
                  <c:v>2.7243253000000012</c:v>
                </c:pt>
                <c:pt idx="4">
                  <c:v>4.2602670299999996</c:v>
                </c:pt>
                <c:pt idx="5">
                  <c:v>0.72719122000000114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9.2847224942653322E-2"/>
          <c:y val="4.8080989876265474E-2"/>
          <c:w val="0.88667886431208565"/>
          <c:h val="0.81379554828373835"/>
        </c:manualLayout>
      </c:layout>
      <c:barChart>
        <c:barDir val="col"/>
        <c:grouping val="stacked"/>
        <c:ser>
          <c:idx val="0"/>
          <c:order val="0"/>
          <c:tx>
            <c:strRef>
              <c:f>'захищені  (5)'!$B$50</c:f>
              <c:strCache>
                <c:ptCount val="1"/>
                <c:pt idx="0">
                  <c:v>кошти місцевого
 бюджету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4.3956043956044036E-2"/>
                </c:manualLayout>
              </c:layout>
              <c:showVal val="1"/>
            </c:dLbl>
            <c:dLbl>
              <c:idx val="3"/>
              <c:layout>
                <c:manualLayout>
                  <c:x val="7.5097272084173791E-17"/>
                  <c:y val="-3.663003663003663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'захищені  (5)'!$A$51:$A$56</c:f>
              <c:strCache>
                <c:ptCount val="5"/>
                <c:pt idx="0">
                  <c:v>оплата праці
 з нарахуваннями</c:v>
                </c:pt>
                <c:pt idx="2">
                  <c:v>соціальні 
виплати </c:v>
                </c:pt>
                <c:pt idx="4">
                  <c:v>Інші  (енергоносії, реверс,
 медикаменти та харчування)</c:v>
                </c:pt>
              </c:strCache>
            </c:strRef>
          </c:cat>
          <c:val>
            <c:numRef>
              <c:f>'захищені  (5)'!$B$51:$B$56</c:f>
              <c:numCache>
                <c:formatCode>0.0</c:formatCode>
                <c:ptCount val="6"/>
                <c:pt idx="0">
                  <c:v>691.4256279999978</c:v>
                </c:pt>
                <c:pt idx="1">
                  <c:v>908.2</c:v>
                </c:pt>
                <c:pt idx="2">
                  <c:v>73.362214999999992</c:v>
                </c:pt>
                <c:pt idx="3">
                  <c:v>61.9</c:v>
                </c:pt>
                <c:pt idx="4">
                  <c:v>399.27207499999969</c:v>
                </c:pt>
                <c:pt idx="5">
                  <c:v>508.3</c:v>
                </c:pt>
              </c:numCache>
            </c:numRef>
          </c:val>
        </c:ser>
        <c:ser>
          <c:idx val="1"/>
          <c:order val="1"/>
          <c:tx>
            <c:strRef>
              <c:f>'захищені  (5)'!$C$50</c:f>
              <c:strCache>
                <c:ptCount val="1"/>
                <c:pt idx="0">
                  <c:v> трансферти з 
державного бюджету 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4"/>
              <c:layout>
                <c:manualLayout>
                  <c:x val="-8.2987551867219917E-3"/>
                  <c:y val="-1.859229747675972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8592297476759626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'захищені  (5)'!$A$51:$A$56</c:f>
              <c:strCache>
                <c:ptCount val="5"/>
                <c:pt idx="0">
                  <c:v>оплата праці
 з нарахуваннями</c:v>
                </c:pt>
                <c:pt idx="2">
                  <c:v>соціальні 
виплати </c:v>
                </c:pt>
                <c:pt idx="4">
                  <c:v>Інші  (енергоносії, реверс,
 медикаменти та харчування)</c:v>
                </c:pt>
              </c:strCache>
            </c:strRef>
          </c:cat>
          <c:val>
            <c:numRef>
              <c:f>'захищені  (5)'!$C$51:$C$56</c:f>
              <c:numCache>
                <c:formatCode>0.0</c:formatCode>
                <c:ptCount val="6"/>
                <c:pt idx="0">
                  <c:v>730.63837200000182</c:v>
                </c:pt>
                <c:pt idx="1">
                  <c:v>771.1</c:v>
                </c:pt>
                <c:pt idx="2">
                  <c:v>882.22168500000009</c:v>
                </c:pt>
                <c:pt idx="3">
                  <c:v>1298</c:v>
                </c:pt>
                <c:pt idx="4">
                  <c:v>0.22842500000000004</c:v>
                </c:pt>
                <c:pt idx="5">
                  <c:v>9.2000000000000011</c:v>
                </c:pt>
              </c:numCache>
            </c:numRef>
          </c:val>
        </c:ser>
        <c:dLbls>
          <c:showVal val="1"/>
        </c:dLbls>
        <c:gapWidth val="75"/>
        <c:overlap val="100"/>
        <c:axId val="105228928"/>
        <c:axId val="105251200"/>
      </c:barChart>
      <c:catAx>
        <c:axId val="105228928"/>
        <c:scaling>
          <c:orientation val="minMax"/>
        </c:scaling>
        <c:axPos val="b"/>
        <c:majorTickMark val="none"/>
        <c:tickLblPos val="none"/>
        <c:spPr>
          <a:noFill/>
        </c:spPr>
        <c:txPr>
          <a:bodyPr rot="0" vert="horz" anchor="t" anchorCtr="1"/>
          <a:lstStyle/>
          <a:p>
            <a:pPr>
              <a:defRPr sz="1100">
                <a:latin typeface="+mj-lt"/>
              </a:defRPr>
            </a:pPr>
            <a:endParaRPr lang="ru-RU"/>
          </a:p>
        </c:txPr>
        <c:crossAx val="105251200"/>
        <c:crosses val="autoZero"/>
        <c:lblAlgn val="ctr"/>
        <c:lblOffset val="150"/>
      </c:catAx>
      <c:valAx>
        <c:axId val="10525120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05228928"/>
        <c:crossesAt val="1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8.3980099502487568E-2"/>
          <c:y val="0.91568653918260157"/>
          <c:w val="0.80375550071166457"/>
          <c:h val="8.4313460817397823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5607503091039332"/>
          <c:y val="0.15780398250760064"/>
          <c:w val="0.71075478598350561"/>
          <c:h val="0.68225556451112901"/>
        </c:manualLayout>
      </c:layout>
      <c:pie3DChart>
        <c:varyColors val="1"/>
        <c:ser>
          <c:idx val="0"/>
          <c:order val="0"/>
          <c:spPr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/>
            </a:sp3d>
          </c:spPr>
          <c:explosion val="9"/>
          <c:dLbls>
            <c:dLbl>
              <c:idx val="0"/>
              <c:layout>
                <c:manualLayout>
                  <c:x val="7.462582156569271E-2"/>
                  <c:y val="-9.1675248054782846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/>
                      <a:t>світа </a:t>
                    </a:r>
                  </a:p>
                  <a:p>
                    <a:r>
                      <a:rPr lang="ru-RU"/>
                      <a:t>1 308,4 млн.грн. 29%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3.5352820672989581E-2"/>
                  <c:y val="-1.7832052430571928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/>
                      <a:t>хорона здоров'я </a:t>
                    </a:r>
                  </a:p>
                  <a:p>
                    <a:r>
                      <a:rPr lang="ru-RU"/>
                      <a:t>666,8 млн.грн.</a:t>
                    </a:r>
                  </a:p>
                  <a:p>
                    <a:r>
                      <a:rPr lang="ru-RU"/>
                      <a:t>15%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9811495412247132"/>
                  <c:y val="2.111734010426556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/>
                      <a:t>ультура </a:t>
                    </a:r>
                  </a:p>
                  <a:p>
                    <a:r>
                      <a:rPr lang="ru-RU"/>
                      <a:t>36,5 млн.грн.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4.6080236871217574E-2"/>
                  <c:y val="4.5163195076947479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ФК</a:t>
                    </a:r>
                    <a:r>
                      <a:rPr lang="ru-RU"/>
                      <a:t> і спорт</a:t>
                    </a:r>
                  </a:p>
                  <a:p>
                    <a:r>
                      <a:rPr lang="ru-RU"/>
                      <a:t> 47,4 млн.грн.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26807692329376176"/>
                  <c:y val="0.1671137253052949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У</a:t>
                    </a:r>
                    <a:r>
                      <a:rPr lang="ru-RU"/>
                      <a:t>тримання та заходи соціальних служб </a:t>
                    </a:r>
                  </a:p>
                  <a:p>
                    <a:r>
                      <a:rPr lang="ru-RU"/>
                      <a:t>25,3 млн.грн.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7.7102232055704198E-2"/>
                  <c:y val="-3.7485485991573989E-4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/>
                      <a:t>оціальний захист та соціальне  забезпечення, 
компенсація пільгового проїзду</a:t>
                    </a:r>
                  </a:p>
                  <a:p>
                    <a:r>
                      <a:rPr lang="ru-RU"/>
                      <a:t> 1 383,1 млн.грн. 30%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3279283666207428"/>
                  <c:y val="0.14322741645483344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Ж</a:t>
                    </a:r>
                    <a:r>
                      <a:rPr lang="ru-RU"/>
                      <a:t>итлово-комунальне  господарство</a:t>
                    </a:r>
                  </a:p>
                  <a:p>
                    <a:r>
                      <a:rPr lang="ru-RU"/>
                      <a:t>453,8 млн.грн.</a:t>
                    </a:r>
                  </a:p>
                  <a:p>
                    <a:r>
                      <a:rPr lang="ru-RU"/>
                      <a:t>10%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9.0747868809787247E-2"/>
                  <c:y val="1.9672135210457926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/>
                      <a:t>ошти, що передаються до  держаного бюджету </a:t>
                    </a:r>
                  </a:p>
                  <a:p>
                    <a:r>
                      <a:rPr lang="ru-RU"/>
                      <a:t>175,7 млн.грн.</a:t>
                    </a:r>
                  </a:p>
                  <a:p>
                    <a:r>
                      <a:rPr lang="ru-RU"/>
                      <a:t> 4%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4.5870534261729684E-2"/>
                  <c:y val="-2.6306136838752929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Т</a:t>
                    </a:r>
                    <a:r>
                      <a:rPr lang="ru-RU"/>
                      <a:t>ранспорт</a:t>
                    </a:r>
                  </a:p>
                  <a:p>
                    <a:r>
                      <a:rPr lang="ru-RU"/>
                      <a:t> 214,4 млн.грн.</a:t>
                    </a:r>
                  </a:p>
                  <a:p>
                    <a:r>
                      <a:rPr lang="ru-RU"/>
                      <a:t>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0.18224637209605113"/>
                  <c:y val="-7.1879193882368724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/>
                      <a:t>нші видатки</a:t>
                    </a:r>
                  </a:p>
                  <a:p>
                    <a:r>
                      <a:rPr lang="ru-RU"/>
                      <a:t>213,9 млн.грн.</a:t>
                    </a:r>
                  </a:p>
                  <a:p>
                    <a:r>
                      <a:rPr lang="ru-RU"/>
                      <a:t>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spPr>
              <a:solidFill>
                <a:sysClr val="window" lastClr="FFFFFF">
                  <a:alpha val="0"/>
                </a:sysClr>
              </a:solidFill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sz="105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6350" cap="rnd">
                  <a:bevel/>
                </a:ln>
              </c:spPr>
            </c:leaderLines>
          </c:dLbls>
          <c:cat>
            <c:strRef>
              <c:f>'з+с ф. функц.'!$A$1:$A$10</c:f>
              <c:strCache>
                <c:ptCount val="10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Утримання та заходи соціальних служб</c:v>
                </c:pt>
                <c:pt idx="5">
                  <c:v>Соціальний захист та соціальне  забезпечення, 
компенсація пільгового проїзду</c:v>
                </c:pt>
                <c:pt idx="6">
                  <c:v>Житлово-комунальне  господарство</c:v>
                </c:pt>
                <c:pt idx="7">
                  <c:v>Кошти, що передаються до  держаного бюджету</c:v>
                </c:pt>
                <c:pt idx="8">
                  <c:v>Транспорт</c:v>
                </c:pt>
                <c:pt idx="9">
                  <c:v>Інші видатки</c:v>
                </c:pt>
              </c:strCache>
            </c:strRef>
          </c:cat>
          <c:val>
            <c:numRef>
              <c:f>'з+с ф. функц.'!$B$1:$B$10</c:f>
              <c:numCache>
                <c:formatCode>#,##0.0</c:formatCode>
                <c:ptCount val="10"/>
                <c:pt idx="0">
                  <c:v>1308.4000000000001</c:v>
                </c:pt>
                <c:pt idx="1">
                  <c:v>666.8</c:v>
                </c:pt>
                <c:pt idx="2">
                  <c:v>36.5</c:v>
                </c:pt>
                <c:pt idx="3">
                  <c:v>47.4</c:v>
                </c:pt>
                <c:pt idx="4">
                  <c:v>25.3</c:v>
                </c:pt>
                <c:pt idx="5">
                  <c:v>1383.1</c:v>
                </c:pt>
                <c:pt idx="6">
                  <c:v>453.8</c:v>
                </c:pt>
                <c:pt idx="7">
                  <c:v>175.7</c:v>
                </c:pt>
                <c:pt idx="8">
                  <c:v>214.4</c:v>
                </c:pt>
                <c:pt idx="9">
                  <c:v>213.9</c:v>
                </c:pt>
              </c:numCache>
            </c:numRef>
          </c:val>
        </c:ser>
        <c:dLbls>
          <c:showVal val="1"/>
          <c:showCatName val="1"/>
        </c:dLbls>
      </c:pie3DChart>
      <c:spPr>
        <a:effectLst>
          <a:outerShdw blurRad="50800" dist="50800" dir="5400000" algn="ctr" rotWithShape="0">
            <a:srgbClr val="DCFCEE"/>
          </a:outerShdw>
        </a:effectLst>
      </c:spPr>
    </c:plotArea>
    <c:plotVisOnly val="1"/>
  </c:chart>
  <c:spPr>
    <a:noFill/>
    <a:ln>
      <a:noFill/>
    </a:ln>
    <a:effectLst>
      <a:outerShdw blurRad="50800" dist="50800" dir="5400000" sx="1000" sy="1000" algn="ctr" rotWithShape="0">
        <a:srgbClr val="000000"/>
      </a:outerShdw>
    </a:effectLst>
    <a:scene3d>
      <a:camera prst="orthographicFront"/>
      <a:lightRig rig="threePt" dir="t"/>
    </a:scene3d>
    <a:sp3d prstMaterial="translucentPowder">
      <a:bevelT w="165100" prst="coolSlant"/>
      <a:bevelB w="63500" h="165100"/>
    </a:sp3d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0.68267</cdr:y>
    </cdr:from>
    <cdr:to>
      <cdr:x>0.30346</cdr:x>
      <cdr:y>0.94667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0" y="2438400"/>
          <a:ext cx="1867028" cy="942975"/>
        </a:xfrm>
        <a:prstGeom xmlns:a="http://schemas.openxmlformats.org/drawingml/2006/main" prst="rightArrow">
          <a:avLst>
            <a:gd name="adj1" fmla="val 50000"/>
            <a:gd name="adj2" fmla="val 27209"/>
          </a:avLst>
        </a:prstGeom>
        <a:solidFill xmlns:a="http://schemas.openxmlformats.org/drawingml/2006/main">
          <a:srgbClr val="4F81BD">
            <a:alpha val="37000"/>
          </a:srgb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t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Доходи загального фонду</a:t>
          </a:r>
        </a:p>
        <a:p xmlns:a="http://schemas.openxmlformats.org/drawingml/2006/main">
          <a:pPr algn="ctr"/>
          <a:r>
            <a:rPr lang="ru-RU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</a:t>
          </a:r>
          <a:r>
            <a:rPr lang="ru-RU" sz="1100" b="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372,4</a:t>
          </a:r>
          <a:r>
            <a:rPr lang="ru-RU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млн.грн.</a:t>
          </a:r>
        </a:p>
      </cdr:txBody>
    </cdr:sp>
  </cdr:relSizeAnchor>
  <cdr:relSizeAnchor xmlns:cdr="http://schemas.openxmlformats.org/drawingml/2006/chartDrawing">
    <cdr:from>
      <cdr:x>0.61168</cdr:x>
      <cdr:y>0</cdr:y>
    </cdr:from>
    <cdr:to>
      <cdr:x>0.96295</cdr:x>
      <cdr:y>0.22133</cdr:y>
    </cdr:to>
    <cdr:sp macro="" textlink="">
      <cdr:nvSpPr>
        <cdr:cNvPr id="5" name="Стрелка влево 3"/>
        <cdr:cNvSpPr/>
      </cdr:nvSpPr>
      <cdr:spPr>
        <a:xfrm xmlns:a="http://schemas.openxmlformats.org/drawingml/2006/main">
          <a:off x="3763366" y="0"/>
          <a:ext cx="2161184" cy="790575"/>
        </a:xfrm>
        <a:prstGeom xmlns:a="http://schemas.openxmlformats.org/drawingml/2006/main" prst="leftArrow">
          <a:avLst>
            <a:gd name="adj1" fmla="val 66403"/>
            <a:gd name="adj2" fmla="val 27825"/>
          </a:avLst>
        </a:prstGeom>
        <a:solidFill xmlns:a="http://schemas.openxmlformats.org/drawingml/2006/main">
          <a:schemeClr val="accent6">
            <a:lumMod val="60000"/>
            <a:lumOff val="40000"/>
            <a:alpha val="6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t"/>
        <a:lstStyle xmlns:a="http://schemas.openxmlformats.org/drawingml/2006/main"/>
        <a:p xmlns:a="http://schemas.openxmlformats.org/drawingml/2006/main">
          <a:pPr algn="ctr"/>
          <a:r>
            <a:rPr lang="ru-RU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Доходи спеціального фонду</a:t>
          </a:r>
        </a:p>
        <a:p xmlns:a="http://schemas.openxmlformats.org/drawingml/2006/main">
          <a:pPr algn="ctr"/>
          <a:r>
            <a:rPr lang="ru-RU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144,8 млн.грн.</a:t>
          </a:r>
        </a:p>
      </cdr:txBody>
    </cdr:sp>
  </cdr:relSizeAnchor>
  <cdr:relSizeAnchor xmlns:cdr="http://schemas.openxmlformats.org/drawingml/2006/chartDrawing">
    <cdr:from>
      <cdr:x>0.71524</cdr:x>
      <cdr:y>0.7355</cdr:y>
    </cdr:from>
    <cdr:to>
      <cdr:x>1</cdr:x>
      <cdr:y>0.952</cdr:y>
    </cdr:to>
    <cdr:sp macro="" textlink="">
      <cdr:nvSpPr>
        <cdr:cNvPr id="8" name="Стрелка влево 2"/>
        <cdr:cNvSpPr/>
      </cdr:nvSpPr>
      <cdr:spPr>
        <a:xfrm xmlns:a="http://schemas.openxmlformats.org/drawingml/2006/main">
          <a:off x="4400549" y="2627113"/>
          <a:ext cx="1751966" cy="773311"/>
        </a:xfrm>
        <a:prstGeom xmlns:a="http://schemas.openxmlformats.org/drawingml/2006/main" prst="leftArrow">
          <a:avLst>
            <a:gd name="adj1" fmla="val 71277"/>
            <a:gd name="adj2" fmla="val 34772"/>
          </a:avLst>
        </a:prstGeom>
        <a:solidFill xmlns:a="http://schemas.openxmlformats.org/drawingml/2006/main">
          <a:schemeClr val="accent3">
            <a:lumMod val="60000"/>
            <a:lumOff val="40000"/>
            <a:alpha val="6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t"/>
        <a:lstStyle xmlns:a="http://schemas.openxmlformats.org/drawingml/2006/main"/>
        <a:p xmlns:a="http://schemas.openxmlformats.org/drawingml/2006/main">
          <a:pPr algn="ctr"/>
          <a:r>
            <a:rPr lang="ru-RU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Офіційні трансферти</a:t>
          </a:r>
        </a:p>
        <a:p xmlns:a="http://schemas.openxmlformats.org/drawingml/2006/main">
          <a:pPr algn="ctr"/>
          <a:r>
            <a:rPr lang="ru-RU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</a:t>
          </a:r>
          <a:r>
            <a:rPr lang="ru-RU" sz="1100" b="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086,8</a:t>
          </a:r>
          <a:r>
            <a:rPr lang="ru-RU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млн.грн.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0.11515</cdr:x>
      <cdr:y>0.03511</cdr:y>
    </cdr:from>
    <cdr:to>
      <cdr:x>0.24793</cdr:x>
      <cdr:y>0.08367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704850" y="167892"/>
          <a:ext cx="812800" cy="232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0.11308</cdr:x>
      <cdr:y>0.86336</cdr:y>
    </cdr:from>
    <cdr:to>
      <cdr:x>0.20564</cdr:x>
      <cdr:y>0.92208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649483" y="3166052"/>
          <a:ext cx="531626" cy="215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2017</a:t>
          </a:r>
        </a:p>
      </cdr:txBody>
    </cdr:sp>
  </cdr:relSizeAnchor>
  <cdr:relSizeAnchor xmlns:cdr="http://schemas.openxmlformats.org/drawingml/2006/chartDrawing">
    <cdr:from>
      <cdr:x>0.26431</cdr:x>
      <cdr:y>0.86617</cdr:y>
    </cdr:from>
    <cdr:to>
      <cdr:x>0.35871</cdr:x>
      <cdr:y>0.91673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518084" y="3176357"/>
          <a:ext cx="542194" cy="1854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0.41266</cdr:x>
      <cdr:y>0.86512</cdr:y>
    </cdr:from>
    <cdr:to>
      <cdr:x>0.5058</cdr:x>
      <cdr:y>0.91948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370144" y="3172506"/>
          <a:ext cx="534956" cy="1993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2017</a:t>
          </a:r>
        </a:p>
      </cdr:txBody>
    </cdr:sp>
  </cdr:relSizeAnchor>
  <cdr:relSizeAnchor xmlns:cdr="http://schemas.openxmlformats.org/drawingml/2006/chartDrawing">
    <cdr:from>
      <cdr:x>0.56716</cdr:x>
      <cdr:y>0.86519</cdr:y>
    </cdr:from>
    <cdr:to>
      <cdr:x>0.65393</cdr:x>
      <cdr:y>0.93247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257526" y="3172763"/>
          <a:ext cx="498370" cy="246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0.70813</cdr:x>
      <cdr:y>0.86132</cdr:y>
    </cdr:from>
    <cdr:to>
      <cdr:x>0.80311</cdr:x>
      <cdr:y>0.91948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4067198" y="3158571"/>
          <a:ext cx="545525" cy="213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2017</a:t>
          </a:r>
        </a:p>
      </cdr:txBody>
    </cdr:sp>
  </cdr:relSizeAnchor>
  <cdr:relSizeAnchor xmlns:cdr="http://schemas.openxmlformats.org/drawingml/2006/chartDrawing">
    <cdr:from>
      <cdr:x>0.86001</cdr:x>
      <cdr:y>0.86126</cdr:y>
    </cdr:from>
    <cdr:to>
      <cdr:x>0.94196</cdr:x>
      <cdr:y>0.91948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4939532" y="3158351"/>
          <a:ext cx="470686" cy="213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0.06229</cdr:x>
      <cdr:y>0</cdr:y>
    </cdr:from>
    <cdr:to>
      <cdr:x>0.31832</cdr:x>
      <cdr:y>0.13074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386272" y="0"/>
          <a:ext cx="1587584" cy="4532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r>
            <a:rPr lang="ru-RU" sz="1100"/>
            <a:t>      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оплата праці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 з нарахуваннями</a:t>
          </a:r>
        </a:p>
      </cdr:txBody>
    </cdr:sp>
  </cdr:relSizeAnchor>
  <cdr:relSizeAnchor xmlns:cdr="http://schemas.openxmlformats.org/drawingml/2006/chartDrawing">
    <cdr:from>
      <cdr:x>0.40314</cdr:x>
      <cdr:y>0.11681</cdr:y>
    </cdr:from>
    <cdr:to>
      <cdr:x>0.63174</cdr:x>
      <cdr:y>0.27467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2492101" y="390525"/>
          <a:ext cx="1413142" cy="527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r>
            <a:rPr lang="ru-RU" sz="1100"/>
            <a:t>       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соціальні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виплати </a:t>
          </a:r>
        </a:p>
      </cdr:txBody>
    </cdr:sp>
  </cdr:relSizeAnchor>
  <cdr:relSizeAnchor xmlns:cdr="http://schemas.openxmlformats.org/drawingml/2006/chartDrawing">
    <cdr:from>
      <cdr:x>0.43465</cdr:x>
      <cdr:y>0.07304</cdr:y>
    </cdr:from>
    <cdr:to>
      <cdr:x>0.6639</cdr:x>
      <cdr:y>0.18459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2660650" y="349250"/>
          <a:ext cx="1403350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0.72407</cdr:x>
      <cdr:y>0.45153</cdr:y>
    </cdr:from>
    <cdr:to>
      <cdr:x>0.91909</cdr:x>
      <cdr:y>0.57371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4432300" y="2159000"/>
          <a:ext cx="1193800" cy="584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0.69087</cdr:x>
      <cdr:y>0.41301</cdr:y>
    </cdr:from>
    <cdr:to>
      <cdr:x>0.97925</cdr:x>
      <cdr:y>0.59628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4229100" y="1974850"/>
          <a:ext cx="1765300" cy="876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інші  (енергоносії, реверс, медикаменти та харчування)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2771</Words>
  <Characters>15798</Characters>
  <Application>Microsoft Office Word</Application>
  <DocSecurity>0</DocSecurity>
  <Lines>131</Lines>
  <Paragraphs>37</Paragraphs>
  <ScaleCrop>false</ScaleCrop>
  <Company>Microsoft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Jilia20</dc:creator>
  <cp:lastModifiedBy>Селезньова</cp:lastModifiedBy>
  <cp:revision>5</cp:revision>
  <cp:lastPrinted>2018-08-16T13:39:00Z</cp:lastPrinted>
  <dcterms:created xsi:type="dcterms:W3CDTF">2018-08-22T12:09:00Z</dcterms:created>
  <dcterms:modified xsi:type="dcterms:W3CDTF">2018-08-22T13:59:00Z</dcterms:modified>
</cp:coreProperties>
</file>