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E08" w:rsidRDefault="00345E08" w:rsidP="00675437">
      <w:pPr>
        <w:pStyle w:val="a4"/>
        <w:ind w:firstLine="708"/>
        <w:jc w:val="center"/>
        <w:rPr>
          <w:b/>
          <w:bCs/>
          <w:szCs w:val="28"/>
        </w:rPr>
      </w:pPr>
      <w:r>
        <w:rPr>
          <w:b/>
          <w:bCs/>
          <w:szCs w:val="28"/>
        </w:rPr>
        <w:t>Довідка про</w:t>
      </w:r>
      <w:r w:rsidR="00675437" w:rsidRPr="005F3723">
        <w:rPr>
          <w:b/>
          <w:bCs/>
          <w:szCs w:val="28"/>
        </w:rPr>
        <w:t xml:space="preserve"> виконання бюджету</w:t>
      </w:r>
      <w:r>
        <w:rPr>
          <w:b/>
          <w:bCs/>
          <w:szCs w:val="28"/>
        </w:rPr>
        <w:t xml:space="preserve"> міста Запоріжжя</w:t>
      </w:r>
    </w:p>
    <w:p w:rsidR="00675437" w:rsidRPr="005F3723" w:rsidRDefault="00675437" w:rsidP="00675437">
      <w:pPr>
        <w:pStyle w:val="a4"/>
        <w:ind w:firstLine="708"/>
        <w:jc w:val="center"/>
        <w:rPr>
          <w:b/>
          <w:bCs/>
          <w:szCs w:val="28"/>
        </w:rPr>
      </w:pPr>
      <w:r w:rsidRPr="005F3723">
        <w:rPr>
          <w:b/>
          <w:bCs/>
          <w:szCs w:val="28"/>
        </w:rPr>
        <w:t xml:space="preserve">за </w:t>
      </w:r>
      <w:r w:rsidR="00DB2BBA">
        <w:rPr>
          <w:b/>
          <w:bCs/>
          <w:szCs w:val="28"/>
        </w:rPr>
        <w:t>І</w:t>
      </w:r>
      <w:r w:rsidR="00510FEF">
        <w:rPr>
          <w:b/>
          <w:bCs/>
          <w:szCs w:val="28"/>
        </w:rPr>
        <w:t xml:space="preserve"> </w:t>
      </w:r>
      <w:r w:rsidR="00E72255">
        <w:rPr>
          <w:b/>
          <w:bCs/>
          <w:szCs w:val="28"/>
        </w:rPr>
        <w:t>півріччя</w:t>
      </w:r>
      <w:r w:rsidR="00510FEF">
        <w:rPr>
          <w:b/>
          <w:bCs/>
          <w:szCs w:val="28"/>
        </w:rPr>
        <w:t xml:space="preserve"> </w:t>
      </w:r>
      <w:r w:rsidR="00050D58" w:rsidRPr="005F3723">
        <w:rPr>
          <w:b/>
          <w:bCs/>
          <w:szCs w:val="28"/>
        </w:rPr>
        <w:t>201</w:t>
      </w:r>
      <w:r w:rsidR="00510FEF">
        <w:rPr>
          <w:b/>
          <w:bCs/>
          <w:szCs w:val="28"/>
        </w:rPr>
        <w:t>7</w:t>
      </w:r>
      <w:r w:rsidRPr="005F3723">
        <w:rPr>
          <w:b/>
          <w:bCs/>
          <w:szCs w:val="28"/>
        </w:rPr>
        <w:t xml:space="preserve"> р</w:t>
      </w:r>
      <w:r w:rsidR="00FD2F5C" w:rsidRPr="005F3723">
        <w:rPr>
          <w:b/>
          <w:bCs/>
          <w:szCs w:val="28"/>
        </w:rPr>
        <w:t>о</w:t>
      </w:r>
      <w:r w:rsidR="00D853F7" w:rsidRPr="005F3723">
        <w:rPr>
          <w:b/>
          <w:bCs/>
          <w:szCs w:val="28"/>
        </w:rPr>
        <w:t>к</w:t>
      </w:r>
      <w:r w:rsidR="00FD2F5C" w:rsidRPr="005F3723">
        <w:rPr>
          <w:b/>
          <w:bCs/>
          <w:szCs w:val="28"/>
        </w:rPr>
        <w:t>у</w:t>
      </w:r>
    </w:p>
    <w:p w:rsidR="00971F58" w:rsidRPr="00451DC3" w:rsidRDefault="00971F58" w:rsidP="00675437">
      <w:pPr>
        <w:pStyle w:val="a4"/>
        <w:ind w:firstLine="708"/>
        <w:jc w:val="center"/>
        <w:rPr>
          <w:b/>
          <w:bCs/>
          <w:sz w:val="16"/>
          <w:szCs w:val="16"/>
        </w:rPr>
      </w:pPr>
    </w:p>
    <w:p w:rsidR="004052F8" w:rsidRPr="00877C82" w:rsidRDefault="004052F8" w:rsidP="004052F8">
      <w:pPr>
        <w:ind w:firstLine="709"/>
        <w:contextualSpacing/>
        <w:jc w:val="center"/>
        <w:rPr>
          <w:b/>
          <w:sz w:val="28"/>
          <w:szCs w:val="28"/>
          <w:lang w:val="uk-UA"/>
        </w:rPr>
      </w:pPr>
      <w:r w:rsidRPr="00877C82">
        <w:rPr>
          <w:b/>
          <w:sz w:val="28"/>
          <w:szCs w:val="28"/>
          <w:lang w:val="uk-UA"/>
        </w:rPr>
        <w:t>Доходи</w:t>
      </w:r>
    </w:p>
    <w:p w:rsidR="004052F8" w:rsidRPr="00451DC3" w:rsidRDefault="004052F8" w:rsidP="004052F8">
      <w:pPr>
        <w:ind w:firstLine="709"/>
        <w:contextualSpacing/>
        <w:jc w:val="center"/>
        <w:rPr>
          <w:b/>
          <w:sz w:val="16"/>
          <w:szCs w:val="16"/>
          <w:lang w:val="uk-UA"/>
        </w:rPr>
      </w:pPr>
    </w:p>
    <w:p w:rsidR="004052F8" w:rsidRPr="004052F8" w:rsidRDefault="004052F8" w:rsidP="004052F8">
      <w:pPr>
        <w:pStyle w:val="a6"/>
        <w:spacing w:after="0"/>
        <w:ind w:firstLine="709"/>
        <w:jc w:val="both"/>
        <w:rPr>
          <w:sz w:val="28"/>
          <w:szCs w:val="28"/>
          <w:lang w:val="uk-UA"/>
        </w:rPr>
      </w:pPr>
      <w:r w:rsidRPr="004052F8">
        <w:rPr>
          <w:sz w:val="28"/>
          <w:szCs w:val="28"/>
          <w:lang w:val="uk-UA"/>
        </w:rPr>
        <w:t>Доходна частина бюджету міста на звітну дату виконана в обсязі 3 856,8 млн.грн., в тому числі доходи загального фонду – 2 073,9 млн.грн., спеціального – 125,4 млн.грн. та офіційні трансферти – 1 657,5 млн.грн. В порівнянні з відповідним періодом минулого року доходи (без урахування трансфертів) зросли на третину або на 554,1 млн.грн.</w:t>
      </w:r>
    </w:p>
    <w:p w:rsidR="004052F8" w:rsidRPr="004052F8" w:rsidRDefault="004052F8" w:rsidP="004052F8">
      <w:pPr>
        <w:jc w:val="center"/>
        <w:rPr>
          <w:sz w:val="28"/>
          <w:szCs w:val="28"/>
        </w:rPr>
      </w:pPr>
      <w:r w:rsidRPr="004052F8">
        <w:rPr>
          <w:noProof/>
          <w:sz w:val="28"/>
          <w:szCs w:val="28"/>
        </w:rPr>
        <w:drawing>
          <wp:inline distT="0" distB="0" distL="0" distR="0">
            <wp:extent cx="5904019" cy="2973282"/>
            <wp:effectExtent l="57150" t="19050" r="39581" b="0"/>
            <wp:docPr id="1" name="Диаграмма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052F8" w:rsidRPr="004052F8" w:rsidRDefault="004052F8" w:rsidP="004052F8">
      <w:pPr>
        <w:jc w:val="center"/>
        <w:rPr>
          <w:sz w:val="28"/>
          <w:szCs w:val="28"/>
        </w:rPr>
      </w:pPr>
    </w:p>
    <w:p w:rsidR="004052F8" w:rsidRPr="004052F8" w:rsidRDefault="004052F8" w:rsidP="004052F8">
      <w:pPr>
        <w:ind w:firstLine="709"/>
        <w:jc w:val="both"/>
        <w:rPr>
          <w:color w:val="000000"/>
          <w:sz w:val="28"/>
          <w:szCs w:val="28"/>
          <w:lang w:val="uk-UA"/>
        </w:rPr>
      </w:pPr>
      <w:r w:rsidRPr="004052F8">
        <w:rPr>
          <w:sz w:val="28"/>
          <w:szCs w:val="28"/>
          <w:lang w:val="uk-UA"/>
        </w:rPr>
        <w:t xml:space="preserve">План по доходах, що формують загальний фонд, виконаний на 105,5%. Планові показники виконані по всіх основних джерелах доходів, понад плану надійшло 108,2 млн.грн. В порівнянні з І півріччям 2016 року відбулось зростання зазначених доходів на 34,1% або на 527,2 млн.грн., що є наслідком змін до бюджетного та податкового законодавства в рамках реформи з бюджетної децентралізації та роботи з вишукання додаткових коштів. За результатами реалізації заходів з приведення договорів оренди земельних ділянок до норм чинного законодавства (з урахуванням впровадження у місті в минулому році нової нормативної грошової оцінки землі), скорочення податкового боргу по податках та зборах, погашення заборгованості із виплати заробітної плати та збільшення її рівня, зменшення заборгованості по орендній платі за користування майном комунальної власності, тощо </w:t>
      </w:r>
      <w:r w:rsidRPr="004052F8">
        <w:rPr>
          <w:color w:val="000000"/>
          <w:sz w:val="28"/>
          <w:szCs w:val="28"/>
          <w:lang w:val="uk-UA"/>
        </w:rPr>
        <w:t>додатково залучено коштів в розмірі близько 33,0 млн.грн.</w:t>
      </w:r>
    </w:p>
    <w:p w:rsidR="004052F8" w:rsidRPr="004052F8" w:rsidRDefault="004052F8" w:rsidP="004052F8">
      <w:pPr>
        <w:pStyle w:val="a6"/>
        <w:spacing w:after="0"/>
        <w:ind w:left="0" w:firstLine="709"/>
        <w:jc w:val="both"/>
        <w:rPr>
          <w:sz w:val="28"/>
          <w:szCs w:val="28"/>
          <w:lang w:val="uk-UA"/>
        </w:rPr>
      </w:pPr>
      <w:r w:rsidRPr="004052F8">
        <w:rPr>
          <w:sz w:val="28"/>
          <w:szCs w:val="28"/>
          <w:lang w:val="uk-UA"/>
        </w:rPr>
        <w:t xml:space="preserve">В обсязі надходжень загального фонду 56% припадає на податок на доходи фізичних осіб, </w:t>
      </w:r>
      <w:r w:rsidR="00877C82">
        <w:rPr>
          <w:sz w:val="28"/>
          <w:szCs w:val="28"/>
          <w:lang w:val="uk-UA"/>
        </w:rPr>
        <w:t xml:space="preserve">- </w:t>
      </w:r>
      <w:r w:rsidRPr="004052F8">
        <w:rPr>
          <w:sz w:val="28"/>
          <w:szCs w:val="28"/>
          <w:lang w:val="uk-UA"/>
        </w:rPr>
        <w:t>1 161,7 млн.грн.</w:t>
      </w:r>
      <w:r w:rsidR="00877C82">
        <w:rPr>
          <w:sz w:val="28"/>
          <w:szCs w:val="28"/>
          <w:lang w:val="uk-UA"/>
        </w:rPr>
        <w:t xml:space="preserve">, що становить </w:t>
      </w:r>
      <w:r w:rsidRPr="004052F8">
        <w:rPr>
          <w:sz w:val="28"/>
          <w:szCs w:val="28"/>
          <w:lang w:val="uk-UA"/>
        </w:rPr>
        <w:t>103,1%</w:t>
      </w:r>
      <w:r w:rsidR="00877C82">
        <w:rPr>
          <w:sz w:val="28"/>
          <w:szCs w:val="28"/>
          <w:lang w:val="uk-UA"/>
        </w:rPr>
        <w:t xml:space="preserve"> плану</w:t>
      </w:r>
      <w:r w:rsidRPr="004052F8">
        <w:rPr>
          <w:sz w:val="28"/>
          <w:szCs w:val="28"/>
          <w:lang w:val="uk-UA"/>
        </w:rPr>
        <w:t>. Порівняно з минулорічним показником надходження збільшились більш ніж на третину або на 301,7 млн.грн., в тому числі податку з доходів у вигляді заробітної плати – на 297,5 млн.грн. Основн</w:t>
      </w:r>
      <w:r>
        <w:rPr>
          <w:sz w:val="28"/>
          <w:szCs w:val="28"/>
          <w:lang w:val="uk-UA"/>
        </w:rPr>
        <w:t>им</w:t>
      </w:r>
      <w:r w:rsidRPr="004052F8">
        <w:rPr>
          <w:sz w:val="28"/>
          <w:szCs w:val="28"/>
          <w:lang w:val="uk-UA"/>
        </w:rPr>
        <w:t xml:space="preserve"> фактор</w:t>
      </w:r>
      <w:r>
        <w:rPr>
          <w:sz w:val="28"/>
          <w:szCs w:val="28"/>
          <w:lang w:val="uk-UA"/>
        </w:rPr>
        <w:t>ом</w:t>
      </w:r>
      <w:r w:rsidRPr="004052F8">
        <w:rPr>
          <w:sz w:val="28"/>
          <w:szCs w:val="28"/>
          <w:lang w:val="uk-UA"/>
        </w:rPr>
        <w:t>, що позначи</w:t>
      </w:r>
      <w:r>
        <w:rPr>
          <w:sz w:val="28"/>
          <w:szCs w:val="28"/>
          <w:lang w:val="uk-UA"/>
        </w:rPr>
        <w:t>вся</w:t>
      </w:r>
      <w:r w:rsidRPr="004052F8">
        <w:rPr>
          <w:sz w:val="28"/>
          <w:szCs w:val="28"/>
          <w:lang w:val="uk-UA"/>
        </w:rPr>
        <w:t xml:space="preserve"> на надходженнях податку</w:t>
      </w:r>
      <w:r>
        <w:rPr>
          <w:sz w:val="28"/>
          <w:szCs w:val="28"/>
          <w:lang w:val="uk-UA"/>
        </w:rPr>
        <w:t xml:space="preserve"> є</w:t>
      </w:r>
      <w:r w:rsidRPr="004052F8">
        <w:rPr>
          <w:sz w:val="28"/>
          <w:szCs w:val="28"/>
          <w:lang w:val="uk-UA"/>
        </w:rPr>
        <w:t xml:space="preserve"> </w:t>
      </w:r>
      <w:r>
        <w:rPr>
          <w:sz w:val="28"/>
          <w:szCs w:val="28"/>
          <w:lang w:val="uk-UA"/>
        </w:rPr>
        <w:t xml:space="preserve">зростання </w:t>
      </w:r>
      <w:r w:rsidRPr="004052F8">
        <w:rPr>
          <w:sz w:val="28"/>
          <w:szCs w:val="28"/>
          <w:lang w:val="uk-UA"/>
        </w:rPr>
        <w:t>мінімальної заробітної плати та прожиткового мінімуму. Також збільшились надходження податку з доходів, отриманих військовослужбовцями, та з інших (ніж заробітна плата) доходів платників на 6,3 млн.грн. та на 3,3 млн.грн. відповідно.</w:t>
      </w:r>
    </w:p>
    <w:p w:rsidR="004052F8" w:rsidRPr="004052F8" w:rsidRDefault="004052F8" w:rsidP="004052F8">
      <w:pPr>
        <w:contextualSpacing/>
        <w:jc w:val="both"/>
        <w:rPr>
          <w:sz w:val="28"/>
          <w:szCs w:val="28"/>
        </w:rPr>
      </w:pPr>
      <w:r w:rsidRPr="004052F8">
        <w:rPr>
          <w:noProof/>
          <w:sz w:val="28"/>
          <w:szCs w:val="28"/>
        </w:rPr>
        <w:lastRenderedPageBreak/>
        <w:drawing>
          <wp:inline distT="0" distB="0" distL="0" distR="0">
            <wp:extent cx="6119283" cy="3403600"/>
            <wp:effectExtent l="19050" t="0" r="0" b="0"/>
            <wp:docPr id="3" name="Диаграмма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052F8" w:rsidRPr="00DD1F66" w:rsidRDefault="004052F8" w:rsidP="004052F8">
      <w:pPr>
        <w:ind w:firstLine="709"/>
        <w:contextualSpacing/>
        <w:jc w:val="both"/>
        <w:rPr>
          <w:sz w:val="12"/>
          <w:szCs w:val="12"/>
        </w:rPr>
      </w:pPr>
    </w:p>
    <w:p w:rsidR="004052F8" w:rsidRPr="009F30F9" w:rsidRDefault="004052F8" w:rsidP="004052F8">
      <w:pPr>
        <w:pStyle w:val="2"/>
        <w:spacing w:after="0" w:line="240" w:lineRule="auto"/>
        <w:ind w:left="0" w:right="1" w:firstLine="709"/>
        <w:jc w:val="both"/>
        <w:rPr>
          <w:sz w:val="28"/>
          <w:szCs w:val="28"/>
          <w:lang w:val="uk-UA"/>
        </w:rPr>
      </w:pPr>
      <w:r w:rsidRPr="009F30F9">
        <w:rPr>
          <w:sz w:val="28"/>
          <w:szCs w:val="28"/>
          <w:lang w:val="uk-UA"/>
        </w:rPr>
        <w:t xml:space="preserve">Бюджетом отримано місцевих податків і зборів в обсязі 681,7 млн.грн. або 105,5% до запланованого показника. </w:t>
      </w:r>
      <w:r w:rsidR="00877C82">
        <w:rPr>
          <w:sz w:val="28"/>
          <w:szCs w:val="28"/>
          <w:lang w:val="uk-UA"/>
        </w:rPr>
        <w:t>Це д</w:t>
      </w:r>
      <w:r w:rsidRPr="009F30F9">
        <w:rPr>
          <w:sz w:val="28"/>
          <w:szCs w:val="28"/>
          <w:lang w:val="uk-UA"/>
        </w:rPr>
        <w:t xml:space="preserve">руге за величиною джерело </w:t>
      </w:r>
      <w:r w:rsidR="00877C82">
        <w:rPr>
          <w:sz w:val="28"/>
          <w:szCs w:val="28"/>
          <w:lang w:val="uk-UA"/>
        </w:rPr>
        <w:t xml:space="preserve">наповнення </w:t>
      </w:r>
      <w:r w:rsidRPr="009F30F9">
        <w:rPr>
          <w:sz w:val="28"/>
          <w:szCs w:val="28"/>
          <w:lang w:val="uk-UA"/>
        </w:rPr>
        <w:t>загального фонду</w:t>
      </w:r>
      <w:r w:rsidR="00877C82">
        <w:rPr>
          <w:sz w:val="28"/>
          <w:szCs w:val="28"/>
          <w:lang w:val="uk-UA"/>
        </w:rPr>
        <w:t xml:space="preserve"> бюджету (</w:t>
      </w:r>
      <w:r w:rsidRPr="009F30F9">
        <w:rPr>
          <w:sz w:val="28"/>
          <w:szCs w:val="28"/>
          <w:lang w:val="uk-UA"/>
        </w:rPr>
        <w:t>32,9%</w:t>
      </w:r>
      <w:r w:rsidR="00877C82">
        <w:rPr>
          <w:sz w:val="28"/>
          <w:szCs w:val="28"/>
          <w:lang w:val="uk-UA"/>
        </w:rPr>
        <w:t>)</w:t>
      </w:r>
      <w:r w:rsidRPr="009F30F9">
        <w:rPr>
          <w:sz w:val="28"/>
          <w:szCs w:val="28"/>
          <w:lang w:val="uk-UA"/>
        </w:rPr>
        <w:t>. З місцевих податків і зборів найбільшим чином поповнив бюджет податок на майно (481,2 млн.грн.).</w:t>
      </w:r>
    </w:p>
    <w:p w:rsidR="004052F8" w:rsidRPr="009F30F9" w:rsidRDefault="004052F8" w:rsidP="004052F8">
      <w:pPr>
        <w:ind w:firstLine="709"/>
        <w:jc w:val="both"/>
        <w:rPr>
          <w:sz w:val="28"/>
          <w:szCs w:val="28"/>
          <w:lang w:val="uk-UA"/>
        </w:rPr>
      </w:pPr>
      <w:r w:rsidRPr="009F30F9">
        <w:rPr>
          <w:sz w:val="28"/>
          <w:szCs w:val="28"/>
          <w:lang w:val="uk-UA"/>
        </w:rPr>
        <w:t xml:space="preserve">В складі податку на майно надійшло плати за землю в розмірі 465,8 млн.грн. або 106,0% до плану. В порівнянні з відповідним періодом минулого року відбулось зростання на 99,1 млн.грн. або на 27,0%. Перевиконання запланованого показника та збільшення її надходжень є наслідком індексації плати за землю на коефіцієнт 1,06, сплати ПАТ «ЗАЗ» в рахунок майбутніх зобов’язань коштів в сумі 46,9 млн.грн. та проведеної роботи із залучення додаткових коштів за рахунок переоцінки землі, перегляду договорів оренди земельних ділянок, погашення податкової заборгованості на загальну суму 16,1 млн.грн. </w:t>
      </w:r>
    </w:p>
    <w:p w:rsidR="004052F8" w:rsidRPr="009F30F9" w:rsidRDefault="004052F8" w:rsidP="004052F8">
      <w:pPr>
        <w:pStyle w:val="2"/>
        <w:spacing w:after="0" w:line="240" w:lineRule="auto"/>
        <w:ind w:left="0" w:firstLine="709"/>
        <w:jc w:val="both"/>
        <w:rPr>
          <w:sz w:val="28"/>
          <w:szCs w:val="28"/>
          <w:lang w:val="uk-UA"/>
        </w:rPr>
      </w:pPr>
      <w:r w:rsidRPr="009F30F9">
        <w:rPr>
          <w:sz w:val="28"/>
          <w:szCs w:val="28"/>
          <w:lang w:val="uk-UA"/>
        </w:rPr>
        <w:t>Обсяг єдиного податку склав 200,3 млн.грн., виконання плану - 104,4%. В порівнянні з минулорічним</w:t>
      </w:r>
      <w:r w:rsidR="00877C82">
        <w:rPr>
          <w:sz w:val="28"/>
          <w:szCs w:val="28"/>
          <w:lang w:val="uk-UA"/>
        </w:rPr>
        <w:t>и</w:t>
      </w:r>
      <w:r w:rsidRPr="009F30F9">
        <w:rPr>
          <w:sz w:val="28"/>
          <w:szCs w:val="28"/>
          <w:lang w:val="uk-UA"/>
        </w:rPr>
        <w:t xml:space="preserve"> </w:t>
      </w:r>
      <w:r w:rsidR="009F30F9" w:rsidRPr="009F30F9">
        <w:rPr>
          <w:sz w:val="28"/>
          <w:szCs w:val="28"/>
          <w:lang w:val="uk-UA"/>
        </w:rPr>
        <w:t>надходження</w:t>
      </w:r>
      <w:r w:rsidRPr="009F30F9">
        <w:rPr>
          <w:sz w:val="28"/>
          <w:szCs w:val="28"/>
          <w:lang w:val="uk-UA"/>
        </w:rPr>
        <w:t xml:space="preserve"> зр</w:t>
      </w:r>
      <w:r w:rsidR="009F30F9" w:rsidRPr="009F30F9">
        <w:rPr>
          <w:sz w:val="28"/>
          <w:szCs w:val="28"/>
          <w:lang w:val="uk-UA"/>
        </w:rPr>
        <w:t>осли</w:t>
      </w:r>
      <w:r w:rsidRPr="009F30F9">
        <w:rPr>
          <w:sz w:val="28"/>
          <w:szCs w:val="28"/>
          <w:lang w:val="uk-UA"/>
        </w:rPr>
        <w:t xml:space="preserve"> на 60,4 млн.грн. або на 43,1%, що пояснюється збільшенням надходжень по платниках ІІ групи єдиного податку, пов’язаним зі зростанням ставок, встановлених у відсотках до мінімальної заробітної плати, та кількості платників – фізичних осіб (більш ніж на 1,3 </w:t>
      </w:r>
      <w:proofErr w:type="spellStart"/>
      <w:r w:rsidRPr="009F30F9">
        <w:rPr>
          <w:sz w:val="28"/>
          <w:szCs w:val="28"/>
          <w:lang w:val="uk-UA"/>
        </w:rPr>
        <w:t>тис.осіб</w:t>
      </w:r>
      <w:proofErr w:type="spellEnd"/>
      <w:r w:rsidRPr="009F30F9">
        <w:rPr>
          <w:sz w:val="28"/>
          <w:szCs w:val="28"/>
          <w:lang w:val="uk-UA"/>
        </w:rPr>
        <w:t>). Крім того поступове підвищення загального рівня цін на товари і послуги вплинуло на зростання доходів юридичних та фізичних осіб та відповідно обсягу перерахованого податку.</w:t>
      </w:r>
    </w:p>
    <w:p w:rsidR="004052F8" w:rsidRPr="004052F8" w:rsidRDefault="004052F8" w:rsidP="004052F8">
      <w:pPr>
        <w:pStyle w:val="a4"/>
        <w:ind w:firstLine="709"/>
        <w:rPr>
          <w:szCs w:val="28"/>
        </w:rPr>
      </w:pPr>
      <w:r w:rsidRPr="004052F8">
        <w:rPr>
          <w:szCs w:val="28"/>
        </w:rPr>
        <w:t xml:space="preserve">Акцизний податок з реалізації суб’єктами господарювання роздрібної торгівлі підакцизних товарів у звітному періоді надійшов в розмірі 132,0 млн.грн., що в порівнянні з минулорічним показником більше на 13,8% або на 16,0 млн.грн. Зазначене пояснюється підвищенням вартості підакцизних товарів у зв’язку зі збільшенням ставок акцизного податку з пива на 12,0%, з тютюнових виробів – на 30,0%, зі спирту етилового - на 17,6% та з інших алкогольних напоїв – на 12,0%. </w:t>
      </w:r>
    </w:p>
    <w:p w:rsidR="004052F8" w:rsidRPr="004052F8" w:rsidRDefault="004052F8" w:rsidP="004052F8">
      <w:pPr>
        <w:ind w:firstLine="709"/>
        <w:contextualSpacing/>
        <w:jc w:val="both"/>
        <w:rPr>
          <w:sz w:val="28"/>
          <w:szCs w:val="28"/>
          <w:lang w:val="uk-UA"/>
        </w:rPr>
      </w:pPr>
      <w:r w:rsidRPr="004052F8">
        <w:rPr>
          <w:sz w:val="28"/>
          <w:szCs w:val="28"/>
          <w:lang w:val="uk-UA"/>
        </w:rPr>
        <w:t xml:space="preserve">На підставі аналізу тенденцій щодо наповнення доходів бюджету та потреби у використанні бюджетних коштів в І півріччі поточного року </w:t>
      </w:r>
      <w:r w:rsidRPr="004052F8">
        <w:rPr>
          <w:sz w:val="28"/>
          <w:szCs w:val="28"/>
          <w:lang w:val="uk-UA"/>
        </w:rPr>
        <w:lastRenderedPageBreak/>
        <w:t>проведено роботу по розміщенню тимчасово вільних бюджетних коштів на депозитних банківських рахунках на загальну суму 605,0</w:t>
      </w:r>
      <w:r w:rsidRPr="004052F8">
        <w:rPr>
          <w:sz w:val="28"/>
          <w:szCs w:val="28"/>
        </w:rPr>
        <w:t> </w:t>
      </w:r>
      <w:r w:rsidRPr="004052F8">
        <w:rPr>
          <w:sz w:val="28"/>
          <w:szCs w:val="28"/>
          <w:lang w:val="uk-UA"/>
        </w:rPr>
        <w:t>млн.грн. До бюджету надійшло плати від їх розміщення в розмірі 28,5</w:t>
      </w:r>
      <w:r w:rsidRPr="004052F8">
        <w:rPr>
          <w:sz w:val="28"/>
          <w:szCs w:val="28"/>
        </w:rPr>
        <w:t> </w:t>
      </w:r>
      <w:r w:rsidRPr="004052F8">
        <w:rPr>
          <w:sz w:val="28"/>
          <w:szCs w:val="28"/>
          <w:lang w:val="uk-UA"/>
        </w:rPr>
        <w:t>млн.грн. Також отримано відсотків, що нараховуються на залишки коштів на рахунках бюджету розвитку, в сумі 1,4</w:t>
      </w:r>
      <w:r w:rsidRPr="004052F8">
        <w:rPr>
          <w:sz w:val="28"/>
          <w:szCs w:val="28"/>
        </w:rPr>
        <w:t> </w:t>
      </w:r>
      <w:r w:rsidRPr="004052F8">
        <w:rPr>
          <w:sz w:val="28"/>
          <w:szCs w:val="28"/>
          <w:lang w:val="uk-UA"/>
        </w:rPr>
        <w:t>млн.грн.</w:t>
      </w:r>
    </w:p>
    <w:p w:rsidR="004052F8" w:rsidRPr="00877C82" w:rsidRDefault="00877C82" w:rsidP="004052F8">
      <w:pPr>
        <w:ind w:firstLine="709"/>
        <w:contextualSpacing/>
        <w:jc w:val="both"/>
        <w:rPr>
          <w:sz w:val="28"/>
          <w:szCs w:val="28"/>
          <w:lang w:val="uk-UA"/>
        </w:rPr>
      </w:pPr>
      <w:r>
        <w:rPr>
          <w:sz w:val="28"/>
          <w:szCs w:val="28"/>
          <w:lang w:val="uk-UA"/>
        </w:rPr>
        <w:t>В</w:t>
      </w:r>
      <w:r w:rsidR="004052F8" w:rsidRPr="00877C82">
        <w:rPr>
          <w:sz w:val="28"/>
          <w:szCs w:val="28"/>
          <w:lang w:val="uk-UA"/>
        </w:rPr>
        <w:t>иконані планові показники по податку на прибуток підприємств комунальної власності (надходження склали 33,1</w:t>
      </w:r>
      <w:r w:rsidR="004052F8" w:rsidRPr="004052F8">
        <w:rPr>
          <w:sz w:val="28"/>
          <w:szCs w:val="28"/>
        </w:rPr>
        <w:t> </w:t>
      </w:r>
      <w:r w:rsidR="004052F8" w:rsidRPr="00877C82">
        <w:rPr>
          <w:sz w:val="28"/>
          <w:szCs w:val="28"/>
          <w:lang w:val="uk-UA"/>
        </w:rPr>
        <w:t>млн.грн.), платі за надання інших адміністративних послуг (13,3</w:t>
      </w:r>
      <w:r w:rsidR="004052F8" w:rsidRPr="004052F8">
        <w:rPr>
          <w:sz w:val="28"/>
          <w:szCs w:val="28"/>
        </w:rPr>
        <w:t> </w:t>
      </w:r>
      <w:r w:rsidR="004052F8" w:rsidRPr="00877C82">
        <w:rPr>
          <w:sz w:val="28"/>
          <w:szCs w:val="28"/>
          <w:lang w:val="uk-UA"/>
        </w:rPr>
        <w:t>млн.грн.), орендній платі за користування майном комунальної власності (9,8</w:t>
      </w:r>
      <w:r w:rsidR="004052F8" w:rsidRPr="004052F8">
        <w:rPr>
          <w:sz w:val="28"/>
          <w:szCs w:val="28"/>
        </w:rPr>
        <w:t> </w:t>
      </w:r>
      <w:r w:rsidR="004052F8" w:rsidRPr="00877C82">
        <w:rPr>
          <w:sz w:val="28"/>
          <w:szCs w:val="28"/>
          <w:lang w:val="uk-UA"/>
        </w:rPr>
        <w:t>млн.грн.), адміністративному збору за проведення державної реєстрації юридичних осіб, фізичних осіб – підприємств та громадських формувань (1,3</w:t>
      </w:r>
      <w:r w:rsidR="004052F8" w:rsidRPr="004052F8">
        <w:rPr>
          <w:sz w:val="28"/>
          <w:szCs w:val="28"/>
        </w:rPr>
        <w:t> </w:t>
      </w:r>
      <w:r w:rsidR="004052F8" w:rsidRPr="00877C82">
        <w:rPr>
          <w:sz w:val="28"/>
          <w:szCs w:val="28"/>
          <w:lang w:val="uk-UA"/>
        </w:rPr>
        <w:t>млн.грн.), тощо.</w:t>
      </w:r>
    </w:p>
    <w:p w:rsidR="004052F8" w:rsidRPr="00877C82" w:rsidRDefault="004052F8" w:rsidP="004E0189">
      <w:pPr>
        <w:pStyle w:val="a6"/>
        <w:spacing w:after="0"/>
        <w:ind w:left="0" w:firstLine="709"/>
        <w:jc w:val="both"/>
        <w:rPr>
          <w:sz w:val="28"/>
          <w:szCs w:val="28"/>
          <w:lang w:val="uk-UA"/>
        </w:rPr>
      </w:pPr>
      <w:r w:rsidRPr="00877C82">
        <w:rPr>
          <w:sz w:val="28"/>
          <w:szCs w:val="28"/>
          <w:lang w:val="uk-UA"/>
        </w:rPr>
        <w:t>В порівнянні з І півріччям минулого року доходи спеціального фонду бюджету міста зросли на 26,8</w:t>
      </w:r>
      <w:r w:rsidRPr="004052F8">
        <w:rPr>
          <w:sz w:val="28"/>
          <w:szCs w:val="28"/>
        </w:rPr>
        <w:t> </w:t>
      </w:r>
      <w:r w:rsidRPr="00877C82">
        <w:rPr>
          <w:sz w:val="28"/>
          <w:szCs w:val="28"/>
          <w:lang w:val="uk-UA"/>
        </w:rPr>
        <w:t>млн.грн. в основному за рахунок власних надходжень бюджетних установ - на 15,6</w:t>
      </w:r>
      <w:r w:rsidRPr="004052F8">
        <w:rPr>
          <w:sz w:val="28"/>
          <w:szCs w:val="28"/>
        </w:rPr>
        <w:t> </w:t>
      </w:r>
      <w:r w:rsidRPr="00877C82">
        <w:rPr>
          <w:sz w:val="28"/>
          <w:szCs w:val="28"/>
          <w:lang w:val="uk-UA"/>
        </w:rPr>
        <w:t>млн.грн., коштів від відчуження майна – на 8,0</w:t>
      </w:r>
      <w:r w:rsidRPr="004052F8">
        <w:rPr>
          <w:sz w:val="28"/>
          <w:szCs w:val="28"/>
        </w:rPr>
        <w:t> </w:t>
      </w:r>
      <w:r w:rsidRPr="00877C82">
        <w:rPr>
          <w:sz w:val="28"/>
          <w:szCs w:val="28"/>
          <w:lang w:val="uk-UA"/>
        </w:rPr>
        <w:t>млн.грн. та коштів цільового фонду міської ради – на 1,0</w:t>
      </w:r>
      <w:r w:rsidRPr="004052F8">
        <w:rPr>
          <w:sz w:val="28"/>
          <w:szCs w:val="28"/>
        </w:rPr>
        <w:t> </w:t>
      </w:r>
      <w:r w:rsidRPr="00877C82">
        <w:rPr>
          <w:sz w:val="28"/>
          <w:szCs w:val="28"/>
          <w:lang w:val="uk-UA"/>
        </w:rPr>
        <w:t>млн.грн. Бюджет розвитку в звітному півріччі поповнився на 15,0</w:t>
      </w:r>
      <w:r w:rsidRPr="004052F8">
        <w:rPr>
          <w:sz w:val="28"/>
          <w:szCs w:val="28"/>
        </w:rPr>
        <w:t> </w:t>
      </w:r>
      <w:r w:rsidRPr="00877C82">
        <w:rPr>
          <w:sz w:val="28"/>
          <w:szCs w:val="28"/>
          <w:lang w:val="uk-UA"/>
        </w:rPr>
        <w:t>млн.грн.</w:t>
      </w:r>
    </w:p>
    <w:p w:rsidR="004052F8" w:rsidRPr="004052F8" w:rsidRDefault="004052F8" w:rsidP="004052F8">
      <w:pPr>
        <w:contextualSpacing/>
        <w:jc w:val="both"/>
        <w:rPr>
          <w:sz w:val="28"/>
          <w:szCs w:val="28"/>
        </w:rPr>
      </w:pPr>
      <w:r w:rsidRPr="004052F8">
        <w:rPr>
          <w:noProof/>
          <w:sz w:val="28"/>
          <w:szCs w:val="28"/>
        </w:rPr>
        <w:drawing>
          <wp:inline distT="0" distB="0" distL="0" distR="0">
            <wp:extent cx="6125210" cy="3418417"/>
            <wp:effectExtent l="57150" t="19050" r="27940" b="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052F8" w:rsidRPr="00DD1F66" w:rsidRDefault="004052F8" w:rsidP="004052F8">
      <w:pPr>
        <w:ind w:firstLine="708"/>
        <w:jc w:val="both"/>
        <w:rPr>
          <w:sz w:val="12"/>
          <w:szCs w:val="12"/>
        </w:rPr>
      </w:pPr>
    </w:p>
    <w:p w:rsidR="004052F8" w:rsidRPr="00497120" w:rsidRDefault="004052F8" w:rsidP="004052F8">
      <w:pPr>
        <w:pStyle w:val="2"/>
        <w:spacing w:after="0" w:line="240" w:lineRule="auto"/>
        <w:ind w:left="0" w:firstLine="709"/>
        <w:jc w:val="both"/>
        <w:rPr>
          <w:sz w:val="28"/>
          <w:szCs w:val="28"/>
          <w:lang w:val="uk-UA"/>
        </w:rPr>
      </w:pPr>
      <w:r w:rsidRPr="00497120">
        <w:rPr>
          <w:sz w:val="28"/>
          <w:szCs w:val="28"/>
          <w:lang w:val="uk-UA"/>
        </w:rPr>
        <w:t xml:space="preserve">У </w:t>
      </w:r>
      <w:r w:rsidR="00497120" w:rsidRPr="00497120">
        <w:rPr>
          <w:sz w:val="28"/>
          <w:szCs w:val="28"/>
          <w:lang w:val="uk-UA"/>
        </w:rPr>
        <w:t>звітному періоді</w:t>
      </w:r>
      <w:r w:rsidRPr="00497120">
        <w:rPr>
          <w:sz w:val="28"/>
          <w:szCs w:val="28"/>
          <w:lang w:val="uk-UA"/>
        </w:rPr>
        <w:t xml:space="preserve"> бюджет міста отримав офіційних трансфертів з державного бюджету на загальну суму 1 657,5 млн.грн., в тому числі: </w:t>
      </w:r>
    </w:p>
    <w:p w:rsidR="004052F8" w:rsidRPr="00497120" w:rsidRDefault="004052F8" w:rsidP="004052F8">
      <w:pPr>
        <w:pStyle w:val="2"/>
        <w:numPr>
          <w:ilvl w:val="0"/>
          <w:numId w:val="17"/>
        </w:numPr>
        <w:spacing w:after="0" w:line="240" w:lineRule="auto"/>
        <w:ind w:left="0" w:firstLine="709"/>
        <w:jc w:val="both"/>
        <w:rPr>
          <w:sz w:val="28"/>
          <w:szCs w:val="28"/>
          <w:lang w:val="uk-UA"/>
        </w:rPr>
      </w:pPr>
      <w:r w:rsidRPr="00497120">
        <w:rPr>
          <w:sz w:val="28"/>
          <w:szCs w:val="28"/>
          <w:lang w:val="uk-UA"/>
        </w:rPr>
        <w:t>субвенції соціального характеру (надання державної допомоги сім’ям з дітьми, малозабезпеченим сім’ям, пільг, житлових субсидій) – 879,7 млн.грн.;</w:t>
      </w:r>
    </w:p>
    <w:p w:rsidR="004052F8" w:rsidRPr="00497120" w:rsidRDefault="004052F8" w:rsidP="004052F8">
      <w:pPr>
        <w:pStyle w:val="2"/>
        <w:numPr>
          <w:ilvl w:val="0"/>
          <w:numId w:val="17"/>
        </w:numPr>
        <w:spacing w:after="0" w:line="240" w:lineRule="auto"/>
        <w:ind w:left="0" w:firstLine="709"/>
        <w:jc w:val="both"/>
        <w:rPr>
          <w:sz w:val="28"/>
          <w:szCs w:val="28"/>
          <w:lang w:val="uk-UA"/>
        </w:rPr>
      </w:pPr>
      <w:r w:rsidRPr="00497120">
        <w:rPr>
          <w:sz w:val="28"/>
          <w:szCs w:val="28"/>
          <w:lang w:val="uk-UA"/>
        </w:rPr>
        <w:t>освітня субвенція – 437,2 млн.грн.;</w:t>
      </w:r>
    </w:p>
    <w:p w:rsidR="004052F8" w:rsidRPr="00497120" w:rsidRDefault="004052F8" w:rsidP="004052F8">
      <w:pPr>
        <w:pStyle w:val="2"/>
        <w:numPr>
          <w:ilvl w:val="0"/>
          <w:numId w:val="17"/>
        </w:numPr>
        <w:spacing w:after="0" w:line="240" w:lineRule="auto"/>
        <w:ind w:left="0" w:firstLine="709"/>
        <w:jc w:val="both"/>
        <w:rPr>
          <w:sz w:val="28"/>
          <w:szCs w:val="28"/>
          <w:lang w:val="uk-UA"/>
        </w:rPr>
      </w:pPr>
      <w:r w:rsidRPr="00497120">
        <w:rPr>
          <w:sz w:val="28"/>
          <w:szCs w:val="28"/>
          <w:lang w:val="uk-UA"/>
        </w:rPr>
        <w:t>медична субвенція – 321,4 млн.грн.;</w:t>
      </w:r>
    </w:p>
    <w:p w:rsidR="004052F8" w:rsidRPr="00497120" w:rsidRDefault="004052F8" w:rsidP="004052F8">
      <w:pPr>
        <w:pStyle w:val="2"/>
        <w:numPr>
          <w:ilvl w:val="0"/>
          <w:numId w:val="17"/>
        </w:numPr>
        <w:spacing w:after="0" w:line="240" w:lineRule="auto"/>
        <w:ind w:left="0" w:firstLine="709"/>
        <w:jc w:val="both"/>
        <w:rPr>
          <w:sz w:val="28"/>
          <w:szCs w:val="28"/>
          <w:lang w:val="uk-UA"/>
        </w:rPr>
      </w:pPr>
      <w:r w:rsidRPr="00497120">
        <w:rPr>
          <w:sz w:val="28"/>
          <w:szCs w:val="28"/>
          <w:lang w:val="uk-UA"/>
        </w:rPr>
        <w:t>субвенція на надання державної підтримки особам з особливими освітніми потребами – 11,8 млн.грн.;</w:t>
      </w:r>
    </w:p>
    <w:p w:rsidR="004052F8" w:rsidRPr="00497120" w:rsidRDefault="004052F8" w:rsidP="004052F8">
      <w:pPr>
        <w:pStyle w:val="2"/>
        <w:numPr>
          <w:ilvl w:val="0"/>
          <w:numId w:val="17"/>
        </w:numPr>
        <w:spacing w:after="0" w:line="240" w:lineRule="auto"/>
        <w:ind w:left="0" w:firstLine="709"/>
        <w:jc w:val="both"/>
        <w:rPr>
          <w:sz w:val="28"/>
          <w:szCs w:val="28"/>
          <w:lang w:val="uk-UA"/>
        </w:rPr>
      </w:pPr>
      <w:r w:rsidRPr="00497120">
        <w:rPr>
          <w:sz w:val="28"/>
          <w:szCs w:val="28"/>
          <w:lang w:val="uk-UA"/>
        </w:rPr>
        <w:t>субвенція на відшкодування вартості лікарських засобів для лікування окремих захворювань – 3,6 млн.грн.;</w:t>
      </w:r>
    </w:p>
    <w:p w:rsidR="004052F8" w:rsidRPr="00497120" w:rsidRDefault="004052F8" w:rsidP="004052F8">
      <w:pPr>
        <w:pStyle w:val="2"/>
        <w:numPr>
          <w:ilvl w:val="0"/>
          <w:numId w:val="17"/>
        </w:numPr>
        <w:spacing w:after="0" w:line="240" w:lineRule="auto"/>
        <w:ind w:left="0" w:firstLine="709"/>
        <w:jc w:val="both"/>
        <w:rPr>
          <w:sz w:val="28"/>
          <w:szCs w:val="28"/>
          <w:lang w:val="uk-UA"/>
        </w:rPr>
      </w:pPr>
      <w:r w:rsidRPr="00497120">
        <w:rPr>
          <w:sz w:val="28"/>
          <w:szCs w:val="28"/>
          <w:lang w:val="uk-UA"/>
        </w:rPr>
        <w:t>субвенція на здійснення заходів щодо соціально-економічного розвитку території – 3,4 млн.грн.;</w:t>
      </w:r>
    </w:p>
    <w:p w:rsidR="004052F8" w:rsidRPr="00497120" w:rsidRDefault="004052F8" w:rsidP="004052F8">
      <w:pPr>
        <w:pStyle w:val="2"/>
        <w:numPr>
          <w:ilvl w:val="0"/>
          <w:numId w:val="17"/>
        </w:numPr>
        <w:spacing w:after="0" w:line="240" w:lineRule="auto"/>
        <w:ind w:left="0" w:firstLine="709"/>
        <w:jc w:val="both"/>
        <w:rPr>
          <w:sz w:val="28"/>
          <w:szCs w:val="28"/>
          <w:lang w:val="uk-UA"/>
        </w:rPr>
      </w:pPr>
      <w:r w:rsidRPr="00497120">
        <w:rPr>
          <w:sz w:val="28"/>
          <w:szCs w:val="28"/>
          <w:lang w:val="uk-UA"/>
        </w:rPr>
        <w:lastRenderedPageBreak/>
        <w:t>субвенція на модернізацію та оновлення матеріально-технічної бази професійно-технічних навчальних закладів державної форми власності – 0,4 млн.грн.</w:t>
      </w:r>
    </w:p>
    <w:p w:rsidR="00612A5A" w:rsidRPr="00DD1F66" w:rsidRDefault="00612A5A" w:rsidP="00612A5A">
      <w:pPr>
        <w:ind w:firstLine="708"/>
        <w:jc w:val="both"/>
        <w:rPr>
          <w:rFonts w:eastAsia="Calibri"/>
          <w:sz w:val="12"/>
          <w:szCs w:val="12"/>
          <w:lang w:val="uk-UA"/>
        </w:rPr>
      </w:pPr>
    </w:p>
    <w:p w:rsidR="00612A5A" w:rsidRDefault="00612A5A" w:rsidP="00612A5A">
      <w:pPr>
        <w:ind w:firstLine="708"/>
        <w:jc w:val="both"/>
        <w:rPr>
          <w:rFonts w:eastAsia="Calibri"/>
          <w:sz w:val="28"/>
          <w:szCs w:val="28"/>
          <w:lang w:val="uk-UA"/>
        </w:rPr>
      </w:pPr>
      <w:r w:rsidRPr="00497120">
        <w:rPr>
          <w:rFonts w:eastAsia="Calibri"/>
          <w:sz w:val="28"/>
          <w:szCs w:val="28"/>
          <w:lang w:val="uk-UA"/>
        </w:rPr>
        <w:t>Видатки бюджету міста проведено в обсязі 3 618,0 млн.грн., в тому числі по загальному фонду – 3 258,9 млн.грн. або 93,7% планових показників на відповідний період, по спеціальному фонду – 359,0 млн.грн., з яких видатки бюджету розвитку – 254,5 млн.грн., що становить 45,4% планових показників на відповідний період. До державного бюджету перераховано реверсної дотації в сумі 114,1 млн.грн., що дорівнює плановим показникам.</w:t>
      </w:r>
    </w:p>
    <w:p w:rsidR="00612A5A" w:rsidRDefault="00612A5A" w:rsidP="00612A5A">
      <w:pPr>
        <w:ind w:firstLine="708"/>
        <w:jc w:val="both"/>
        <w:rPr>
          <w:rFonts w:eastAsia="Calibri"/>
          <w:sz w:val="28"/>
          <w:szCs w:val="28"/>
          <w:lang w:val="uk-UA"/>
        </w:rPr>
      </w:pPr>
      <w:r>
        <w:rPr>
          <w:rFonts w:eastAsia="Calibri"/>
          <w:sz w:val="28"/>
          <w:szCs w:val="28"/>
          <w:lang w:val="uk-UA"/>
        </w:rPr>
        <w:t>Майже 80</w:t>
      </w:r>
      <w:r w:rsidRPr="00497120">
        <w:rPr>
          <w:rFonts w:eastAsia="Calibri"/>
          <w:sz w:val="28"/>
          <w:szCs w:val="28"/>
          <w:lang w:val="uk-UA"/>
        </w:rPr>
        <w:t>,0% загального обсягу витрат склали захищені статті видатків, на які спрямовано 2</w:t>
      </w:r>
      <w:r w:rsidR="0071315B">
        <w:rPr>
          <w:rFonts w:eastAsia="Calibri"/>
          <w:sz w:val="28"/>
          <w:szCs w:val="28"/>
          <w:lang w:val="uk-UA"/>
        </w:rPr>
        <w:t> </w:t>
      </w:r>
      <w:r w:rsidRPr="00497120">
        <w:rPr>
          <w:rFonts w:eastAsia="Calibri"/>
          <w:sz w:val="28"/>
          <w:szCs w:val="28"/>
          <w:lang w:val="uk-UA"/>
        </w:rPr>
        <w:t>75</w:t>
      </w:r>
      <w:r w:rsidR="0071315B">
        <w:rPr>
          <w:rFonts w:eastAsia="Calibri"/>
          <w:sz w:val="28"/>
          <w:szCs w:val="28"/>
          <w:lang w:val="uk-UA"/>
        </w:rPr>
        <w:t>0,1</w:t>
      </w:r>
      <w:r w:rsidRPr="00497120">
        <w:rPr>
          <w:rFonts w:eastAsia="Calibri"/>
          <w:sz w:val="28"/>
          <w:szCs w:val="28"/>
          <w:lang w:val="uk-UA"/>
        </w:rPr>
        <w:t> млн.грн. Виплата заробітної плати здійснювалась своєчасно та в повному обсязі, заборгованість перед працівниками бюджетних установ відсутня.</w:t>
      </w:r>
    </w:p>
    <w:p w:rsidR="00904989" w:rsidRPr="00904989" w:rsidRDefault="00904989" w:rsidP="00904989">
      <w:pPr>
        <w:ind w:firstLine="708"/>
        <w:jc w:val="both"/>
        <w:rPr>
          <w:rFonts w:eastAsia="Calibri"/>
          <w:sz w:val="28"/>
          <w:szCs w:val="28"/>
          <w:lang w:val="uk-UA"/>
        </w:rPr>
      </w:pPr>
      <w:r w:rsidRPr="00904989">
        <w:rPr>
          <w:rFonts w:eastAsia="Calibri"/>
          <w:sz w:val="28"/>
          <w:szCs w:val="28"/>
          <w:lang w:val="uk-UA"/>
        </w:rPr>
        <w:t>Видатки за незахищеними статтями проведені в сумі 86</w:t>
      </w:r>
      <w:r w:rsidR="0071315B">
        <w:rPr>
          <w:rFonts w:eastAsia="Calibri"/>
          <w:sz w:val="28"/>
          <w:szCs w:val="28"/>
          <w:lang w:val="uk-UA"/>
        </w:rPr>
        <w:t>7,9</w:t>
      </w:r>
      <w:r w:rsidRPr="00904989">
        <w:rPr>
          <w:rFonts w:eastAsia="Calibri"/>
          <w:sz w:val="28"/>
          <w:szCs w:val="28"/>
          <w:lang w:val="uk-UA"/>
        </w:rPr>
        <w:t> млн.грн., в тому числі за загальним фондом бюджету міста – 50</w:t>
      </w:r>
      <w:r w:rsidR="0071315B">
        <w:rPr>
          <w:rFonts w:eastAsia="Calibri"/>
          <w:sz w:val="28"/>
          <w:szCs w:val="28"/>
          <w:lang w:val="uk-UA"/>
        </w:rPr>
        <w:t>8,8</w:t>
      </w:r>
      <w:r w:rsidRPr="00904989">
        <w:rPr>
          <w:rFonts w:eastAsia="Calibri"/>
          <w:sz w:val="28"/>
          <w:szCs w:val="28"/>
          <w:lang w:val="uk-UA"/>
        </w:rPr>
        <w:t> млн.грн. або 81,1% планових показників, спеціальним фондом – 359,0 млн.грн., з яких видатки бюджету розвитку – 254,5 млн.грн. (планові показники звітного періоду виконані на 45,4%).</w:t>
      </w:r>
    </w:p>
    <w:p w:rsidR="00904989" w:rsidRPr="00522707" w:rsidRDefault="00904989" w:rsidP="00612A5A">
      <w:pPr>
        <w:ind w:firstLine="708"/>
        <w:jc w:val="both"/>
        <w:rPr>
          <w:rFonts w:eastAsia="Calibri"/>
          <w:sz w:val="16"/>
          <w:szCs w:val="16"/>
          <w:lang w:val="uk-UA"/>
        </w:rPr>
      </w:pPr>
    </w:p>
    <w:p w:rsidR="00612A5A" w:rsidRPr="0071315B" w:rsidRDefault="00612A5A" w:rsidP="00612A5A">
      <w:pPr>
        <w:ind w:firstLine="709"/>
        <w:jc w:val="center"/>
        <w:rPr>
          <w:b/>
          <w:i/>
          <w:sz w:val="26"/>
          <w:szCs w:val="26"/>
          <w:lang w:val="uk-UA"/>
        </w:rPr>
      </w:pPr>
      <w:r w:rsidRPr="0071315B">
        <w:rPr>
          <w:b/>
          <w:i/>
          <w:sz w:val="26"/>
          <w:szCs w:val="26"/>
          <w:lang w:val="uk-UA"/>
        </w:rPr>
        <w:t xml:space="preserve">Структура видатків бюджету міста за функціональною ознакою </w:t>
      </w:r>
    </w:p>
    <w:p w:rsidR="00612A5A" w:rsidRDefault="00612A5A" w:rsidP="00612A5A">
      <w:pPr>
        <w:ind w:firstLine="709"/>
        <w:jc w:val="center"/>
        <w:rPr>
          <w:b/>
          <w:i/>
          <w:sz w:val="26"/>
          <w:szCs w:val="26"/>
          <w:lang w:val="uk-UA"/>
        </w:rPr>
      </w:pPr>
      <w:r w:rsidRPr="0071315B">
        <w:rPr>
          <w:b/>
          <w:i/>
          <w:sz w:val="26"/>
          <w:szCs w:val="26"/>
          <w:lang w:val="uk-UA"/>
        </w:rPr>
        <w:t>за І півріччя 2017 року</w:t>
      </w:r>
    </w:p>
    <w:p w:rsidR="00C901DE" w:rsidRPr="00C901DE" w:rsidRDefault="00C901DE" w:rsidP="00612A5A">
      <w:pPr>
        <w:ind w:firstLine="709"/>
        <w:jc w:val="center"/>
        <w:rPr>
          <w:b/>
          <w:i/>
          <w:sz w:val="16"/>
          <w:szCs w:val="16"/>
          <w:lang w:val="uk-UA"/>
        </w:rPr>
      </w:pPr>
    </w:p>
    <w:p w:rsidR="00C901DE" w:rsidRPr="0071315B" w:rsidRDefault="00C901DE" w:rsidP="00C901DE">
      <w:pPr>
        <w:jc w:val="center"/>
        <w:rPr>
          <w:b/>
          <w:i/>
          <w:sz w:val="26"/>
          <w:szCs w:val="26"/>
          <w:lang w:val="uk-UA"/>
        </w:rPr>
      </w:pPr>
      <w:r w:rsidRPr="00C901DE">
        <w:rPr>
          <w:b/>
          <w:i/>
          <w:noProof/>
          <w:sz w:val="26"/>
          <w:szCs w:val="26"/>
        </w:rPr>
        <w:drawing>
          <wp:inline distT="0" distB="0" distL="0" distR="0">
            <wp:extent cx="5939367" cy="3234267"/>
            <wp:effectExtent l="0" t="0" r="0"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12A5A" w:rsidRPr="00497120" w:rsidRDefault="00612A5A" w:rsidP="00612A5A">
      <w:pPr>
        <w:pStyle w:val="justifyfull"/>
        <w:spacing w:before="0" w:beforeAutospacing="0" w:after="0" w:afterAutospacing="0"/>
        <w:ind w:firstLine="708"/>
        <w:jc w:val="both"/>
        <w:rPr>
          <w:rFonts w:eastAsia="Calibri"/>
          <w:sz w:val="28"/>
          <w:szCs w:val="28"/>
          <w:lang w:val="uk-UA"/>
        </w:rPr>
      </w:pPr>
      <w:r w:rsidRPr="00497120">
        <w:rPr>
          <w:rFonts w:eastAsia="Calibri"/>
          <w:sz w:val="28"/>
          <w:szCs w:val="28"/>
          <w:lang w:val="uk-UA"/>
        </w:rPr>
        <w:t>Видатки проведені за наступними основними напрямками:</w:t>
      </w:r>
    </w:p>
    <w:p w:rsidR="00612A5A" w:rsidRDefault="00612A5A" w:rsidP="00612A5A">
      <w:pPr>
        <w:pStyle w:val="justifyfull"/>
        <w:numPr>
          <w:ilvl w:val="0"/>
          <w:numId w:val="15"/>
        </w:numPr>
        <w:spacing w:before="0" w:beforeAutospacing="0" w:after="0" w:afterAutospacing="0"/>
        <w:ind w:left="0" w:firstLine="708"/>
        <w:jc w:val="both"/>
        <w:rPr>
          <w:rFonts w:eastAsia="Calibri"/>
          <w:sz w:val="28"/>
          <w:szCs w:val="28"/>
          <w:lang w:val="uk-UA"/>
        </w:rPr>
      </w:pPr>
      <w:r w:rsidRPr="00497120">
        <w:rPr>
          <w:rFonts w:eastAsia="Calibri"/>
          <w:sz w:val="28"/>
          <w:szCs w:val="28"/>
          <w:lang w:val="uk-UA"/>
        </w:rPr>
        <w:t>На реалізацію державних та міських програм соціального захисту витрачено 966,</w:t>
      </w:r>
      <w:r w:rsidR="007B3922">
        <w:rPr>
          <w:rFonts w:eastAsia="Calibri"/>
          <w:sz w:val="28"/>
          <w:szCs w:val="28"/>
          <w:lang w:val="uk-UA"/>
        </w:rPr>
        <w:t>0</w:t>
      </w:r>
      <w:r w:rsidRPr="00497120">
        <w:rPr>
          <w:rFonts w:eastAsia="Calibri"/>
          <w:sz w:val="28"/>
          <w:szCs w:val="28"/>
          <w:lang w:val="uk-UA"/>
        </w:rPr>
        <w:t> млн.грн. або 98,7% до плану на звітний період, з яких за рахунок відповідних субвенцій з державного бюджету – 878,4 млн.грн.</w:t>
      </w:r>
    </w:p>
    <w:p w:rsidR="00612A5A" w:rsidRPr="00497120" w:rsidRDefault="00612A5A" w:rsidP="00612A5A">
      <w:pPr>
        <w:pStyle w:val="justifyfull"/>
        <w:spacing w:before="0" w:beforeAutospacing="0" w:after="0" w:afterAutospacing="0"/>
        <w:ind w:firstLine="708"/>
        <w:jc w:val="both"/>
        <w:rPr>
          <w:rFonts w:eastAsia="Calibri"/>
          <w:sz w:val="28"/>
          <w:szCs w:val="28"/>
          <w:lang w:val="uk-UA"/>
        </w:rPr>
      </w:pPr>
      <w:r w:rsidRPr="00497120">
        <w:rPr>
          <w:rFonts w:eastAsia="Calibri"/>
          <w:sz w:val="28"/>
          <w:szCs w:val="28"/>
          <w:lang w:val="uk-UA"/>
        </w:rPr>
        <w:t xml:space="preserve">Кошти субвенцій спрямовані на надання допомоги сім’ям з дітьми, малозабезпеченим сім’ям, інвалідам з дитинства, дітям-інвалідам, тимчасової державної допомоги дітям у сумі 352,6 млн.грн., надання пільг і субсидій населенню при оплаті електроенергії, природного газу, послуг </w:t>
      </w:r>
      <w:proofErr w:type="spellStart"/>
      <w:r w:rsidRPr="00497120">
        <w:rPr>
          <w:rFonts w:eastAsia="Calibri"/>
          <w:sz w:val="28"/>
          <w:szCs w:val="28"/>
          <w:lang w:val="uk-UA"/>
        </w:rPr>
        <w:t>тепло-</w:t>
      </w:r>
      <w:proofErr w:type="spellEnd"/>
      <w:r w:rsidRPr="00497120">
        <w:rPr>
          <w:rFonts w:eastAsia="Calibri"/>
          <w:sz w:val="28"/>
          <w:szCs w:val="28"/>
          <w:lang w:val="uk-UA"/>
        </w:rPr>
        <w:t xml:space="preserve">, водопостачання і водовідведення, квартирної плати, вивезення побутового </w:t>
      </w:r>
      <w:r w:rsidRPr="00497120">
        <w:rPr>
          <w:rFonts w:eastAsia="Calibri"/>
          <w:sz w:val="28"/>
          <w:szCs w:val="28"/>
          <w:lang w:val="uk-UA"/>
        </w:rPr>
        <w:lastRenderedPageBreak/>
        <w:t xml:space="preserve">сміття та рідких нечистот, твердого та рідкого пічного побутового палива і скрапленого газу – 525,8 млн.грн. </w:t>
      </w:r>
    </w:p>
    <w:p w:rsidR="00612A5A" w:rsidRDefault="00612A5A" w:rsidP="00612A5A">
      <w:pPr>
        <w:pStyle w:val="justifyfull"/>
        <w:spacing w:before="0" w:beforeAutospacing="0" w:after="0" w:afterAutospacing="0"/>
        <w:ind w:firstLine="708"/>
        <w:jc w:val="both"/>
        <w:rPr>
          <w:rFonts w:eastAsia="Calibri"/>
          <w:sz w:val="28"/>
          <w:szCs w:val="28"/>
          <w:lang w:val="uk-UA"/>
        </w:rPr>
      </w:pPr>
      <w:r w:rsidRPr="00CD10E2">
        <w:rPr>
          <w:rFonts w:eastAsia="Calibri"/>
          <w:sz w:val="28"/>
          <w:szCs w:val="28"/>
          <w:lang w:val="uk-UA"/>
        </w:rPr>
        <w:t>Порівняно з відповідним періодом минулого року кількість домогосподарств, які отримали житлові субсидії зросла більш ніж на третину</w:t>
      </w:r>
      <w:r>
        <w:rPr>
          <w:rFonts w:eastAsia="Calibri"/>
          <w:sz w:val="28"/>
          <w:szCs w:val="28"/>
          <w:lang w:val="uk-UA"/>
        </w:rPr>
        <w:t xml:space="preserve">, в опалювальний період </w:t>
      </w:r>
      <w:r w:rsidR="001F33E8">
        <w:rPr>
          <w:rFonts w:eastAsia="Calibri"/>
          <w:sz w:val="28"/>
          <w:szCs w:val="28"/>
          <w:lang w:val="uk-UA"/>
        </w:rPr>
        <w:t xml:space="preserve">їх кількість </w:t>
      </w:r>
      <w:r>
        <w:rPr>
          <w:rFonts w:eastAsia="Calibri"/>
          <w:sz w:val="28"/>
          <w:szCs w:val="28"/>
          <w:lang w:val="uk-UA"/>
        </w:rPr>
        <w:t xml:space="preserve">перевищувала 145 </w:t>
      </w:r>
      <w:proofErr w:type="spellStart"/>
      <w:r>
        <w:rPr>
          <w:rFonts w:eastAsia="Calibri"/>
          <w:sz w:val="28"/>
          <w:szCs w:val="28"/>
          <w:lang w:val="uk-UA"/>
        </w:rPr>
        <w:t>тис.сімей</w:t>
      </w:r>
      <w:proofErr w:type="spellEnd"/>
      <w:r w:rsidRPr="00CD10E2">
        <w:rPr>
          <w:rFonts w:eastAsia="Calibri"/>
          <w:sz w:val="28"/>
          <w:szCs w:val="28"/>
          <w:lang w:val="uk-UA"/>
        </w:rPr>
        <w:t>. Річні планові п</w:t>
      </w:r>
      <w:r w:rsidRPr="00FA3D98">
        <w:rPr>
          <w:rFonts w:eastAsia="Calibri"/>
          <w:sz w:val="28"/>
          <w:szCs w:val="28"/>
          <w:lang w:val="uk-UA"/>
        </w:rPr>
        <w:t>оказники за відповідними вид</w:t>
      </w:r>
      <w:r>
        <w:rPr>
          <w:rFonts w:eastAsia="Calibri"/>
          <w:sz w:val="28"/>
          <w:szCs w:val="28"/>
          <w:lang w:val="uk-UA"/>
        </w:rPr>
        <w:t>атками вже використані на 92,1%.</w:t>
      </w:r>
      <w:r w:rsidRPr="00FA3D98">
        <w:rPr>
          <w:rFonts w:eastAsia="Calibri"/>
          <w:sz w:val="28"/>
          <w:szCs w:val="28"/>
          <w:lang w:val="uk-UA"/>
        </w:rPr>
        <w:t xml:space="preserve"> </w:t>
      </w:r>
    </w:p>
    <w:p w:rsidR="007C4472" w:rsidRDefault="00612A5A" w:rsidP="00612A5A">
      <w:pPr>
        <w:pStyle w:val="justifyfull"/>
        <w:spacing w:before="0" w:beforeAutospacing="0" w:after="0" w:afterAutospacing="0"/>
        <w:ind w:firstLine="708"/>
        <w:jc w:val="both"/>
        <w:rPr>
          <w:rFonts w:eastAsia="Calibri"/>
          <w:sz w:val="28"/>
          <w:szCs w:val="28"/>
          <w:lang w:val="uk-UA"/>
        </w:rPr>
      </w:pPr>
      <w:r w:rsidRPr="00497120">
        <w:rPr>
          <w:rFonts w:eastAsia="Calibri"/>
          <w:sz w:val="28"/>
          <w:szCs w:val="28"/>
          <w:lang w:val="uk-UA"/>
        </w:rPr>
        <w:t>На надання пільг на послуги зв’язку та інших, передбачених законодавством пільг, спрямовано 2,</w:t>
      </w:r>
      <w:r>
        <w:rPr>
          <w:rFonts w:eastAsia="Calibri"/>
          <w:sz w:val="28"/>
          <w:szCs w:val="28"/>
          <w:lang w:val="uk-UA"/>
        </w:rPr>
        <w:t>1</w:t>
      </w:r>
      <w:r w:rsidRPr="00497120">
        <w:rPr>
          <w:rFonts w:eastAsia="Calibri"/>
          <w:sz w:val="28"/>
          <w:szCs w:val="28"/>
          <w:lang w:val="uk-UA"/>
        </w:rPr>
        <w:t xml:space="preserve"> млн.грн. </w:t>
      </w:r>
      <w:r w:rsidRPr="00055598">
        <w:rPr>
          <w:rFonts w:eastAsia="Calibri"/>
          <w:sz w:val="28"/>
          <w:szCs w:val="28"/>
          <w:lang w:val="uk-UA"/>
        </w:rPr>
        <w:t>Цими пільгами скористалось 11,8 </w:t>
      </w:r>
      <w:proofErr w:type="spellStart"/>
      <w:r w:rsidRPr="00055598">
        <w:rPr>
          <w:rFonts w:eastAsia="Calibri"/>
          <w:sz w:val="28"/>
          <w:szCs w:val="28"/>
          <w:lang w:val="uk-UA"/>
        </w:rPr>
        <w:t>тис.чол</w:t>
      </w:r>
      <w:proofErr w:type="spellEnd"/>
      <w:r w:rsidRPr="00055598">
        <w:rPr>
          <w:rFonts w:eastAsia="Calibri"/>
          <w:sz w:val="28"/>
          <w:szCs w:val="28"/>
          <w:lang w:val="uk-UA"/>
        </w:rPr>
        <w:t>.</w:t>
      </w:r>
      <w:r w:rsidRPr="00497120">
        <w:rPr>
          <w:rFonts w:eastAsia="Calibri"/>
          <w:sz w:val="28"/>
          <w:szCs w:val="28"/>
          <w:lang w:val="uk-UA"/>
        </w:rPr>
        <w:t xml:space="preserve"> На компенсацію пільгового перевезення окремих категорій громадян різними видами транспорту використано </w:t>
      </w:r>
      <w:r w:rsidR="00757BD6">
        <w:rPr>
          <w:rFonts w:eastAsia="Calibri"/>
          <w:sz w:val="28"/>
          <w:szCs w:val="28"/>
          <w:lang w:val="uk-UA"/>
        </w:rPr>
        <w:t>36,0</w:t>
      </w:r>
      <w:r w:rsidRPr="00497120">
        <w:rPr>
          <w:rFonts w:eastAsia="Calibri"/>
          <w:sz w:val="28"/>
          <w:szCs w:val="28"/>
          <w:lang w:val="uk-UA"/>
        </w:rPr>
        <w:t xml:space="preserve"> млн.грн. </w:t>
      </w:r>
    </w:p>
    <w:p w:rsidR="00612A5A" w:rsidRDefault="00612A5A" w:rsidP="00612A5A">
      <w:pPr>
        <w:pStyle w:val="justifyfull"/>
        <w:spacing w:before="0" w:beforeAutospacing="0" w:after="0" w:afterAutospacing="0"/>
        <w:ind w:firstLine="708"/>
        <w:jc w:val="both"/>
        <w:rPr>
          <w:rFonts w:eastAsia="Calibri"/>
          <w:sz w:val="28"/>
          <w:szCs w:val="28"/>
          <w:lang w:val="uk-UA"/>
        </w:rPr>
      </w:pPr>
      <w:r w:rsidRPr="00497120">
        <w:rPr>
          <w:rFonts w:eastAsia="Calibri"/>
          <w:sz w:val="28"/>
          <w:szCs w:val="28"/>
          <w:lang w:val="uk-UA"/>
        </w:rPr>
        <w:t xml:space="preserve">На підтримку ветеранських організацій міста витрачено 1,4 млн.грн. Виплати грошової компенсації фізичним особам, які надають соціальні послуги громадянам похилого віку, інвалідам, хворим, які не здатні до </w:t>
      </w:r>
      <w:proofErr w:type="spellStart"/>
      <w:r w:rsidRPr="00497120">
        <w:rPr>
          <w:rFonts w:eastAsia="Calibri"/>
          <w:sz w:val="28"/>
          <w:szCs w:val="28"/>
          <w:lang w:val="uk-UA"/>
        </w:rPr>
        <w:t>само</w:t>
      </w:r>
      <w:r w:rsidR="007B3922">
        <w:rPr>
          <w:rFonts w:eastAsia="Calibri"/>
          <w:sz w:val="28"/>
          <w:szCs w:val="28"/>
          <w:lang w:val="uk-UA"/>
        </w:rPr>
        <w:t>-</w:t>
      </w:r>
      <w:r w:rsidRPr="00497120">
        <w:rPr>
          <w:rFonts w:eastAsia="Calibri"/>
          <w:sz w:val="28"/>
          <w:szCs w:val="28"/>
          <w:lang w:val="uk-UA"/>
        </w:rPr>
        <w:t>обслуговування</w:t>
      </w:r>
      <w:proofErr w:type="spellEnd"/>
      <w:r w:rsidRPr="00497120">
        <w:rPr>
          <w:rFonts w:eastAsia="Calibri"/>
          <w:sz w:val="28"/>
          <w:szCs w:val="28"/>
          <w:lang w:val="uk-UA"/>
        </w:rPr>
        <w:t xml:space="preserve"> та потребують сторонньої допомоги, </w:t>
      </w:r>
      <w:r w:rsidR="007B3922">
        <w:rPr>
          <w:rFonts w:eastAsia="Calibri"/>
          <w:sz w:val="28"/>
          <w:szCs w:val="28"/>
          <w:lang w:val="uk-UA"/>
        </w:rPr>
        <w:t>спрямовано</w:t>
      </w:r>
      <w:r w:rsidRPr="00497120">
        <w:rPr>
          <w:rFonts w:eastAsia="Calibri"/>
          <w:sz w:val="28"/>
          <w:szCs w:val="28"/>
          <w:lang w:val="uk-UA"/>
        </w:rPr>
        <w:t xml:space="preserve"> 1,7 млн.грн. </w:t>
      </w:r>
    </w:p>
    <w:p w:rsidR="0033351E" w:rsidRDefault="00870FDB" w:rsidP="00612A5A">
      <w:pPr>
        <w:pStyle w:val="justifyfull"/>
        <w:spacing w:before="0" w:beforeAutospacing="0" w:after="0" w:afterAutospacing="0"/>
        <w:ind w:firstLine="708"/>
        <w:jc w:val="both"/>
        <w:rPr>
          <w:rFonts w:eastAsia="Calibri"/>
          <w:sz w:val="28"/>
          <w:szCs w:val="28"/>
          <w:lang w:val="uk-UA"/>
        </w:rPr>
      </w:pPr>
      <w:r w:rsidRPr="00C86B19">
        <w:rPr>
          <w:rFonts w:eastAsia="Calibri"/>
          <w:sz w:val="28"/>
          <w:szCs w:val="28"/>
          <w:lang w:val="uk-UA"/>
        </w:rPr>
        <w:t xml:space="preserve">Інші видатки на соціальний захист населенню склали </w:t>
      </w:r>
      <w:r w:rsidR="00757BD6">
        <w:rPr>
          <w:rFonts w:eastAsia="Calibri"/>
          <w:sz w:val="28"/>
          <w:szCs w:val="28"/>
          <w:lang w:val="uk-UA"/>
        </w:rPr>
        <w:t>45,9</w:t>
      </w:r>
      <w:r w:rsidRPr="00C86B19">
        <w:rPr>
          <w:rFonts w:eastAsia="Calibri"/>
          <w:sz w:val="28"/>
          <w:szCs w:val="28"/>
          <w:lang w:val="uk-UA"/>
        </w:rPr>
        <w:t xml:space="preserve"> млн.грн. </w:t>
      </w:r>
      <w:r w:rsidR="0033351E" w:rsidRPr="00C86B19">
        <w:rPr>
          <w:rFonts w:eastAsia="Calibri"/>
          <w:sz w:val="28"/>
          <w:szCs w:val="28"/>
          <w:lang w:val="uk-UA"/>
        </w:rPr>
        <w:t xml:space="preserve">В рамках Міської комплексної програми соціального захисту населення </w:t>
      </w:r>
      <w:r w:rsidR="00CD7D2F" w:rsidRPr="00C86B19">
        <w:rPr>
          <w:rFonts w:eastAsia="Calibri"/>
          <w:sz w:val="28"/>
          <w:szCs w:val="28"/>
          <w:lang w:val="uk-UA"/>
        </w:rPr>
        <w:t>матеріальну допомогу отримали 7</w:t>
      </w:r>
      <w:r w:rsidR="00C86B19" w:rsidRPr="00C86B19">
        <w:rPr>
          <w:rFonts w:eastAsia="Calibri"/>
          <w:sz w:val="28"/>
          <w:szCs w:val="28"/>
          <w:lang w:val="uk-UA"/>
        </w:rPr>
        <w:t>,</w:t>
      </w:r>
      <w:r w:rsidR="00CD7D2F" w:rsidRPr="00C86B19">
        <w:rPr>
          <w:rFonts w:eastAsia="Calibri"/>
          <w:sz w:val="28"/>
          <w:szCs w:val="28"/>
          <w:lang w:val="uk-UA"/>
        </w:rPr>
        <w:t>5</w:t>
      </w:r>
      <w:r w:rsidR="00C86B19" w:rsidRPr="00C86B19">
        <w:rPr>
          <w:rFonts w:eastAsia="Calibri"/>
          <w:sz w:val="28"/>
          <w:szCs w:val="28"/>
          <w:lang w:val="uk-UA"/>
        </w:rPr>
        <w:t xml:space="preserve"> тис. </w:t>
      </w:r>
      <w:r w:rsidR="00CD7D2F" w:rsidRPr="00C86B19">
        <w:rPr>
          <w:rFonts w:eastAsia="Calibri"/>
          <w:sz w:val="28"/>
          <w:szCs w:val="28"/>
          <w:lang w:val="uk-UA"/>
        </w:rPr>
        <w:t>громадян міста</w:t>
      </w:r>
      <w:r w:rsidRPr="00C86B19">
        <w:rPr>
          <w:rFonts w:eastAsia="Calibri"/>
          <w:sz w:val="28"/>
          <w:szCs w:val="28"/>
          <w:lang w:val="uk-UA"/>
        </w:rPr>
        <w:t>,</w:t>
      </w:r>
      <w:r w:rsidR="00A34239" w:rsidRPr="00C86B19">
        <w:rPr>
          <w:rFonts w:eastAsia="Calibri"/>
          <w:sz w:val="28"/>
          <w:szCs w:val="28"/>
          <w:lang w:val="uk-UA"/>
        </w:rPr>
        <w:t xml:space="preserve"> за рахунок коштів депутатського фонду бюджету міста надано підтримку 5</w:t>
      </w:r>
      <w:r w:rsidR="00C86B19" w:rsidRPr="00C86B19">
        <w:rPr>
          <w:rFonts w:eastAsia="Calibri"/>
          <w:sz w:val="28"/>
          <w:szCs w:val="28"/>
          <w:lang w:val="uk-UA"/>
        </w:rPr>
        <w:t>,</w:t>
      </w:r>
      <w:r w:rsidR="00A34239" w:rsidRPr="00C86B19">
        <w:rPr>
          <w:rFonts w:eastAsia="Calibri"/>
          <w:sz w:val="28"/>
          <w:szCs w:val="28"/>
          <w:lang w:val="uk-UA"/>
        </w:rPr>
        <w:t>3</w:t>
      </w:r>
      <w:r w:rsidR="00C86B19" w:rsidRPr="00C86B19">
        <w:rPr>
          <w:rFonts w:eastAsia="Calibri"/>
          <w:sz w:val="28"/>
          <w:szCs w:val="28"/>
          <w:lang w:val="uk-UA"/>
        </w:rPr>
        <w:t> тис.</w:t>
      </w:r>
      <w:r w:rsidR="00A34239" w:rsidRPr="00C86B19">
        <w:rPr>
          <w:rFonts w:eastAsia="Calibri"/>
          <w:sz w:val="28"/>
          <w:szCs w:val="28"/>
          <w:lang w:val="uk-UA"/>
        </w:rPr>
        <w:t xml:space="preserve"> мешканц</w:t>
      </w:r>
      <w:r w:rsidR="00253ED8">
        <w:rPr>
          <w:rFonts w:eastAsia="Calibri"/>
          <w:sz w:val="28"/>
          <w:szCs w:val="28"/>
          <w:lang w:val="uk-UA"/>
        </w:rPr>
        <w:t>ів</w:t>
      </w:r>
      <w:r w:rsidR="00A34239" w:rsidRPr="00C86B19">
        <w:rPr>
          <w:rFonts w:eastAsia="Calibri"/>
          <w:sz w:val="28"/>
          <w:szCs w:val="28"/>
          <w:lang w:val="uk-UA"/>
        </w:rPr>
        <w:t>.</w:t>
      </w:r>
      <w:r w:rsidR="00C86B19">
        <w:rPr>
          <w:rFonts w:eastAsia="Calibri"/>
          <w:sz w:val="28"/>
          <w:szCs w:val="28"/>
          <w:lang w:val="uk-UA"/>
        </w:rPr>
        <w:t xml:space="preserve"> </w:t>
      </w:r>
      <w:r w:rsidR="00253ED8">
        <w:rPr>
          <w:rFonts w:eastAsia="Calibri"/>
          <w:sz w:val="28"/>
          <w:szCs w:val="28"/>
          <w:lang w:val="uk-UA"/>
        </w:rPr>
        <w:t xml:space="preserve">На виконання заходів </w:t>
      </w:r>
      <w:r w:rsidR="00253ED8" w:rsidRPr="00253ED8">
        <w:rPr>
          <w:rFonts w:eastAsia="Calibri"/>
          <w:sz w:val="28"/>
          <w:szCs w:val="28"/>
          <w:lang w:val="uk-UA"/>
        </w:rPr>
        <w:t>програми «</w:t>
      </w:r>
      <w:r w:rsidR="00C86B19" w:rsidRPr="00253ED8">
        <w:rPr>
          <w:rFonts w:eastAsia="Calibri"/>
          <w:sz w:val="28"/>
          <w:szCs w:val="28"/>
          <w:lang w:val="uk-UA"/>
        </w:rPr>
        <w:t>З теплом до людей</w:t>
      </w:r>
      <w:r w:rsidR="00253ED8" w:rsidRPr="00253ED8">
        <w:rPr>
          <w:rFonts w:eastAsia="Calibri"/>
          <w:sz w:val="28"/>
          <w:szCs w:val="28"/>
          <w:lang w:val="uk-UA"/>
        </w:rPr>
        <w:t xml:space="preserve">» витрачено 23,2 млн.грн. </w:t>
      </w:r>
    </w:p>
    <w:p w:rsidR="00484700" w:rsidRPr="00253ED8" w:rsidRDefault="00484700" w:rsidP="00612A5A">
      <w:pPr>
        <w:pStyle w:val="justifyfull"/>
        <w:spacing w:before="0" w:beforeAutospacing="0" w:after="0" w:afterAutospacing="0"/>
        <w:ind w:firstLine="708"/>
        <w:jc w:val="both"/>
        <w:rPr>
          <w:rFonts w:eastAsia="Calibri"/>
          <w:sz w:val="28"/>
          <w:szCs w:val="28"/>
          <w:lang w:val="uk-UA"/>
        </w:rPr>
      </w:pPr>
      <w:r>
        <w:rPr>
          <w:rFonts w:eastAsia="Calibri"/>
          <w:sz w:val="28"/>
          <w:szCs w:val="28"/>
          <w:lang w:val="uk-UA"/>
        </w:rPr>
        <w:t>На організацію та проведення громадських робіт витрачено 0,5 млн.грн.</w:t>
      </w:r>
    </w:p>
    <w:p w:rsidR="006E51E7" w:rsidRDefault="00612A5A" w:rsidP="006E51E7">
      <w:pPr>
        <w:pStyle w:val="justifyfull"/>
        <w:numPr>
          <w:ilvl w:val="0"/>
          <w:numId w:val="15"/>
        </w:numPr>
        <w:spacing w:before="0" w:beforeAutospacing="0" w:after="0" w:afterAutospacing="0"/>
        <w:ind w:left="0" w:firstLine="708"/>
        <w:jc w:val="both"/>
        <w:rPr>
          <w:rFonts w:eastAsia="Calibri"/>
          <w:sz w:val="28"/>
          <w:szCs w:val="28"/>
          <w:lang w:val="uk-UA"/>
        </w:rPr>
      </w:pPr>
      <w:r w:rsidRPr="006E51E7">
        <w:rPr>
          <w:rFonts w:eastAsia="Calibri"/>
          <w:sz w:val="28"/>
          <w:szCs w:val="28"/>
          <w:lang w:val="uk-UA"/>
        </w:rPr>
        <w:t>На забезпечення функціонування та розвиток установ соціально-культурної сфери спрямовано 1791,</w:t>
      </w:r>
      <w:r w:rsidR="00522707" w:rsidRPr="006E51E7">
        <w:rPr>
          <w:rFonts w:eastAsia="Calibri"/>
          <w:sz w:val="28"/>
          <w:szCs w:val="28"/>
          <w:lang w:val="uk-UA"/>
        </w:rPr>
        <w:t>4</w:t>
      </w:r>
      <w:r w:rsidRPr="006E51E7">
        <w:rPr>
          <w:rFonts w:eastAsia="Calibri"/>
          <w:sz w:val="28"/>
          <w:szCs w:val="28"/>
          <w:lang w:val="uk-UA"/>
        </w:rPr>
        <w:t xml:space="preserve"> млн.грн., що становить 49,5% загального обсягу витрат бюджету міста, в тому числі на освіту – 1 072,1 млн.грн.</w:t>
      </w:r>
      <w:r w:rsidR="00D85376">
        <w:rPr>
          <w:rFonts w:eastAsia="Calibri"/>
          <w:sz w:val="28"/>
          <w:szCs w:val="28"/>
          <w:lang w:val="uk-UA"/>
        </w:rPr>
        <w:t xml:space="preserve"> (за рахунок освітньої субвенції з державного бюджету – 409,3 млн.грн.)</w:t>
      </w:r>
      <w:r w:rsidRPr="006E51E7">
        <w:rPr>
          <w:rFonts w:eastAsia="Calibri"/>
          <w:sz w:val="28"/>
          <w:szCs w:val="28"/>
          <w:lang w:val="uk-UA"/>
        </w:rPr>
        <w:t>, охорону здоров'я – 579,9</w:t>
      </w:r>
      <w:r w:rsidRPr="006E51E7">
        <w:rPr>
          <w:rFonts w:eastAsia="Calibri"/>
          <w:sz w:val="28"/>
          <w:szCs w:val="28"/>
        </w:rPr>
        <w:t> </w:t>
      </w:r>
      <w:r w:rsidRPr="006E51E7">
        <w:rPr>
          <w:rFonts w:eastAsia="Calibri"/>
          <w:sz w:val="28"/>
          <w:szCs w:val="28"/>
          <w:lang w:val="uk-UA"/>
        </w:rPr>
        <w:t>млн.грн.</w:t>
      </w:r>
      <w:r w:rsidR="00D85376">
        <w:rPr>
          <w:rFonts w:eastAsia="Calibri"/>
          <w:sz w:val="28"/>
          <w:szCs w:val="28"/>
          <w:lang w:val="uk-UA"/>
        </w:rPr>
        <w:t xml:space="preserve"> (за рахунок субвенцій з державного бюджету – 324,1 тис.грн.)</w:t>
      </w:r>
      <w:r w:rsidRPr="006E51E7">
        <w:rPr>
          <w:rFonts w:eastAsia="Calibri"/>
          <w:sz w:val="28"/>
          <w:szCs w:val="28"/>
          <w:lang w:val="uk-UA"/>
        </w:rPr>
        <w:t>, культуру – 86,2 млн.грн., фізичну культуру і спорт – 34,2 млн.грн., установи соціального захисту – 1</w:t>
      </w:r>
      <w:r w:rsidR="00522707" w:rsidRPr="006E51E7">
        <w:rPr>
          <w:rFonts w:eastAsia="Calibri"/>
          <w:sz w:val="28"/>
          <w:szCs w:val="28"/>
          <w:lang w:val="uk-UA"/>
        </w:rPr>
        <w:t>9</w:t>
      </w:r>
      <w:r w:rsidRPr="006E51E7">
        <w:rPr>
          <w:rFonts w:eastAsia="Calibri"/>
          <w:sz w:val="28"/>
          <w:szCs w:val="28"/>
          <w:lang w:val="uk-UA"/>
        </w:rPr>
        <w:t>,</w:t>
      </w:r>
      <w:r w:rsidR="007B3922">
        <w:rPr>
          <w:rFonts w:eastAsia="Calibri"/>
          <w:sz w:val="28"/>
          <w:szCs w:val="28"/>
          <w:lang w:val="uk-UA"/>
        </w:rPr>
        <w:t>7</w:t>
      </w:r>
      <w:r w:rsidRPr="006E51E7">
        <w:rPr>
          <w:rFonts w:eastAsia="Calibri"/>
          <w:sz w:val="28"/>
          <w:szCs w:val="28"/>
          <w:lang w:val="uk-UA"/>
        </w:rPr>
        <w:t xml:space="preserve"> млн.грн. </w:t>
      </w:r>
    </w:p>
    <w:p w:rsidR="006E51E7" w:rsidRPr="00DD1F66" w:rsidRDefault="006E51E7" w:rsidP="006E51E7">
      <w:pPr>
        <w:pStyle w:val="justifyfull"/>
        <w:spacing w:before="0" w:beforeAutospacing="0" w:after="0" w:afterAutospacing="0"/>
        <w:ind w:left="708"/>
        <w:jc w:val="both"/>
        <w:rPr>
          <w:rFonts w:eastAsia="Calibri"/>
          <w:sz w:val="12"/>
          <w:szCs w:val="12"/>
          <w:lang w:val="uk-UA"/>
        </w:rPr>
      </w:pPr>
    </w:p>
    <w:p w:rsidR="006E51E7" w:rsidRPr="00DD1F66" w:rsidRDefault="006E51E7" w:rsidP="006E51E7">
      <w:pPr>
        <w:pStyle w:val="justifyfull"/>
        <w:spacing w:before="0" w:beforeAutospacing="0" w:after="0" w:afterAutospacing="0"/>
        <w:jc w:val="center"/>
        <w:rPr>
          <w:rFonts w:eastAsia="Calibri"/>
          <w:b/>
          <w:sz w:val="26"/>
          <w:szCs w:val="26"/>
          <w:lang w:val="uk-UA"/>
        </w:rPr>
      </w:pPr>
      <w:r w:rsidRPr="00DD1F66">
        <w:rPr>
          <w:rFonts w:eastAsia="Calibri"/>
          <w:b/>
          <w:sz w:val="26"/>
          <w:szCs w:val="26"/>
          <w:lang w:val="uk-UA"/>
        </w:rPr>
        <w:t>Структура видатків на функціонування та розвиток установ соціально-культурної сфери за економічною ознакою</w:t>
      </w:r>
    </w:p>
    <w:p w:rsidR="00522707" w:rsidRPr="006E51E7" w:rsidRDefault="006E51E7" w:rsidP="006E51E7">
      <w:pPr>
        <w:pStyle w:val="justifyfull"/>
        <w:spacing w:before="0" w:beforeAutospacing="0" w:after="0" w:afterAutospacing="0"/>
        <w:jc w:val="both"/>
        <w:rPr>
          <w:rFonts w:eastAsia="Calibri"/>
          <w:sz w:val="28"/>
          <w:szCs w:val="28"/>
          <w:lang w:val="uk-UA"/>
        </w:rPr>
      </w:pPr>
      <w:r w:rsidRPr="006E51E7">
        <w:rPr>
          <w:rFonts w:eastAsia="Calibri"/>
          <w:noProof/>
          <w:sz w:val="28"/>
          <w:szCs w:val="28"/>
        </w:rPr>
        <w:drawing>
          <wp:inline distT="0" distB="0" distL="0" distR="0">
            <wp:extent cx="6117167" cy="3526366"/>
            <wp:effectExtent l="0" t="0" r="0" b="0"/>
            <wp:docPr id="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501D9" w:rsidRDefault="001501D9" w:rsidP="001501D9">
      <w:pPr>
        <w:ind w:firstLine="708"/>
        <w:jc w:val="both"/>
        <w:rPr>
          <w:rFonts w:eastAsia="Calibri"/>
          <w:sz w:val="28"/>
          <w:szCs w:val="28"/>
          <w:lang w:val="uk-UA"/>
        </w:rPr>
      </w:pPr>
      <w:r>
        <w:rPr>
          <w:rFonts w:eastAsia="Calibri"/>
          <w:sz w:val="28"/>
          <w:szCs w:val="28"/>
          <w:lang w:val="uk-UA"/>
        </w:rPr>
        <w:lastRenderedPageBreak/>
        <w:t xml:space="preserve">Поточні видатки загального фонду бюджету на утримання установ склали </w:t>
      </w:r>
      <w:r w:rsidR="001C17EE">
        <w:rPr>
          <w:rFonts w:eastAsia="Calibri"/>
          <w:sz w:val="28"/>
          <w:szCs w:val="28"/>
          <w:lang w:val="uk-UA"/>
        </w:rPr>
        <w:t>1 629,2 млн.грн., з яких найбільшу частку займають витрати на оплату праці з нарахуваннями – 1 307,9 млн.грн. та проведення розрахунків за спожиті комунальні послуги та енергоносії – 167,6 млн.грн.</w:t>
      </w:r>
    </w:p>
    <w:p w:rsidR="00493E5E" w:rsidRDefault="00493E5E" w:rsidP="001501D9">
      <w:pPr>
        <w:ind w:firstLine="708"/>
        <w:jc w:val="both"/>
        <w:rPr>
          <w:rFonts w:eastAsia="Calibri"/>
          <w:sz w:val="28"/>
          <w:szCs w:val="28"/>
          <w:lang w:val="uk-UA"/>
        </w:rPr>
      </w:pPr>
      <w:r>
        <w:rPr>
          <w:rFonts w:eastAsia="Calibri"/>
          <w:sz w:val="28"/>
          <w:szCs w:val="28"/>
          <w:lang w:val="uk-UA"/>
        </w:rPr>
        <w:t>Видатки капітального характеру проведені в сумі 80,6 </w:t>
      </w:r>
      <w:proofErr w:type="spellStart"/>
      <w:r>
        <w:rPr>
          <w:rFonts w:eastAsia="Calibri"/>
          <w:sz w:val="28"/>
          <w:szCs w:val="28"/>
          <w:lang w:val="uk-UA"/>
        </w:rPr>
        <w:t>мллн.грн</w:t>
      </w:r>
      <w:proofErr w:type="spellEnd"/>
      <w:r>
        <w:rPr>
          <w:rFonts w:eastAsia="Calibri"/>
          <w:sz w:val="28"/>
          <w:szCs w:val="28"/>
          <w:lang w:val="uk-UA"/>
        </w:rPr>
        <w:t>., з яких за рахунок надходжень бюджету розвитку – 65,1 млн.грн., що становить 41,7% планових показників.</w:t>
      </w:r>
    </w:p>
    <w:p w:rsidR="001501D9" w:rsidRPr="00A8763B" w:rsidRDefault="001501D9" w:rsidP="001501D9">
      <w:pPr>
        <w:ind w:firstLine="708"/>
        <w:jc w:val="both"/>
        <w:rPr>
          <w:rFonts w:eastAsia="Calibri"/>
          <w:sz w:val="28"/>
          <w:szCs w:val="28"/>
          <w:lang w:val="uk-UA"/>
        </w:rPr>
      </w:pPr>
      <w:r>
        <w:rPr>
          <w:rFonts w:eastAsia="Calibri"/>
          <w:sz w:val="28"/>
          <w:szCs w:val="28"/>
          <w:lang w:val="uk-UA"/>
        </w:rPr>
        <w:t>За звітний період по лікарнях міста з</w:t>
      </w:r>
      <w:r w:rsidRPr="00A8763B">
        <w:rPr>
          <w:rFonts w:eastAsia="Calibri"/>
          <w:sz w:val="28"/>
          <w:szCs w:val="28"/>
          <w:lang w:val="uk-UA"/>
        </w:rPr>
        <w:t>а програмою «Доступні ліки» відшкодовано вартість лікарських засобів для осіб, що страждають на серцево-судинні захворювання, цукровий діабет II типу, бронхіальну астму на загальну суму 2,5 млн.грн.</w:t>
      </w:r>
      <w:r w:rsidRPr="0087538E">
        <w:rPr>
          <w:rFonts w:eastAsia="Calibri"/>
          <w:sz w:val="28"/>
          <w:szCs w:val="28"/>
          <w:lang w:val="uk-UA"/>
        </w:rPr>
        <w:t xml:space="preserve"> </w:t>
      </w:r>
      <w:r>
        <w:rPr>
          <w:rFonts w:eastAsia="Calibri"/>
          <w:sz w:val="28"/>
          <w:szCs w:val="28"/>
          <w:lang w:val="uk-UA"/>
        </w:rPr>
        <w:t>(</w:t>
      </w:r>
      <w:r w:rsidRPr="00A8763B">
        <w:rPr>
          <w:rFonts w:eastAsia="Calibri"/>
          <w:sz w:val="28"/>
          <w:szCs w:val="28"/>
          <w:lang w:val="uk-UA"/>
        </w:rPr>
        <w:t>по</w:t>
      </w:r>
      <w:r>
        <w:rPr>
          <w:rFonts w:eastAsia="Calibri"/>
          <w:sz w:val="28"/>
          <w:szCs w:val="28"/>
          <w:lang w:val="uk-UA"/>
        </w:rPr>
        <w:t>над</w:t>
      </w:r>
      <w:r w:rsidRPr="00A8763B">
        <w:rPr>
          <w:rFonts w:eastAsia="Calibri"/>
          <w:sz w:val="28"/>
          <w:szCs w:val="28"/>
          <w:lang w:val="uk-UA"/>
        </w:rPr>
        <w:t xml:space="preserve"> 7</w:t>
      </w:r>
      <w:r>
        <w:rPr>
          <w:rFonts w:eastAsia="Calibri"/>
          <w:sz w:val="28"/>
          <w:szCs w:val="28"/>
          <w:lang w:val="uk-UA"/>
        </w:rPr>
        <w:t>0,0 тис.</w:t>
      </w:r>
      <w:r w:rsidRPr="00A8763B">
        <w:rPr>
          <w:rFonts w:eastAsia="Calibri"/>
          <w:sz w:val="28"/>
          <w:szCs w:val="28"/>
          <w:lang w:val="uk-UA"/>
        </w:rPr>
        <w:t xml:space="preserve"> рецепт</w:t>
      </w:r>
      <w:r>
        <w:rPr>
          <w:rFonts w:eastAsia="Calibri"/>
          <w:sz w:val="28"/>
          <w:szCs w:val="28"/>
          <w:lang w:val="uk-UA"/>
        </w:rPr>
        <w:t xml:space="preserve">ів). </w:t>
      </w:r>
      <w:r w:rsidRPr="00A8763B">
        <w:rPr>
          <w:rFonts w:eastAsia="Calibri"/>
          <w:sz w:val="28"/>
          <w:szCs w:val="28"/>
          <w:lang w:val="uk-UA"/>
        </w:rPr>
        <w:t>У стоматологічних поліклініках міста зубопротезуванням на пільгових умовах охоплено 563 ос</w:t>
      </w:r>
      <w:r>
        <w:rPr>
          <w:rFonts w:eastAsia="Calibri"/>
          <w:sz w:val="28"/>
          <w:szCs w:val="28"/>
          <w:lang w:val="uk-UA"/>
        </w:rPr>
        <w:t>о</w:t>
      </w:r>
      <w:r w:rsidRPr="00A8763B">
        <w:rPr>
          <w:rFonts w:eastAsia="Calibri"/>
          <w:sz w:val="28"/>
          <w:szCs w:val="28"/>
          <w:lang w:val="uk-UA"/>
        </w:rPr>
        <w:t>би пільгових категорій (інваліди війни, учасники бойових дій та ін.), фактичні видатки за напрямком становили 1,3 млн.грн.</w:t>
      </w:r>
    </w:p>
    <w:p w:rsidR="00493E5E" w:rsidRPr="00EB10F9" w:rsidRDefault="00493E5E" w:rsidP="00493E5E">
      <w:pPr>
        <w:pStyle w:val="justifyfull"/>
        <w:spacing w:before="0" w:beforeAutospacing="0" w:after="0" w:afterAutospacing="0"/>
        <w:ind w:firstLine="708"/>
        <w:jc w:val="both"/>
        <w:rPr>
          <w:rFonts w:eastAsia="Calibri"/>
          <w:sz w:val="28"/>
          <w:szCs w:val="28"/>
          <w:lang w:val="uk-UA"/>
        </w:rPr>
      </w:pPr>
      <w:r>
        <w:rPr>
          <w:rFonts w:eastAsia="Calibri"/>
          <w:sz w:val="28"/>
          <w:szCs w:val="28"/>
          <w:lang w:val="uk-UA"/>
        </w:rPr>
        <w:t>По галузі «Охорона здоров’я» видатки бюджету розвитку склали 29,7 млн.грн. За рахунок цих коштів для лікувально-профілактичних закладів п</w:t>
      </w:r>
      <w:r w:rsidRPr="00C26F3F">
        <w:rPr>
          <w:rFonts w:eastAsia="Calibri"/>
          <w:sz w:val="28"/>
          <w:szCs w:val="28"/>
          <w:lang w:val="uk-UA"/>
        </w:rPr>
        <w:t>ридбано</w:t>
      </w:r>
      <w:r>
        <w:rPr>
          <w:rFonts w:eastAsia="Calibri"/>
          <w:sz w:val="28"/>
          <w:szCs w:val="28"/>
          <w:lang w:val="uk-UA"/>
        </w:rPr>
        <w:t xml:space="preserve"> медичного обладнання на загальну суму 17,6 млн.грн., в тому числі </w:t>
      </w:r>
      <w:r w:rsidRPr="00510DD2">
        <w:rPr>
          <w:rFonts w:eastAsia="Calibri"/>
          <w:sz w:val="28"/>
          <w:szCs w:val="28"/>
          <w:lang w:val="uk-UA"/>
        </w:rPr>
        <w:t xml:space="preserve">3 </w:t>
      </w:r>
      <w:proofErr w:type="spellStart"/>
      <w:r w:rsidRPr="00510DD2">
        <w:rPr>
          <w:rFonts w:eastAsia="Calibri"/>
          <w:sz w:val="28"/>
          <w:szCs w:val="28"/>
          <w:lang w:val="uk-UA"/>
        </w:rPr>
        <w:t>бронхофіброскопи</w:t>
      </w:r>
      <w:proofErr w:type="spellEnd"/>
      <w:r w:rsidRPr="00510DD2">
        <w:rPr>
          <w:rFonts w:eastAsia="Calibri"/>
          <w:sz w:val="28"/>
          <w:szCs w:val="28"/>
          <w:lang w:val="uk-UA"/>
        </w:rPr>
        <w:t xml:space="preserve"> для лікарень, 2 апарати цифрового УЗД та систему комп’ютерної радіографії для </w:t>
      </w:r>
      <w:proofErr w:type="spellStart"/>
      <w:r w:rsidRPr="00510DD2">
        <w:rPr>
          <w:rFonts w:eastAsia="Calibri"/>
          <w:sz w:val="28"/>
          <w:szCs w:val="28"/>
          <w:lang w:val="uk-UA"/>
        </w:rPr>
        <w:t>мамографії</w:t>
      </w:r>
      <w:proofErr w:type="spellEnd"/>
      <w:r w:rsidRPr="00510DD2">
        <w:rPr>
          <w:rFonts w:eastAsia="Calibri"/>
          <w:sz w:val="28"/>
          <w:szCs w:val="28"/>
          <w:lang w:val="uk-UA"/>
        </w:rPr>
        <w:t xml:space="preserve"> в пологові будинки, а також проведено попередню оплату за апарати штучної вентиляції легенів.</w:t>
      </w:r>
    </w:p>
    <w:p w:rsidR="00493E5E" w:rsidRPr="00270A1C" w:rsidRDefault="00493E5E" w:rsidP="00493E5E">
      <w:pPr>
        <w:ind w:firstLine="708"/>
        <w:jc w:val="both"/>
        <w:rPr>
          <w:rFonts w:eastAsia="Calibri"/>
          <w:sz w:val="27"/>
          <w:szCs w:val="27"/>
          <w:lang w:val="uk-UA"/>
        </w:rPr>
      </w:pPr>
      <w:r w:rsidRPr="00270A1C">
        <w:rPr>
          <w:rFonts w:eastAsia="Calibri"/>
          <w:sz w:val="27"/>
          <w:szCs w:val="27"/>
          <w:lang w:val="uk-UA"/>
        </w:rPr>
        <w:t xml:space="preserve">Тривали роботи з капітального ремонту у 6-ти лікувально-профілактичних закладах. Виконано ремонт зовнішньої траси тепловодопостачання </w:t>
      </w:r>
      <w:proofErr w:type="spellStart"/>
      <w:r w:rsidRPr="00270A1C">
        <w:rPr>
          <w:rFonts w:eastAsia="Calibri"/>
          <w:sz w:val="27"/>
          <w:szCs w:val="27"/>
          <w:lang w:val="uk-UA"/>
        </w:rPr>
        <w:t>КУ</w:t>
      </w:r>
      <w:proofErr w:type="spellEnd"/>
      <w:r w:rsidRPr="00270A1C">
        <w:rPr>
          <w:rFonts w:eastAsia="Calibri"/>
          <w:sz w:val="27"/>
          <w:szCs w:val="27"/>
          <w:lang w:val="uk-UA"/>
        </w:rPr>
        <w:t xml:space="preserve"> «Центральна клінічна лікарня №4 Заводського району», капітально відремонтовані ліфти в 3-х закладах охорони здоров’я. В рамках цільової програми «Вікна» здійснено заміну вікон в </w:t>
      </w:r>
      <w:proofErr w:type="spellStart"/>
      <w:r w:rsidRPr="00270A1C">
        <w:rPr>
          <w:rFonts w:eastAsia="Calibri"/>
          <w:sz w:val="27"/>
          <w:szCs w:val="27"/>
          <w:lang w:val="uk-UA"/>
        </w:rPr>
        <w:t>КУ</w:t>
      </w:r>
      <w:proofErr w:type="spellEnd"/>
      <w:r w:rsidRPr="00270A1C">
        <w:rPr>
          <w:rFonts w:eastAsia="Calibri"/>
          <w:sz w:val="27"/>
          <w:szCs w:val="27"/>
          <w:lang w:val="uk-UA"/>
        </w:rPr>
        <w:t xml:space="preserve"> "Запорізька міська багатопрофільна дитяча лікарня №5". Також завершені роботи з реконструкції </w:t>
      </w:r>
      <w:proofErr w:type="spellStart"/>
      <w:r w:rsidRPr="00270A1C">
        <w:rPr>
          <w:rFonts w:eastAsia="Calibri"/>
          <w:sz w:val="27"/>
          <w:szCs w:val="27"/>
          <w:lang w:val="uk-UA"/>
        </w:rPr>
        <w:t>КУ</w:t>
      </w:r>
      <w:proofErr w:type="spellEnd"/>
      <w:r w:rsidRPr="00270A1C">
        <w:rPr>
          <w:rFonts w:eastAsia="Calibri"/>
          <w:sz w:val="27"/>
          <w:szCs w:val="27"/>
          <w:lang w:val="uk-UA"/>
        </w:rPr>
        <w:t xml:space="preserve"> «Центральна лікарня </w:t>
      </w:r>
      <w:proofErr w:type="spellStart"/>
      <w:r w:rsidRPr="00270A1C">
        <w:rPr>
          <w:rFonts w:eastAsia="Calibri"/>
          <w:sz w:val="27"/>
          <w:szCs w:val="27"/>
          <w:lang w:val="uk-UA"/>
        </w:rPr>
        <w:t>Орджонікідзевського</w:t>
      </w:r>
      <w:proofErr w:type="spellEnd"/>
      <w:r w:rsidRPr="00270A1C">
        <w:rPr>
          <w:rFonts w:eastAsia="Calibri"/>
          <w:sz w:val="27"/>
          <w:szCs w:val="27"/>
          <w:lang w:val="uk-UA"/>
        </w:rPr>
        <w:t xml:space="preserve"> району" під </w:t>
      </w:r>
      <w:proofErr w:type="spellStart"/>
      <w:r w:rsidRPr="00270A1C">
        <w:rPr>
          <w:rFonts w:eastAsia="Calibri"/>
          <w:sz w:val="27"/>
          <w:szCs w:val="27"/>
          <w:lang w:val="uk-UA"/>
        </w:rPr>
        <w:t>гемодіалізний</w:t>
      </w:r>
      <w:proofErr w:type="spellEnd"/>
      <w:r w:rsidRPr="00270A1C">
        <w:rPr>
          <w:rFonts w:eastAsia="Calibri"/>
          <w:sz w:val="27"/>
          <w:szCs w:val="27"/>
          <w:lang w:val="uk-UA"/>
        </w:rPr>
        <w:t xml:space="preserve"> центр та реконструкції відділення очної травми та приймального відділення </w:t>
      </w:r>
      <w:proofErr w:type="spellStart"/>
      <w:r w:rsidRPr="00270A1C">
        <w:rPr>
          <w:rFonts w:eastAsia="Calibri"/>
          <w:sz w:val="27"/>
          <w:szCs w:val="27"/>
          <w:lang w:val="uk-UA"/>
        </w:rPr>
        <w:t>КЗ</w:t>
      </w:r>
      <w:proofErr w:type="spellEnd"/>
      <w:r w:rsidRPr="00270A1C">
        <w:rPr>
          <w:rFonts w:eastAsia="Calibri"/>
          <w:sz w:val="27"/>
          <w:szCs w:val="27"/>
          <w:lang w:val="uk-UA"/>
        </w:rPr>
        <w:t xml:space="preserve"> «Міська клінічна лікарня №3».</w:t>
      </w:r>
    </w:p>
    <w:p w:rsidR="001501D9" w:rsidRPr="00270A1C" w:rsidRDefault="001501D9" w:rsidP="001501D9">
      <w:pPr>
        <w:pStyle w:val="justifyfull"/>
        <w:spacing w:before="0" w:beforeAutospacing="0" w:after="0" w:afterAutospacing="0"/>
        <w:ind w:firstLine="708"/>
        <w:jc w:val="both"/>
        <w:rPr>
          <w:rFonts w:eastAsia="Calibri"/>
          <w:sz w:val="27"/>
          <w:szCs w:val="27"/>
          <w:lang w:val="uk-UA"/>
        </w:rPr>
      </w:pPr>
      <w:r w:rsidRPr="00270A1C">
        <w:rPr>
          <w:rFonts w:eastAsia="Calibri"/>
          <w:sz w:val="27"/>
          <w:szCs w:val="27"/>
          <w:lang w:val="uk-UA"/>
        </w:rPr>
        <w:t>З метою підготовки закладів освіти до нового навчального року та в зв’язку з розширенням мережі проводились поточні ремонти в 33-х навчальних закладах міста. В рамках цільової програми "Вікна" здійснено заміну 190 старих вікон на нові енергозберігаючі в 19-ти загальноосвітніх школах та 17-ти дошкільних навчальних закладах на загальну суму 2,4 млн.грн.</w:t>
      </w:r>
    </w:p>
    <w:p w:rsidR="00612A5A" w:rsidRPr="00270A1C" w:rsidRDefault="001C17EE" w:rsidP="00612A5A">
      <w:pPr>
        <w:pStyle w:val="justifyfull"/>
        <w:spacing w:before="0" w:beforeAutospacing="0" w:after="0" w:afterAutospacing="0"/>
        <w:ind w:firstLine="708"/>
        <w:jc w:val="both"/>
        <w:rPr>
          <w:rFonts w:eastAsia="Calibri"/>
          <w:sz w:val="27"/>
          <w:szCs w:val="27"/>
          <w:lang w:val="uk-UA"/>
        </w:rPr>
      </w:pPr>
      <w:r w:rsidRPr="00270A1C">
        <w:rPr>
          <w:rFonts w:eastAsia="Calibri"/>
          <w:sz w:val="27"/>
          <w:szCs w:val="27"/>
          <w:lang w:val="uk-UA"/>
        </w:rPr>
        <w:t xml:space="preserve">На розвиток освітньої </w:t>
      </w:r>
      <w:r w:rsidR="00612A5A" w:rsidRPr="00270A1C">
        <w:rPr>
          <w:rFonts w:eastAsia="Calibri"/>
          <w:sz w:val="27"/>
          <w:szCs w:val="27"/>
          <w:lang w:val="uk-UA"/>
        </w:rPr>
        <w:t xml:space="preserve">галузі </w:t>
      </w:r>
      <w:r w:rsidRPr="00270A1C">
        <w:rPr>
          <w:rFonts w:eastAsia="Calibri"/>
          <w:sz w:val="27"/>
          <w:szCs w:val="27"/>
          <w:lang w:val="uk-UA"/>
        </w:rPr>
        <w:t>з бюджету розвитку витрачено</w:t>
      </w:r>
      <w:r w:rsidR="00612A5A" w:rsidRPr="00270A1C">
        <w:rPr>
          <w:rFonts w:eastAsia="Calibri"/>
          <w:sz w:val="27"/>
          <w:szCs w:val="27"/>
          <w:lang w:val="uk-UA"/>
        </w:rPr>
        <w:t xml:space="preserve"> 32,0 млн.грн., в тому числі </w:t>
      </w:r>
      <w:r w:rsidR="00C86B19" w:rsidRPr="00270A1C">
        <w:rPr>
          <w:rFonts w:eastAsia="Calibri"/>
          <w:sz w:val="27"/>
          <w:szCs w:val="27"/>
          <w:lang w:val="uk-UA"/>
        </w:rPr>
        <w:t xml:space="preserve">на придбання обладнання та предметів довгострокового користування – 4,0 млн.грн., капітальні ремонти – 3,2 млн.грн., </w:t>
      </w:r>
      <w:r w:rsidR="00612A5A" w:rsidRPr="00270A1C">
        <w:rPr>
          <w:rFonts w:eastAsia="Calibri"/>
          <w:sz w:val="27"/>
          <w:szCs w:val="27"/>
          <w:lang w:val="uk-UA"/>
        </w:rPr>
        <w:t>будівництво і реконструкці</w:t>
      </w:r>
      <w:r w:rsidR="00C86B19" w:rsidRPr="00270A1C">
        <w:rPr>
          <w:rFonts w:eastAsia="Calibri"/>
          <w:sz w:val="27"/>
          <w:szCs w:val="27"/>
          <w:lang w:val="uk-UA"/>
        </w:rPr>
        <w:t>ю</w:t>
      </w:r>
      <w:r w:rsidR="00612A5A" w:rsidRPr="00270A1C">
        <w:rPr>
          <w:rFonts w:eastAsia="Calibri"/>
          <w:sz w:val="27"/>
          <w:szCs w:val="27"/>
          <w:lang w:val="uk-UA"/>
        </w:rPr>
        <w:t xml:space="preserve"> – 24,8 млн.грн. </w:t>
      </w:r>
      <w:r w:rsidRPr="00270A1C">
        <w:rPr>
          <w:rFonts w:eastAsia="Calibri"/>
          <w:sz w:val="27"/>
          <w:szCs w:val="27"/>
          <w:lang w:val="uk-UA"/>
        </w:rPr>
        <w:t>П</w:t>
      </w:r>
      <w:r w:rsidR="00612A5A" w:rsidRPr="00270A1C">
        <w:rPr>
          <w:rFonts w:eastAsia="Calibri"/>
          <w:sz w:val="27"/>
          <w:szCs w:val="27"/>
          <w:lang w:val="uk-UA"/>
        </w:rPr>
        <w:t>ридбано 10 одиниць обладнання для відкриття дошкільного навчального закладу №100, 36 одиниць музичної апаратури для 12 закладів позашкільної освіти, пров</w:t>
      </w:r>
      <w:r w:rsidR="00C86B19" w:rsidRPr="00270A1C">
        <w:rPr>
          <w:rFonts w:eastAsia="Calibri"/>
          <w:sz w:val="27"/>
          <w:szCs w:val="27"/>
          <w:lang w:val="uk-UA"/>
        </w:rPr>
        <w:t>одились роботи з</w:t>
      </w:r>
      <w:r w:rsidR="00612A5A" w:rsidRPr="00270A1C">
        <w:rPr>
          <w:rFonts w:eastAsia="Calibri"/>
          <w:sz w:val="27"/>
          <w:szCs w:val="27"/>
          <w:lang w:val="uk-UA"/>
        </w:rPr>
        <w:t xml:space="preserve"> капітальн</w:t>
      </w:r>
      <w:r w:rsidR="00C86B19" w:rsidRPr="00270A1C">
        <w:rPr>
          <w:rFonts w:eastAsia="Calibri"/>
          <w:sz w:val="27"/>
          <w:szCs w:val="27"/>
          <w:lang w:val="uk-UA"/>
        </w:rPr>
        <w:t>ого</w:t>
      </w:r>
      <w:r w:rsidR="00612A5A" w:rsidRPr="00270A1C">
        <w:rPr>
          <w:rFonts w:eastAsia="Calibri"/>
          <w:sz w:val="27"/>
          <w:szCs w:val="27"/>
          <w:lang w:val="uk-UA"/>
        </w:rPr>
        <w:t xml:space="preserve"> ремонт</w:t>
      </w:r>
      <w:r w:rsidR="00C86B19" w:rsidRPr="00270A1C">
        <w:rPr>
          <w:rFonts w:eastAsia="Calibri"/>
          <w:sz w:val="27"/>
          <w:szCs w:val="27"/>
          <w:lang w:val="uk-UA"/>
        </w:rPr>
        <w:t>у</w:t>
      </w:r>
      <w:r w:rsidR="00612A5A" w:rsidRPr="00270A1C">
        <w:rPr>
          <w:rFonts w:eastAsia="Calibri"/>
          <w:sz w:val="27"/>
          <w:szCs w:val="27"/>
          <w:lang w:val="uk-UA"/>
        </w:rPr>
        <w:t xml:space="preserve"> в 9-ти дошкільних </w:t>
      </w:r>
      <w:r w:rsidR="001F33E8" w:rsidRPr="00270A1C">
        <w:rPr>
          <w:rFonts w:eastAsia="Calibri"/>
          <w:sz w:val="27"/>
          <w:szCs w:val="27"/>
          <w:lang w:val="uk-UA"/>
        </w:rPr>
        <w:t>та</w:t>
      </w:r>
      <w:r w:rsidR="00612A5A" w:rsidRPr="00270A1C">
        <w:rPr>
          <w:rFonts w:eastAsia="Calibri"/>
          <w:sz w:val="27"/>
          <w:szCs w:val="27"/>
          <w:lang w:val="uk-UA"/>
        </w:rPr>
        <w:t xml:space="preserve"> 10-ти загальноосвітніх навчальних закладах</w:t>
      </w:r>
      <w:r w:rsidR="0087538E" w:rsidRPr="00270A1C">
        <w:rPr>
          <w:rFonts w:eastAsia="Calibri"/>
          <w:sz w:val="27"/>
          <w:szCs w:val="27"/>
          <w:lang w:val="uk-UA"/>
        </w:rPr>
        <w:t xml:space="preserve">, з реконструкції </w:t>
      </w:r>
      <w:r w:rsidR="00451DC3" w:rsidRPr="00270A1C">
        <w:rPr>
          <w:rFonts w:eastAsia="Calibri"/>
          <w:sz w:val="27"/>
          <w:szCs w:val="27"/>
          <w:lang w:val="uk-UA"/>
        </w:rPr>
        <w:t>на</w:t>
      </w:r>
      <w:r w:rsidR="0087538E" w:rsidRPr="00270A1C">
        <w:rPr>
          <w:rFonts w:eastAsia="Calibri"/>
          <w:sz w:val="27"/>
          <w:szCs w:val="27"/>
          <w:lang w:val="uk-UA"/>
        </w:rPr>
        <w:t xml:space="preserve"> 13-ти </w:t>
      </w:r>
      <w:r w:rsidR="00451DC3" w:rsidRPr="00270A1C">
        <w:rPr>
          <w:rFonts w:eastAsia="Calibri"/>
          <w:sz w:val="27"/>
          <w:szCs w:val="27"/>
          <w:lang w:val="uk-UA"/>
        </w:rPr>
        <w:t>об’єктах, зокрема розпочато реконструкцію 7-ми комплексів спортивних майданчиків загальноосвітніх навчальних закладів</w:t>
      </w:r>
      <w:r w:rsidR="00612A5A" w:rsidRPr="00270A1C">
        <w:rPr>
          <w:rFonts w:eastAsia="Calibri"/>
          <w:sz w:val="27"/>
          <w:szCs w:val="27"/>
          <w:lang w:val="uk-UA"/>
        </w:rPr>
        <w:t>.</w:t>
      </w:r>
    </w:p>
    <w:p w:rsidR="00612A5A" w:rsidRDefault="00612A5A" w:rsidP="00612A5A">
      <w:pPr>
        <w:pStyle w:val="justifyfull"/>
        <w:numPr>
          <w:ilvl w:val="0"/>
          <w:numId w:val="15"/>
        </w:numPr>
        <w:spacing w:before="0" w:beforeAutospacing="0" w:after="0" w:afterAutospacing="0"/>
        <w:ind w:left="0" w:firstLine="708"/>
        <w:jc w:val="both"/>
        <w:rPr>
          <w:rFonts w:eastAsia="Calibri"/>
          <w:sz w:val="28"/>
          <w:szCs w:val="28"/>
          <w:lang w:val="uk-UA"/>
        </w:rPr>
      </w:pPr>
      <w:r w:rsidRPr="00497120">
        <w:rPr>
          <w:rFonts w:eastAsia="Calibri"/>
          <w:sz w:val="28"/>
          <w:szCs w:val="28"/>
          <w:lang w:val="uk-UA"/>
        </w:rPr>
        <w:t>Видатки на житлово-комунальне та дорожнє господарство склали 48</w:t>
      </w:r>
      <w:r>
        <w:rPr>
          <w:rFonts w:eastAsia="Calibri"/>
          <w:sz w:val="28"/>
          <w:szCs w:val="28"/>
          <w:lang w:val="uk-UA"/>
        </w:rPr>
        <w:t>8,3</w:t>
      </w:r>
      <w:r w:rsidRPr="00497120">
        <w:rPr>
          <w:rFonts w:eastAsia="Calibri"/>
          <w:sz w:val="28"/>
          <w:szCs w:val="28"/>
          <w:lang w:val="uk-UA"/>
        </w:rPr>
        <w:t> млн.грн., планові показники відповідного періоду виконані на 6</w:t>
      </w:r>
      <w:r>
        <w:rPr>
          <w:rFonts w:eastAsia="Calibri"/>
          <w:sz w:val="28"/>
          <w:szCs w:val="28"/>
          <w:lang w:val="uk-UA"/>
        </w:rPr>
        <w:t>7,0</w:t>
      </w:r>
      <w:r w:rsidRPr="00497120">
        <w:rPr>
          <w:rFonts w:eastAsia="Calibri"/>
          <w:sz w:val="28"/>
          <w:szCs w:val="28"/>
          <w:lang w:val="uk-UA"/>
        </w:rPr>
        <w:t>%.</w:t>
      </w:r>
      <w:r w:rsidR="00270A1C">
        <w:rPr>
          <w:rFonts w:eastAsia="Calibri"/>
          <w:sz w:val="28"/>
          <w:szCs w:val="28"/>
          <w:lang w:val="uk-UA"/>
        </w:rPr>
        <w:t xml:space="preserve">, а без урахування субвенції з державного бюджету на відшкодування заборгованості з різниці в тарифах на теплову енергію – 70,0%. </w:t>
      </w:r>
      <w:r w:rsidR="00B62B02">
        <w:rPr>
          <w:rFonts w:eastAsia="Calibri"/>
          <w:sz w:val="28"/>
          <w:szCs w:val="28"/>
          <w:lang w:val="uk-UA"/>
        </w:rPr>
        <w:t>Порівняно з відповідним періодом минулого року витрати бюджету по зазначеному напрямку зросли на 88,6%.</w:t>
      </w:r>
    </w:p>
    <w:p w:rsidR="00612A5A" w:rsidRPr="00497120" w:rsidRDefault="00612A5A" w:rsidP="00612A5A">
      <w:pPr>
        <w:pStyle w:val="justifyfull"/>
        <w:spacing w:before="0" w:beforeAutospacing="0" w:after="0" w:afterAutospacing="0"/>
        <w:ind w:firstLine="708"/>
        <w:jc w:val="both"/>
        <w:rPr>
          <w:rFonts w:eastAsia="Calibri"/>
          <w:sz w:val="28"/>
          <w:szCs w:val="28"/>
          <w:lang w:val="uk-UA"/>
        </w:rPr>
      </w:pPr>
      <w:r w:rsidRPr="00497120">
        <w:rPr>
          <w:rFonts w:eastAsia="Calibri"/>
          <w:sz w:val="28"/>
          <w:szCs w:val="28"/>
          <w:lang w:val="uk-UA"/>
        </w:rPr>
        <w:lastRenderedPageBreak/>
        <w:t>Кошти спрямовані на реалізацію заходів наступних програм:</w:t>
      </w:r>
    </w:p>
    <w:p w:rsidR="00407CFE" w:rsidRPr="0093048F" w:rsidRDefault="00612A5A" w:rsidP="00407CFE">
      <w:pPr>
        <w:ind w:firstLine="708"/>
        <w:jc w:val="both"/>
        <w:rPr>
          <w:sz w:val="28"/>
          <w:szCs w:val="28"/>
          <w:lang w:val="uk-UA"/>
        </w:rPr>
      </w:pPr>
      <w:r w:rsidRPr="00497120">
        <w:rPr>
          <w:rFonts w:eastAsia="Calibri"/>
          <w:sz w:val="28"/>
          <w:szCs w:val="28"/>
          <w:lang w:val="uk-UA"/>
        </w:rPr>
        <w:t xml:space="preserve">- </w:t>
      </w:r>
      <w:r w:rsidR="00407CFE" w:rsidRPr="0093048F">
        <w:rPr>
          <w:i/>
          <w:sz w:val="28"/>
          <w:szCs w:val="28"/>
          <w:lang w:val="uk-UA"/>
        </w:rPr>
        <w:t xml:space="preserve">Програма розвитку та утримання житлово-комунального господарства </w:t>
      </w:r>
      <w:r w:rsidR="00407CFE" w:rsidRPr="0093048F">
        <w:rPr>
          <w:sz w:val="28"/>
          <w:szCs w:val="28"/>
          <w:lang w:val="uk-UA"/>
        </w:rPr>
        <w:t>– 318,8 млн.грн.</w:t>
      </w:r>
      <w:r w:rsidR="00407CFE">
        <w:rPr>
          <w:sz w:val="28"/>
          <w:szCs w:val="28"/>
          <w:lang w:val="uk-UA"/>
        </w:rPr>
        <w:t xml:space="preserve"> або 72,2% до плану</w:t>
      </w:r>
      <w:r w:rsidR="00407CFE" w:rsidRPr="0093048F">
        <w:rPr>
          <w:rFonts w:eastAsia="Calibri"/>
          <w:sz w:val="28"/>
          <w:szCs w:val="28"/>
          <w:lang w:val="uk-UA"/>
        </w:rPr>
        <w:t xml:space="preserve">, з яких на </w:t>
      </w:r>
      <w:r w:rsidR="00407CFE" w:rsidRPr="0093048F">
        <w:rPr>
          <w:sz w:val="28"/>
          <w:szCs w:val="28"/>
          <w:lang w:val="uk-UA"/>
        </w:rPr>
        <w:t>фінансову підтримку комунальним підприємствам галузі – 212,0 млн.грн., проведення капітального ремонту житлового фонду комунальної власності міста та об’єднань співвласників багатоквартирних будинків – 71,6 млн.грн., встановлення приладів обліку теплової енергії – 0,9 млн.грн., проведення реконструкції та будівництва об’єктів житлового фонду, водопровідних ме</w:t>
      </w:r>
      <w:r w:rsidR="00407CFE">
        <w:rPr>
          <w:sz w:val="28"/>
          <w:szCs w:val="28"/>
          <w:lang w:val="uk-UA"/>
        </w:rPr>
        <w:t>реж, каналізаційних колекторів</w:t>
      </w:r>
      <w:r w:rsidR="00407CFE" w:rsidRPr="0093048F">
        <w:rPr>
          <w:sz w:val="28"/>
          <w:szCs w:val="28"/>
          <w:lang w:val="uk-UA"/>
        </w:rPr>
        <w:t xml:space="preserve"> та насосних станцій – 6,1 млн.грн., житлово-експлуатаційн</w:t>
      </w:r>
      <w:r w:rsidR="00407CFE">
        <w:rPr>
          <w:sz w:val="28"/>
          <w:szCs w:val="28"/>
          <w:lang w:val="uk-UA"/>
        </w:rPr>
        <w:t>е</w:t>
      </w:r>
      <w:r w:rsidR="00407CFE" w:rsidRPr="0093048F">
        <w:rPr>
          <w:sz w:val="28"/>
          <w:szCs w:val="28"/>
          <w:lang w:val="uk-UA"/>
        </w:rPr>
        <w:t xml:space="preserve"> господарство – 18,4 млн.грн. тощо.</w:t>
      </w:r>
    </w:p>
    <w:p w:rsidR="00407CFE" w:rsidRDefault="00407CFE" w:rsidP="00407CFE">
      <w:pPr>
        <w:ind w:firstLine="709"/>
        <w:jc w:val="both"/>
        <w:rPr>
          <w:sz w:val="28"/>
          <w:szCs w:val="28"/>
          <w:lang w:val="uk-UA"/>
        </w:rPr>
      </w:pPr>
      <w:r w:rsidRPr="0093048F">
        <w:rPr>
          <w:sz w:val="28"/>
          <w:szCs w:val="28"/>
          <w:lang w:val="uk-UA"/>
        </w:rPr>
        <w:t xml:space="preserve">З метою </w:t>
      </w:r>
      <w:r>
        <w:rPr>
          <w:sz w:val="28"/>
          <w:szCs w:val="28"/>
          <w:lang w:val="uk-UA"/>
        </w:rPr>
        <w:t>утримання</w:t>
      </w:r>
      <w:r w:rsidRPr="0093048F">
        <w:rPr>
          <w:sz w:val="28"/>
          <w:szCs w:val="28"/>
          <w:lang w:val="uk-UA"/>
        </w:rPr>
        <w:t xml:space="preserve"> житлово-експлуатаційного господарства міста</w:t>
      </w:r>
      <w:r>
        <w:rPr>
          <w:sz w:val="28"/>
          <w:szCs w:val="28"/>
          <w:lang w:val="uk-UA"/>
        </w:rPr>
        <w:t xml:space="preserve"> на належному рівні</w:t>
      </w:r>
      <w:r w:rsidRPr="0093048F">
        <w:rPr>
          <w:sz w:val="28"/>
          <w:szCs w:val="28"/>
          <w:lang w:val="uk-UA"/>
        </w:rPr>
        <w:t xml:space="preserve"> проведено відновлення асфальтного покриття прибудинкових територій та </w:t>
      </w:r>
      <w:proofErr w:type="spellStart"/>
      <w:r w:rsidRPr="0093048F">
        <w:rPr>
          <w:sz w:val="28"/>
          <w:szCs w:val="28"/>
          <w:lang w:val="uk-UA"/>
        </w:rPr>
        <w:t>внутрішньоквартальних</w:t>
      </w:r>
      <w:proofErr w:type="spellEnd"/>
      <w:r w:rsidRPr="0093048F">
        <w:rPr>
          <w:sz w:val="28"/>
          <w:szCs w:val="28"/>
          <w:lang w:val="uk-UA"/>
        </w:rPr>
        <w:t xml:space="preserve"> проїздів на площі 41,</w:t>
      </w:r>
      <w:r>
        <w:rPr>
          <w:sz w:val="28"/>
          <w:szCs w:val="28"/>
          <w:lang w:val="uk-UA"/>
        </w:rPr>
        <w:t>4 </w:t>
      </w:r>
      <w:proofErr w:type="spellStart"/>
      <w:r w:rsidRPr="0093048F">
        <w:rPr>
          <w:sz w:val="28"/>
          <w:szCs w:val="28"/>
          <w:lang w:val="uk-UA"/>
        </w:rPr>
        <w:t>тис.кв.м</w:t>
      </w:r>
      <w:proofErr w:type="spellEnd"/>
      <w:r w:rsidRPr="0093048F">
        <w:rPr>
          <w:sz w:val="28"/>
          <w:szCs w:val="28"/>
          <w:lang w:val="uk-UA"/>
        </w:rPr>
        <w:t>.</w:t>
      </w:r>
      <w:r>
        <w:rPr>
          <w:sz w:val="28"/>
          <w:szCs w:val="28"/>
          <w:lang w:val="uk-UA"/>
        </w:rPr>
        <w:t xml:space="preserve"> </w:t>
      </w:r>
      <w:r w:rsidRPr="0093048F">
        <w:rPr>
          <w:sz w:val="28"/>
          <w:szCs w:val="28"/>
          <w:lang w:val="uk-UA"/>
        </w:rPr>
        <w:t>на загальну суму 9,2 млн.грн.</w:t>
      </w:r>
      <w:r>
        <w:rPr>
          <w:sz w:val="28"/>
          <w:szCs w:val="28"/>
          <w:lang w:val="uk-UA"/>
        </w:rPr>
        <w:t xml:space="preserve">, </w:t>
      </w:r>
      <w:r w:rsidRPr="00605E57">
        <w:rPr>
          <w:sz w:val="28"/>
          <w:szCs w:val="28"/>
          <w:lang w:val="uk-UA"/>
        </w:rPr>
        <w:t>санітарну обрізку 506</w:t>
      </w:r>
      <w:r>
        <w:rPr>
          <w:sz w:val="28"/>
          <w:szCs w:val="28"/>
          <w:lang w:val="uk-UA"/>
        </w:rPr>
        <w:t>-ти</w:t>
      </w:r>
      <w:r w:rsidRPr="00605E57">
        <w:rPr>
          <w:sz w:val="28"/>
          <w:szCs w:val="28"/>
          <w:lang w:val="uk-UA"/>
        </w:rPr>
        <w:t xml:space="preserve"> дерев,</w:t>
      </w:r>
      <w:r>
        <w:rPr>
          <w:sz w:val="28"/>
          <w:szCs w:val="28"/>
          <w:lang w:val="uk-UA"/>
        </w:rPr>
        <w:t xml:space="preserve"> </w:t>
      </w:r>
      <w:r w:rsidRPr="00605E57">
        <w:rPr>
          <w:sz w:val="28"/>
          <w:szCs w:val="28"/>
          <w:lang w:val="uk-UA"/>
        </w:rPr>
        <w:t xml:space="preserve">покіс трави на </w:t>
      </w:r>
      <w:r>
        <w:rPr>
          <w:sz w:val="28"/>
          <w:szCs w:val="28"/>
          <w:lang w:val="uk-UA"/>
        </w:rPr>
        <w:t>площі 528,0 </w:t>
      </w:r>
      <w:proofErr w:type="spellStart"/>
      <w:r w:rsidRPr="00605E57">
        <w:rPr>
          <w:sz w:val="28"/>
          <w:szCs w:val="28"/>
          <w:lang w:val="uk-UA"/>
        </w:rPr>
        <w:t>тис.кв.м</w:t>
      </w:r>
      <w:proofErr w:type="spellEnd"/>
      <w:r w:rsidRPr="00605E57">
        <w:rPr>
          <w:sz w:val="28"/>
          <w:szCs w:val="28"/>
          <w:lang w:val="uk-UA"/>
        </w:rPr>
        <w:t xml:space="preserve"> прибудинкових територі</w:t>
      </w:r>
      <w:r>
        <w:rPr>
          <w:sz w:val="28"/>
          <w:szCs w:val="28"/>
          <w:lang w:val="uk-UA"/>
        </w:rPr>
        <w:t>й</w:t>
      </w:r>
      <w:r w:rsidRPr="00605E57">
        <w:rPr>
          <w:sz w:val="28"/>
          <w:szCs w:val="28"/>
          <w:lang w:val="uk-UA"/>
        </w:rPr>
        <w:t xml:space="preserve">, дератизацію та дезінсекцію підвалів житлових будинків площею 1 140,0 </w:t>
      </w:r>
      <w:proofErr w:type="spellStart"/>
      <w:r w:rsidRPr="00605E57">
        <w:rPr>
          <w:sz w:val="28"/>
          <w:szCs w:val="28"/>
          <w:lang w:val="uk-UA"/>
        </w:rPr>
        <w:t>тис.кв.м</w:t>
      </w:r>
      <w:proofErr w:type="spellEnd"/>
      <w:r>
        <w:rPr>
          <w:sz w:val="28"/>
          <w:szCs w:val="28"/>
          <w:lang w:val="uk-UA"/>
        </w:rPr>
        <w:t>,</w:t>
      </w:r>
      <w:r w:rsidRPr="00605E57">
        <w:rPr>
          <w:sz w:val="28"/>
          <w:szCs w:val="28"/>
          <w:lang w:val="uk-UA"/>
        </w:rPr>
        <w:t xml:space="preserve"> повірку та ремонт 31</w:t>
      </w:r>
      <w:r>
        <w:rPr>
          <w:sz w:val="28"/>
          <w:szCs w:val="28"/>
          <w:lang w:val="uk-UA"/>
        </w:rPr>
        <w:t>-ого</w:t>
      </w:r>
      <w:r w:rsidRPr="00605E57">
        <w:rPr>
          <w:sz w:val="28"/>
          <w:szCs w:val="28"/>
          <w:lang w:val="uk-UA"/>
        </w:rPr>
        <w:t xml:space="preserve"> приладу обліку теплової енергії</w:t>
      </w:r>
      <w:r>
        <w:rPr>
          <w:sz w:val="28"/>
          <w:szCs w:val="28"/>
          <w:lang w:val="uk-UA"/>
        </w:rPr>
        <w:t>,</w:t>
      </w:r>
      <w:r w:rsidRPr="00605E57">
        <w:rPr>
          <w:sz w:val="28"/>
          <w:szCs w:val="28"/>
          <w:lang w:val="uk-UA"/>
        </w:rPr>
        <w:t xml:space="preserve"> виготовлено 302 комплекти технічної документації на житлові будинки для передачі в ОСББ </w:t>
      </w:r>
      <w:r>
        <w:rPr>
          <w:sz w:val="28"/>
          <w:szCs w:val="28"/>
          <w:lang w:val="uk-UA"/>
        </w:rPr>
        <w:t>тощо.</w:t>
      </w:r>
    </w:p>
    <w:p w:rsidR="00407CFE" w:rsidRDefault="00407CFE" w:rsidP="00407CFE">
      <w:pPr>
        <w:ind w:firstLine="709"/>
        <w:jc w:val="both"/>
        <w:rPr>
          <w:sz w:val="28"/>
          <w:szCs w:val="28"/>
          <w:lang w:val="uk-UA"/>
        </w:rPr>
      </w:pPr>
      <w:r w:rsidRPr="004F3E7A">
        <w:rPr>
          <w:sz w:val="28"/>
          <w:szCs w:val="28"/>
          <w:lang w:val="uk-UA"/>
        </w:rPr>
        <w:t>Проведено малий капітальний ремонт 86</w:t>
      </w:r>
      <w:r>
        <w:rPr>
          <w:sz w:val="28"/>
          <w:szCs w:val="28"/>
          <w:lang w:val="uk-UA"/>
        </w:rPr>
        <w:t>-ти</w:t>
      </w:r>
      <w:r w:rsidRPr="004F3E7A">
        <w:rPr>
          <w:sz w:val="28"/>
          <w:szCs w:val="28"/>
          <w:lang w:val="uk-UA"/>
        </w:rPr>
        <w:t xml:space="preserve"> та модернізацію </w:t>
      </w:r>
      <w:r>
        <w:rPr>
          <w:sz w:val="28"/>
          <w:szCs w:val="28"/>
          <w:lang w:val="uk-UA"/>
        </w:rPr>
        <w:t>67-ми</w:t>
      </w:r>
      <w:r w:rsidRPr="004F3E7A">
        <w:rPr>
          <w:sz w:val="28"/>
          <w:szCs w:val="28"/>
          <w:lang w:val="uk-UA"/>
        </w:rPr>
        <w:t xml:space="preserve"> ліфтів, в рамках виконання вибіркового капітального ремонту завершено роботи на 6 об</w:t>
      </w:r>
      <w:r w:rsidRPr="004F3E7A">
        <w:rPr>
          <w:sz w:val="28"/>
          <w:szCs w:val="28"/>
        </w:rPr>
        <w:t>’</w:t>
      </w:r>
      <w:proofErr w:type="spellStart"/>
      <w:r w:rsidRPr="004F3E7A">
        <w:rPr>
          <w:sz w:val="28"/>
          <w:szCs w:val="28"/>
          <w:lang w:val="uk-UA"/>
        </w:rPr>
        <w:t>єктах</w:t>
      </w:r>
      <w:proofErr w:type="spellEnd"/>
      <w:r w:rsidRPr="004F3E7A">
        <w:rPr>
          <w:sz w:val="28"/>
          <w:szCs w:val="28"/>
          <w:lang w:val="uk-UA"/>
        </w:rPr>
        <w:t>, про</w:t>
      </w:r>
      <w:proofErr w:type="spellStart"/>
      <w:r w:rsidRPr="004F3E7A">
        <w:rPr>
          <w:sz w:val="28"/>
          <w:szCs w:val="28"/>
        </w:rPr>
        <w:t>ве</w:t>
      </w:r>
      <w:r w:rsidRPr="004F3E7A">
        <w:rPr>
          <w:sz w:val="28"/>
          <w:szCs w:val="28"/>
          <w:lang w:val="uk-UA"/>
        </w:rPr>
        <w:t>дено</w:t>
      </w:r>
      <w:proofErr w:type="spellEnd"/>
      <w:r w:rsidRPr="004F3E7A">
        <w:rPr>
          <w:sz w:val="28"/>
          <w:szCs w:val="28"/>
          <w:lang w:val="uk-UA"/>
        </w:rPr>
        <w:t xml:space="preserve"> заміну 1</w:t>
      </w:r>
      <w:r>
        <w:rPr>
          <w:sz w:val="28"/>
          <w:szCs w:val="28"/>
          <w:lang w:val="uk-UA"/>
        </w:rPr>
        <w:t>,3 тис.</w:t>
      </w:r>
      <w:r w:rsidRPr="004F3E7A">
        <w:rPr>
          <w:sz w:val="28"/>
          <w:szCs w:val="28"/>
          <w:lang w:val="uk-UA"/>
        </w:rPr>
        <w:t xml:space="preserve"> погонних метрів мереж холодного та гарячого водопостачання, 1</w:t>
      </w:r>
      <w:r>
        <w:rPr>
          <w:sz w:val="28"/>
          <w:szCs w:val="28"/>
          <w:lang w:val="uk-UA"/>
        </w:rPr>
        <w:t>,</w:t>
      </w:r>
      <w:r w:rsidRPr="004F3E7A">
        <w:rPr>
          <w:sz w:val="28"/>
          <w:szCs w:val="28"/>
          <w:lang w:val="uk-UA"/>
        </w:rPr>
        <w:t>7</w:t>
      </w:r>
      <w:r>
        <w:rPr>
          <w:sz w:val="28"/>
          <w:szCs w:val="28"/>
          <w:lang w:val="uk-UA"/>
        </w:rPr>
        <w:t> тис.</w:t>
      </w:r>
      <w:r w:rsidRPr="004F3E7A">
        <w:rPr>
          <w:sz w:val="28"/>
          <w:szCs w:val="28"/>
          <w:lang w:val="uk-UA"/>
        </w:rPr>
        <w:t xml:space="preserve"> погонних метрів каналізаційних мереж, виконано роботи з ремонту 13,5 </w:t>
      </w:r>
      <w:proofErr w:type="spellStart"/>
      <w:r w:rsidRPr="004F3E7A">
        <w:rPr>
          <w:sz w:val="28"/>
          <w:szCs w:val="28"/>
          <w:lang w:val="uk-UA"/>
        </w:rPr>
        <w:t>тис.кв.м</w:t>
      </w:r>
      <w:proofErr w:type="spellEnd"/>
      <w:r w:rsidRPr="004F3E7A">
        <w:rPr>
          <w:sz w:val="28"/>
          <w:szCs w:val="28"/>
          <w:lang w:val="uk-UA"/>
        </w:rPr>
        <w:t xml:space="preserve"> покрівлі, в стадії проектування знаходиться 646 об’єктів з капітального ремонту </w:t>
      </w:r>
      <w:proofErr w:type="spellStart"/>
      <w:r w:rsidRPr="004F3E7A">
        <w:rPr>
          <w:sz w:val="28"/>
          <w:szCs w:val="28"/>
          <w:lang w:val="uk-UA"/>
        </w:rPr>
        <w:t>внутрішньобудинкових</w:t>
      </w:r>
      <w:proofErr w:type="spellEnd"/>
      <w:r w:rsidRPr="004F3E7A">
        <w:rPr>
          <w:sz w:val="28"/>
          <w:szCs w:val="28"/>
          <w:lang w:val="uk-UA"/>
        </w:rPr>
        <w:t xml:space="preserve"> систем централізованого опалення для підготовки житлового фонду міста до опалювального періоду 2017-2018 років. </w:t>
      </w:r>
      <w:r w:rsidRPr="0025079C">
        <w:rPr>
          <w:sz w:val="28"/>
          <w:szCs w:val="28"/>
          <w:lang w:val="uk-UA"/>
        </w:rPr>
        <w:t>Також в поточному році капітальним ремонтом планується охопити 76 будинків ОСББ. На зазначені цілі у звітному періоді виділено 11,5 млн.грн., по 13</w:t>
      </w:r>
      <w:r>
        <w:rPr>
          <w:sz w:val="28"/>
          <w:szCs w:val="28"/>
          <w:lang w:val="uk-UA"/>
        </w:rPr>
        <w:t>-ти</w:t>
      </w:r>
      <w:r w:rsidRPr="0025079C">
        <w:rPr>
          <w:sz w:val="28"/>
          <w:szCs w:val="28"/>
          <w:lang w:val="uk-UA"/>
        </w:rPr>
        <w:t xml:space="preserve"> об’єктах виконуються будівельні роботи.</w:t>
      </w:r>
    </w:p>
    <w:p w:rsidR="00407CFE" w:rsidRDefault="00407CFE" w:rsidP="00407CFE">
      <w:pPr>
        <w:ind w:firstLine="709"/>
        <w:jc w:val="both"/>
        <w:rPr>
          <w:sz w:val="28"/>
          <w:szCs w:val="28"/>
          <w:lang w:val="uk-UA"/>
        </w:rPr>
      </w:pPr>
      <w:r>
        <w:rPr>
          <w:sz w:val="28"/>
          <w:szCs w:val="28"/>
          <w:lang w:val="uk-UA"/>
        </w:rPr>
        <w:t xml:space="preserve">З метою відселення сім’ї </w:t>
      </w:r>
      <w:proofErr w:type="spellStart"/>
      <w:r>
        <w:rPr>
          <w:sz w:val="28"/>
          <w:szCs w:val="28"/>
          <w:lang w:val="uk-UA"/>
        </w:rPr>
        <w:t>гр.Цистана</w:t>
      </w:r>
      <w:proofErr w:type="spellEnd"/>
      <w:r>
        <w:rPr>
          <w:sz w:val="28"/>
          <w:szCs w:val="28"/>
          <w:lang w:val="uk-UA"/>
        </w:rPr>
        <w:t xml:space="preserve"> з аварійного будинку придбано двокімнатну квартиру, на що спрямовано 0,6 млн.грн.</w:t>
      </w:r>
    </w:p>
    <w:p w:rsidR="00407CFE" w:rsidRDefault="00407CFE" w:rsidP="00407CFE">
      <w:pPr>
        <w:ind w:firstLine="708"/>
        <w:jc w:val="both"/>
        <w:rPr>
          <w:sz w:val="28"/>
          <w:szCs w:val="28"/>
          <w:lang w:val="uk-UA"/>
        </w:rPr>
      </w:pPr>
      <w:r>
        <w:rPr>
          <w:sz w:val="28"/>
          <w:szCs w:val="28"/>
          <w:lang w:val="uk-UA"/>
        </w:rPr>
        <w:t>На в</w:t>
      </w:r>
      <w:r w:rsidRPr="0093048F">
        <w:rPr>
          <w:sz w:val="28"/>
          <w:szCs w:val="28"/>
          <w:lang w:val="uk-UA"/>
        </w:rPr>
        <w:t xml:space="preserve">нески до статутних капіталів комунальних підприємств </w:t>
      </w:r>
      <w:r>
        <w:rPr>
          <w:sz w:val="28"/>
          <w:szCs w:val="28"/>
          <w:lang w:val="uk-UA"/>
        </w:rPr>
        <w:t>галузі</w:t>
      </w:r>
      <w:r w:rsidRPr="0093048F">
        <w:rPr>
          <w:sz w:val="28"/>
          <w:szCs w:val="28"/>
          <w:lang w:val="uk-UA"/>
        </w:rPr>
        <w:t xml:space="preserve"> на придбання спеціальної техніки </w:t>
      </w:r>
      <w:r>
        <w:rPr>
          <w:sz w:val="28"/>
          <w:szCs w:val="28"/>
          <w:lang w:val="uk-UA"/>
        </w:rPr>
        <w:t>витрачено</w:t>
      </w:r>
      <w:r w:rsidRPr="0093048F">
        <w:rPr>
          <w:sz w:val="28"/>
          <w:szCs w:val="28"/>
          <w:lang w:val="uk-UA"/>
        </w:rPr>
        <w:t xml:space="preserve"> </w:t>
      </w:r>
      <w:r>
        <w:rPr>
          <w:sz w:val="28"/>
          <w:szCs w:val="28"/>
          <w:lang w:val="uk-UA"/>
        </w:rPr>
        <w:t>9,1</w:t>
      </w:r>
      <w:r w:rsidRPr="0093048F">
        <w:rPr>
          <w:sz w:val="28"/>
          <w:szCs w:val="28"/>
          <w:lang w:val="uk-UA"/>
        </w:rPr>
        <w:t> млн.грн</w:t>
      </w:r>
      <w:r>
        <w:rPr>
          <w:sz w:val="28"/>
          <w:szCs w:val="28"/>
          <w:lang w:val="uk-UA"/>
        </w:rPr>
        <w:t xml:space="preserve">. Придбано 3 екскаватори-навантажувачі для </w:t>
      </w:r>
      <w:proofErr w:type="spellStart"/>
      <w:r>
        <w:rPr>
          <w:sz w:val="28"/>
          <w:szCs w:val="28"/>
          <w:lang w:val="uk-UA"/>
        </w:rPr>
        <w:t>КП</w:t>
      </w:r>
      <w:proofErr w:type="spellEnd"/>
      <w:r>
        <w:rPr>
          <w:sz w:val="28"/>
          <w:szCs w:val="28"/>
          <w:lang w:val="uk-UA"/>
        </w:rPr>
        <w:t xml:space="preserve"> «Водоканал», комп’ютерну техніку тощо.</w:t>
      </w:r>
    </w:p>
    <w:p w:rsidR="00407CFE" w:rsidRPr="0093048F" w:rsidRDefault="00407CFE" w:rsidP="00407CFE">
      <w:pPr>
        <w:ind w:firstLine="708"/>
        <w:jc w:val="both"/>
        <w:rPr>
          <w:sz w:val="28"/>
          <w:szCs w:val="28"/>
          <w:lang w:val="uk-UA"/>
        </w:rPr>
      </w:pPr>
      <w:r>
        <w:rPr>
          <w:sz w:val="28"/>
          <w:szCs w:val="28"/>
          <w:lang w:val="uk-UA"/>
        </w:rPr>
        <w:t>Порівняно з відповідним періодом минулого року видатки за цією програмою зросли на 87,3%.</w:t>
      </w:r>
    </w:p>
    <w:p w:rsidR="00612A5A" w:rsidRPr="00497120" w:rsidRDefault="00612A5A" w:rsidP="00407CFE">
      <w:pPr>
        <w:pStyle w:val="justifyfull"/>
        <w:numPr>
          <w:ilvl w:val="0"/>
          <w:numId w:val="17"/>
        </w:numPr>
        <w:spacing w:before="0" w:beforeAutospacing="0" w:after="0" w:afterAutospacing="0"/>
        <w:ind w:left="0" w:firstLine="709"/>
        <w:jc w:val="both"/>
        <w:rPr>
          <w:rFonts w:eastAsia="Calibri"/>
          <w:sz w:val="28"/>
          <w:szCs w:val="28"/>
          <w:lang w:val="uk-UA"/>
        </w:rPr>
      </w:pPr>
      <w:r w:rsidRPr="00B42FAC">
        <w:rPr>
          <w:i/>
          <w:sz w:val="28"/>
          <w:szCs w:val="28"/>
          <w:lang w:val="uk-UA"/>
        </w:rPr>
        <w:t xml:space="preserve">Програма розвитку інфраструктури та комплексного благоустрою міста Запоріжжя </w:t>
      </w:r>
      <w:r w:rsidRPr="00B42FAC">
        <w:rPr>
          <w:sz w:val="28"/>
          <w:szCs w:val="28"/>
          <w:lang w:val="uk-UA"/>
        </w:rPr>
        <w:t>– 146,5 млн.грн., що становить 64,2% планових показників</w:t>
      </w:r>
      <w:r w:rsidR="00415E02">
        <w:rPr>
          <w:sz w:val="28"/>
          <w:szCs w:val="28"/>
          <w:lang w:val="uk-UA"/>
        </w:rPr>
        <w:t xml:space="preserve"> та на 66,7% перевищують відповідний минулорічний показник.</w:t>
      </w:r>
    </w:p>
    <w:p w:rsidR="00612A5A" w:rsidRPr="00497120" w:rsidRDefault="00612A5A" w:rsidP="00612A5A">
      <w:pPr>
        <w:pStyle w:val="justifyfull"/>
        <w:spacing w:before="0" w:beforeAutospacing="0" w:after="0" w:afterAutospacing="0"/>
        <w:ind w:firstLine="708"/>
        <w:jc w:val="both"/>
        <w:rPr>
          <w:rFonts w:eastAsia="Calibri"/>
          <w:sz w:val="28"/>
          <w:szCs w:val="28"/>
          <w:lang w:val="uk-UA"/>
        </w:rPr>
      </w:pPr>
      <w:r w:rsidRPr="00497120">
        <w:rPr>
          <w:rFonts w:eastAsia="Calibri"/>
          <w:sz w:val="28"/>
          <w:szCs w:val="28"/>
          <w:lang w:val="uk-UA"/>
        </w:rPr>
        <w:t>На заходи з благоустрою міста використано 55,1 млн.грн. та спрямовано на забезпечення зовнішнього освітлення міста, догляд за зеленими насадженнями, поточний ремонт та обслуговування фонтанів, енергопостачання парків, засобів регулювання дорожнього руху тощо.</w:t>
      </w:r>
      <w:r w:rsidRPr="00497120">
        <w:rPr>
          <w:rFonts w:eastAsia="Calibri"/>
          <w:color w:val="FF0000"/>
          <w:sz w:val="28"/>
          <w:szCs w:val="28"/>
          <w:lang w:val="uk-UA"/>
        </w:rPr>
        <w:t xml:space="preserve"> </w:t>
      </w:r>
    </w:p>
    <w:p w:rsidR="00612A5A" w:rsidRPr="0025079C" w:rsidRDefault="00612A5A" w:rsidP="00612A5A">
      <w:pPr>
        <w:tabs>
          <w:tab w:val="left" w:pos="284"/>
        </w:tabs>
        <w:ind w:firstLine="708"/>
        <w:jc w:val="both"/>
        <w:rPr>
          <w:rFonts w:eastAsia="Calibri"/>
          <w:sz w:val="28"/>
          <w:szCs w:val="28"/>
          <w:lang w:val="uk-UA"/>
        </w:rPr>
      </w:pPr>
      <w:r w:rsidRPr="0025079C">
        <w:rPr>
          <w:rFonts w:eastAsia="Calibri"/>
          <w:sz w:val="28"/>
          <w:szCs w:val="28"/>
          <w:lang w:val="uk-UA"/>
        </w:rPr>
        <w:t>На оплату робіт, пов’язаних із будівництвом, реконструкцією, ремонтом та утриманням автомобільних доріг з бюджету міста витрачено 63,6 млн.грн., з яких на утримання і експлуатацію доріг</w:t>
      </w:r>
      <w:r w:rsidR="008B4D8E">
        <w:rPr>
          <w:rFonts w:eastAsia="Calibri"/>
          <w:sz w:val="28"/>
          <w:szCs w:val="28"/>
          <w:lang w:val="uk-UA"/>
        </w:rPr>
        <w:t>, мостів</w:t>
      </w:r>
      <w:r w:rsidRPr="0025079C">
        <w:rPr>
          <w:rFonts w:eastAsia="Calibri"/>
          <w:sz w:val="28"/>
          <w:szCs w:val="28"/>
          <w:lang w:val="uk-UA"/>
        </w:rPr>
        <w:t xml:space="preserve"> – 36,9 млн.грн., будівельні та ремонтні роботи – 26,7 млн.грн. Завершено роботи на ділянці дороги до </w:t>
      </w:r>
      <w:r w:rsidRPr="0025079C">
        <w:rPr>
          <w:rFonts w:eastAsia="Calibri"/>
          <w:sz w:val="28"/>
          <w:szCs w:val="28"/>
          <w:lang w:val="uk-UA"/>
        </w:rPr>
        <w:lastRenderedPageBreak/>
        <w:t>аеропорту від траси Харків-Сімферополь-Алушта-Ялта до вул.</w:t>
      </w:r>
      <w:r w:rsidR="00B62B02">
        <w:rPr>
          <w:rFonts w:eastAsia="Calibri"/>
          <w:sz w:val="28"/>
          <w:szCs w:val="28"/>
          <w:lang w:val="uk-UA"/>
        </w:rPr>
        <w:t> </w:t>
      </w:r>
      <w:r w:rsidRPr="0025079C">
        <w:rPr>
          <w:rFonts w:eastAsia="Calibri"/>
          <w:sz w:val="28"/>
          <w:szCs w:val="28"/>
          <w:lang w:val="uk-UA"/>
        </w:rPr>
        <w:t>Блакитної та капітальний ремонт дорожнього покриття трамвайного переїзду по вул.</w:t>
      </w:r>
      <w:r w:rsidR="00B62B02">
        <w:rPr>
          <w:rFonts w:eastAsia="Calibri"/>
          <w:sz w:val="28"/>
          <w:szCs w:val="28"/>
          <w:lang w:val="uk-UA"/>
        </w:rPr>
        <w:t> </w:t>
      </w:r>
      <w:r w:rsidRPr="0025079C">
        <w:rPr>
          <w:rFonts w:eastAsia="Calibri"/>
          <w:sz w:val="28"/>
          <w:szCs w:val="28"/>
          <w:lang w:val="uk-UA"/>
        </w:rPr>
        <w:t>Дніпровська</w:t>
      </w:r>
      <w:r w:rsidR="00B62B02">
        <w:rPr>
          <w:rFonts w:eastAsia="Calibri"/>
          <w:sz w:val="28"/>
          <w:szCs w:val="28"/>
          <w:lang w:val="uk-UA"/>
        </w:rPr>
        <w:t> </w:t>
      </w:r>
      <w:r w:rsidRPr="0025079C">
        <w:rPr>
          <w:rFonts w:eastAsia="Calibri"/>
          <w:sz w:val="28"/>
          <w:szCs w:val="28"/>
          <w:lang w:val="uk-UA"/>
        </w:rPr>
        <w:t>-</w:t>
      </w:r>
      <w:r w:rsidR="00B62B02">
        <w:rPr>
          <w:rFonts w:eastAsia="Calibri"/>
          <w:sz w:val="28"/>
          <w:szCs w:val="28"/>
          <w:lang w:val="uk-UA"/>
        </w:rPr>
        <w:t> </w:t>
      </w:r>
      <w:r w:rsidRPr="0025079C">
        <w:rPr>
          <w:rFonts w:eastAsia="Calibri"/>
          <w:sz w:val="28"/>
          <w:szCs w:val="28"/>
          <w:lang w:val="uk-UA"/>
        </w:rPr>
        <w:t>вул.</w:t>
      </w:r>
      <w:r w:rsidR="00B62B02">
        <w:rPr>
          <w:rFonts w:eastAsia="Calibri"/>
          <w:sz w:val="28"/>
          <w:szCs w:val="28"/>
          <w:lang w:val="uk-UA"/>
        </w:rPr>
        <w:t> </w:t>
      </w:r>
      <w:r w:rsidRPr="0025079C">
        <w:rPr>
          <w:rFonts w:eastAsia="Calibri"/>
          <w:sz w:val="28"/>
          <w:szCs w:val="28"/>
          <w:lang w:val="uk-UA"/>
        </w:rPr>
        <w:t>Олександрівська, встановлено 3 засоби примусового зниження швидкості. Триває проектування робіт з капітального ремонту та реконструкції доріг місцевого значення. Для продовження робіт з будівництва автотранспортної магістралі через р.</w:t>
      </w:r>
      <w:r w:rsidR="00B62B02">
        <w:rPr>
          <w:rFonts w:eastAsia="Calibri"/>
          <w:sz w:val="28"/>
          <w:szCs w:val="28"/>
          <w:lang w:val="uk-UA"/>
        </w:rPr>
        <w:t> </w:t>
      </w:r>
      <w:r w:rsidRPr="0025079C">
        <w:rPr>
          <w:rFonts w:eastAsia="Calibri"/>
          <w:sz w:val="28"/>
          <w:szCs w:val="28"/>
          <w:lang w:val="uk-UA"/>
        </w:rPr>
        <w:t>Дніпро з бюджету міста перераховано 5,2 млн.грн.</w:t>
      </w:r>
    </w:p>
    <w:p w:rsidR="00612A5A" w:rsidRPr="0025079C" w:rsidRDefault="00612A5A" w:rsidP="00612A5A">
      <w:pPr>
        <w:ind w:firstLine="708"/>
        <w:jc w:val="both"/>
        <w:rPr>
          <w:sz w:val="28"/>
          <w:szCs w:val="28"/>
          <w:lang w:val="uk-UA"/>
        </w:rPr>
      </w:pPr>
      <w:r w:rsidRPr="0025079C">
        <w:rPr>
          <w:sz w:val="28"/>
          <w:szCs w:val="28"/>
          <w:lang w:val="uk-UA"/>
        </w:rPr>
        <w:t>Видатки на будівництво та реконструкцію об’єктів комунальної інфраструктури проведені в сумі 21,</w:t>
      </w:r>
      <w:r w:rsidR="00645E0E">
        <w:rPr>
          <w:sz w:val="28"/>
          <w:szCs w:val="28"/>
          <w:lang w:val="uk-UA"/>
        </w:rPr>
        <w:t>1</w:t>
      </w:r>
      <w:r w:rsidRPr="0025079C">
        <w:rPr>
          <w:sz w:val="28"/>
          <w:szCs w:val="28"/>
          <w:lang w:val="uk-UA"/>
        </w:rPr>
        <w:t xml:space="preserve"> млн.грн., в тому числі мереж зовнішнього освітлення – </w:t>
      </w:r>
      <w:r w:rsidR="008B4D8E">
        <w:rPr>
          <w:sz w:val="28"/>
          <w:szCs w:val="28"/>
          <w:lang w:val="uk-UA"/>
        </w:rPr>
        <w:t>8,5</w:t>
      </w:r>
      <w:r w:rsidRPr="0025079C">
        <w:rPr>
          <w:sz w:val="28"/>
          <w:szCs w:val="28"/>
          <w:lang w:val="uk-UA"/>
        </w:rPr>
        <w:t xml:space="preserve"> млн.грн., </w:t>
      </w:r>
      <w:r w:rsidRPr="0093048F">
        <w:rPr>
          <w:sz w:val="28"/>
          <w:szCs w:val="28"/>
          <w:lang w:val="uk-UA"/>
        </w:rPr>
        <w:t>скверів, парків, майданів та площ міста</w:t>
      </w:r>
      <w:r w:rsidR="008B4D8E">
        <w:rPr>
          <w:sz w:val="28"/>
          <w:szCs w:val="28"/>
          <w:lang w:val="uk-UA"/>
        </w:rPr>
        <w:t>, пляжів</w:t>
      </w:r>
      <w:r w:rsidRPr="0093048F">
        <w:rPr>
          <w:sz w:val="28"/>
          <w:szCs w:val="28"/>
          <w:lang w:val="uk-UA"/>
        </w:rPr>
        <w:t xml:space="preserve"> – </w:t>
      </w:r>
      <w:r w:rsidR="008B4D8E">
        <w:rPr>
          <w:sz w:val="28"/>
          <w:szCs w:val="28"/>
          <w:lang w:val="uk-UA"/>
        </w:rPr>
        <w:t>4,7</w:t>
      </w:r>
      <w:r w:rsidRPr="0093048F">
        <w:rPr>
          <w:sz w:val="28"/>
          <w:szCs w:val="28"/>
          <w:lang w:val="uk-UA"/>
        </w:rPr>
        <w:t xml:space="preserve"> млн.грн., зливової каналізації, вулиць, тротуарів, </w:t>
      </w:r>
      <w:proofErr w:type="spellStart"/>
      <w:r w:rsidRPr="0093048F">
        <w:rPr>
          <w:sz w:val="28"/>
          <w:szCs w:val="28"/>
          <w:lang w:val="uk-UA"/>
        </w:rPr>
        <w:t>водопропусків</w:t>
      </w:r>
      <w:proofErr w:type="spellEnd"/>
      <w:r w:rsidRPr="0093048F">
        <w:rPr>
          <w:sz w:val="28"/>
          <w:szCs w:val="28"/>
          <w:lang w:val="uk-UA"/>
        </w:rPr>
        <w:t xml:space="preserve"> та мостових переходів – </w:t>
      </w:r>
      <w:r w:rsidR="008B4D8E">
        <w:rPr>
          <w:sz w:val="28"/>
          <w:szCs w:val="28"/>
          <w:lang w:val="uk-UA"/>
        </w:rPr>
        <w:t>3,</w:t>
      </w:r>
      <w:r w:rsidR="00645E0E">
        <w:rPr>
          <w:sz w:val="28"/>
          <w:szCs w:val="28"/>
          <w:lang w:val="uk-UA"/>
        </w:rPr>
        <w:t>6</w:t>
      </w:r>
      <w:r w:rsidRPr="0093048F">
        <w:rPr>
          <w:sz w:val="28"/>
          <w:szCs w:val="28"/>
          <w:lang w:val="uk-UA"/>
        </w:rPr>
        <w:t xml:space="preserve"> млн.грн., </w:t>
      </w:r>
      <w:r w:rsidR="008B4D8E">
        <w:rPr>
          <w:sz w:val="28"/>
          <w:szCs w:val="28"/>
          <w:lang w:val="uk-UA"/>
        </w:rPr>
        <w:t xml:space="preserve">полігону твердих побутових відходів – 3,9 млн.грн., </w:t>
      </w:r>
      <w:r w:rsidRPr="0093048F">
        <w:rPr>
          <w:sz w:val="28"/>
          <w:szCs w:val="28"/>
          <w:lang w:val="uk-UA"/>
        </w:rPr>
        <w:t xml:space="preserve">інших об’єктів – </w:t>
      </w:r>
      <w:r w:rsidR="008B4D8E">
        <w:rPr>
          <w:sz w:val="28"/>
          <w:szCs w:val="28"/>
          <w:lang w:val="uk-UA"/>
        </w:rPr>
        <w:t>0,</w:t>
      </w:r>
      <w:r w:rsidR="00645E0E">
        <w:rPr>
          <w:sz w:val="28"/>
          <w:szCs w:val="28"/>
          <w:lang w:val="uk-UA"/>
        </w:rPr>
        <w:t>4</w:t>
      </w:r>
      <w:r w:rsidRPr="0093048F">
        <w:rPr>
          <w:sz w:val="28"/>
          <w:szCs w:val="28"/>
          <w:lang w:val="uk-UA"/>
        </w:rPr>
        <w:t> млн.грн.</w:t>
      </w:r>
    </w:p>
    <w:p w:rsidR="00612A5A" w:rsidRPr="0093048F" w:rsidRDefault="00612A5A" w:rsidP="00612A5A">
      <w:pPr>
        <w:ind w:firstLine="708"/>
        <w:jc w:val="both"/>
        <w:rPr>
          <w:sz w:val="28"/>
          <w:szCs w:val="28"/>
          <w:lang w:val="uk-UA"/>
        </w:rPr>
      </w:pPr>
      <w:r w:rsidRPr="0093048F">
        <w:rPr>
          <w:sz w:val="28"/>
          <w:szCs w:val="28"/>
          <w:lang w:val="uk-UA"/>
        </w:rPr>
        <w:t xml:space="preserve">Внески до статутних капіталів комунальних підприємств галузі на придбання </w:t>
      </w:r>
      <w:r w:rsidR="006100D3">
        <w:rPr>
          <w:sz w:val="28"/>
          <w:szCs w:val="28"/>
          <w:lang w:val="uk-UA"/>
        </w:rPr>
        <w:t xml:space="preserve">екскаватору-навантажувачу для </w:t>
      </w:r>
      <w:proofErr w:type="spellStart"/>
      <w:r w:rsidR="006100D3">
        <w:rPr>
          <w:sz w:val="28"/>
          <w:szCs w:val="28"/>
          <w:lang w:val="uk-UA"/>
        </w:rPr>
        <w:t>КП</w:t>
      </w:r>
      <w:proofErr w:type="spellEnd"/>
      <w:r w:rsidR="006100D3">
        <w:rPr>
          <w:sz w:val="28"/>
          <w:szCs w:val="28"/>
          <w:lang w:val="uk-UA"/>
        </w:rPr>
        <w:t xml:space="preserve"> «ЕЛУАШ», 2-х самоскидів для СКП «Запорізька ритуальна служба» тощо на загальну суму 5</w:t>
      </w:r>
      <w:r w:rsidRPr="0093048F">
        <w:rPr>
          <w:sz w:val="28"/>
          <w:szCs w:val="28"/>
          <w:lang w:val="uk-UA"/>
        </w:rPr>
        <w:t>,7 млн.грн.</w:t>
      </w:r>
    </w:p>
    <w:p w:rsidR="00612A5A" w:rsidRPr="004F3E7A" w:rsidRDefault="00407CFE" w:rsidP="00612A5A">
      <w:pPr>
        <w:ind w:firstLine="708"/>
        <w:jc w:val="both"/>
        <w:rPr>
          <w:sz w:val="28"/>
          <w:szCs w:val="28"/>
          <w:lang w:val="uk-UA"/>
        </w:rPr>
      </w:pPr>
      <w:r>
        <w:rPr>
          <w:sz w:val="28"/>
          <w:szCs w:val="28"/>
          <w:lang w:val="uk-UA"/>
        </w:rPr>
        <w:t>-</w:t>
      </w:r>
      <w:r w:rsidR="00612A5A" w:rsidRPr="004F3E7A">
        <w:rPr>
          <w:sz w:val="28"/>
          <w:szCs w:val="28"/>
          <w:lang w:val="uk-UA"/>
        </w:rPr>
        <w:t xml:space="preserve"> </w:t>
      </w:r>
      <w:r w:rsidR="00C84700" w:rsidRPr="0058193D">
        <w:rPr>
          <w:i/>
          <w:sz w:val="28"/>
          <w:szCs w:val="28"/>
          <w:lang w:val="uk-UA"/>
        </w:rPr>
        <w:t>Програма "Муніципальної аварійної служби та служби технічного обслуговування систем диспетчери</w:t>
      </w:r>
      <w:r w:rsidR="0058193D">
        <w:rPr>
          <w:i/>
          <w:sz w:val="28"/>
          <w:szCs w:val="28"/>
          <w:lang w:val="uk-UA"/>
        </w:rPr>
        <w:t>зації ліфтів</w:t>
      </w:r>
      <w:r w:rsidR="00C84700" w:rsidRPr="0058193D">
        <w:rPr>
          <w:i/>
          <w:sz w:val="28"/>
          <w:szCs w:val="28"/>
          <w:lang w:val="uk-UA"/>
        </w:rPr>
        <w:t>"</w:t>
      </w:r>
      <w:r w:rsidR="0058193D">
        <w:rPr>
          <w:sz w:val="28"/>
          <w:szCs w:val="28"/>
          <w:lang w:val="uk-UA"/>
        </w:rPr>
        <w:t xml:space="preserve"> - </w:t>
      </w:r>
      <w:r w:rsidR="00612A5A" w:rsidRPr="004F3E7A">
        <w:rPr>
          <w:sz w:val="28"/>
          <w:szCs w:val="28"/>
          <w:lang w:val="uk-UA"/>
        </w:rPr>
        <w:t>22,7 млн.грн.</w:t>
      </w:r>
      <w:r w:rsidR="00AB4CDC">
        <w:rPr>
          <w:sz w:val="28"/>
          <w:szCs w:val="28"/>
          <w:lang w:val="uk-UA"/>
        </w:rPr>
        <w:t xml:space="preserve"> або 72,0% до плану.</w:t>
      </w:r>
    </w:p>
    <w:p w:rsidR="00612A5A" w:rsidRPr="004F3E7A" w:rsidRDefault="00612A5A" w:rsidP="00612A5A">
      <w:pPr>
        <w:ind w:firstLine="708"/>
        <w:jc w:val="both"/>
        <w:rPr>
          <w:sz w:val="28"/>
          <w:szCs w:val="28"/>
          <w:lang w:val="uk-UA"/>
        </w:rPr>
      </w:pPr>
      <w:r w:rsidRPr="004F3E7A">
        <w:rPr>
          <w:sz w:val="28"/>
          <w:szCs w:val="28"/>
          <w:lang w:val="uk-UA"/>
        </w:rPr>
        <w:t xml:space="preserve">- </w:t>
      </w:r>
      <w:r w:rsidRPr="004F3E7A">
        <w:rPr>
          <w:i/>
          <w:sz w:val="28"/>
          <w:szCs w:val="28"/>
          <w:lang w:val="uk-UA"/>
        </w:rPr>
        <w:t xml:space="preserve">Програма відшкодування відсоткових ставок за залученими в кредитно-фінансових установах короткостроковими кредитами, що надаються об"єднанням співвласників багатоквартирних будинків та житлово-будівельним кооперативам на реалізацію енергозберігаючих та </w:t>
      </w:r>
      <w:proofErr w:type="spellStart"/>
      <w:r w:rsidRPr="004F3E7A">
        <w:rPr>
          <w:i/>
          <w:sz w:val="28"/>
          <w:szCs w:val="28"/>
          <w:lang w:val="uk-UA"/>
        </w:rPr>
        <w:t>енергоефективних</w:t>
      </w:r>
      <w:proofErr w:type="spellEnd"/>
      <w:r w:rsidRPr="004F3E7A">
        <w:rPr>
          <w:i/>
          <w:sz w:val="28"/>
          <w:szCs w:val="28"/>
          <w:lang w:val="uk-UA"/>
        </w:rPr>
        <w:t xml:space="preserve"> проектів в житлово-комунальному господарстві – </w:t>
      </w:r>
      <w:r w:rsidRPr="004F3E7A">
        <w:rPr>
          <w:sz w:val="28"/>
          <w:szCs w:val="28"/>
          <w:lang w:val="uk-UA"/>
        </w:rPr>
        <w:t>0,4 млн.грн. або 87,6% планових показників на відповідний період.</w:t>
      </w:r>
    </w:p>
    <w:p w:rsidR="00612A5A" w:rsidRDefault="00612A5A" w:rsidP="00AB4CDC">
      <w:pPr>
        <w:pStyle w:val="213"/>
        <w:numPr>
          <w:ilvl w:val="0"/>
          <w:numId w:val="15"/>
        </w:numPr>
        <w:spacing w:after="0" w:line="240" w:lineRule="auto"/>
        <w:ind w:left="0" w:firstLine="709"/>
        <w:jc w:val="both"/>
        <w:rPr>
          <w:sz w:val="28"/>
          <w:szCs w:val="28"/>
        </w:rPr>
      </w:pPr>
      <w:r w:rsidRPr="00497120">
        <w:rPr>
          <w:sz w:val="28"/>
          <w:szCs w:val="28"/>
        </w:rPr>
        <w:t xml:space="preserve">На розвиток транспортної галузі спрямовано </w:t>
      </w:r>
      <w:r>
        <w:rPr>
          <w:sz w:val="28"/>
          <w:szCs w:val="28"/>
        </w:rPr>
        <w:t>43,7</w:t>
      </w:r>
      <w:r w:rsidRPr="00497120">
        <w:rPr>
          <w:sz w:val="28"/>
          <w:szCs w:val="28"/>
        </w:rPr>
        <w:t> млн.грн. (63,</w:t>
      </w:r>
      <w:r>
        <w:rPr>
          <w:sz w:val="28"/>
          <w:szCs w:val="28"/>
        </w:rPr>
        <w:t>2</w:t>
      </w:r>
      <w:r w:rsidRPr="00497120">
        <w:rPr>
          <w:sz w:val="28"/>
          <w:szCs w:val="28"/>
        </w:rPr>
        <w:t xml:space="preserve">% планових призначень), в тому числі на реконструкцію огородження та системи технічного нагляду і контролю доступу по периметру охоронної зони обмеженого доступу </w:t>
      </w:r>
      <w:proofErr w:type="spellStart"/>
      <w:r w:rsidRPr="00497120">
        <w:rPr>
          <w:sz w:val="28"/>
          <w:szCs w:val="28"/>
        </w:rPr>
        <w:t>КП</w:t>
      </w:r>
      <w:proofErr w:type="spellEnd"/>
      <w:r w:rsidRPr="00497120">
        <w:rPr>
          <w:sz w:val="28"/>
          <w:szCs w:val="28"/>
        </w:rPr>
        <w:t xml:space="preserve"> "Міжнародний аеропорт Запоріжжя" – 5,0 млн.грн.</w:t>
      </w:r>
      <w:r w:rsidRPr="00AB099E">
        <w:rPr>
          <w:sz w:val="28"/>
          <w:szCs w:val="28"/>
        </w:rPr>
        <w:t xml:space="preserve"> </w:t>
      </w:r>
      <w:r w:rsidRPr="00497120">
        <w:rPr>
          <w:sz w:val="28"/>
          <w:szCs w:val="28"/>
        </w:rPr>
        <w:t xml:space="preserve">капітальний ремонт </w:t>
      </w:r>
      <w:proofErr w:type="spellStart"/>
      <w:r w:rsidRPr="00497120">
        <w:rPr>
          <w:sz w:val="28"/>
          <w:szCs w:val="28"/>
        </w:rPr>
        <w:t>взлітно-п</w:t>
      </w:r>
      <w:r>
        <w:rPr>
          <w:sz w:val="28"/>
          <w:szCs w:val="28"/>
        </w:rPr>
        <w:t>осадкової</w:t>
      </w:r>
      <w:proofErr w:type="spellEnd"/>
      <w:r>
        <w:rPr>
          <w:sz w:val="28"/>
          <w:szCs w:val="28"/>
        </w:rPr>
        <w:t xml:space="preserve"> смуги – 23,9 млн.грн.</w:t>
      </w:r>
      <w:r w:rsidRPr="00497120">
        <w:rPr>
          <w:sz w:val="28"/>
          <w:szCs w:val="28"/>
        </w:rPr>
        <w:t>, реконструкцію контактної мережі тролейбусу – 1,2 млн.грн, капітальний ремонт трамваїв із заміною кузова на новий – 11,3 млн.грн.</w:t>
      </w:r>
      <w:r>
        <w:rPr>
          <w:sz w:val="28"/>
          <w:szCs w:val="28"/>
        </w:rPr>
        <w:t xml:space="preserve"> тощо.</w:t>
      </w:r>
    </w:p>
    <w:p w:rsidR="00612A5A" w:rsidRDefault="00612A5A" w:rsidP="00612A5A">
      <w:pPr>
        <w:pStyle w:val="213"/>
        <w:spacing w:after="0" w:line="240" w:lineRule="auto"/>
        <w:ind w:firstLine="708"/>
        <w:jc w:val="both"/>
        <w:rPr>
          <w:sz w:val="28"/>
          <w:szCs w:val="28"/>
        </w:rPr>
      </w:pPr>
      <w:r>
        <w:rPr>
          <w:sz w:val="28"/>
          <w:szCs w:val="28"/>
        </w:rPr>
        <w:t>За рахунок коштів бюджету міста п</w:t>
      </w:r>
      <w:r w:rsidRPr="003E4D1E">
        <w:rPr>
          <w:sz w:val="28"/>
          <w:szCs w:val="28"/>
        </w:rPr>
        <w:t>роведен</w:t>
      </w:r>
      <w:r>
        <w:rPr>
          <w:sz w:val="28"/>
          <w:szCs w:val="28"/>
        </w:rPr>
        <w:t>о</w:t>
      </w:r>
      <w:r w:rsidRPr="003E4D1E">
        <w:rPr>
          <w:sz w:val="28"/>
          <w:szCs w:val="28"/>
        </w:rPr>
        <w:t xml:space="preserve"> комплексн</w:t>
      </w:r>
      <w:r>
        <w:rPr>
          <w:sz w:val="28"/>
          <w:szCs w:val="28"/>
        </w:rPr>
        <w:t>е</w:t>
      </w:r>
      <w:r w:rsidRPr="003E4D1E">
        <w:rPr>
          <w:sz w:val="28"/>
          <w:szCs w:val="28"/>
        </w:rPr>
        <w:t xml:space="preserve"> обстеження пасажиропотоків на маршрутах міського пасажирського тра</w:t>
      </w:r>
      <w:r>
        <w:rPr>
          <w:sz w:val="28"/>
          <w:szCs w:val="28"/>
        </w:rPr>
        <w:t>нспорту загального користування, на що витрачено 0,5 млн.грн.</w:t>
      </w:r>
    </w:p>
    <w:p w:rsidR="007C4472" w:rsidRPr="008C540D" w:rsidRDefault="007C4472" w:rsidP="007C4472">
      <w:pPr>
        <w:pStyle w:val="justifyfull"/>
        <w:spacing w:before="0" w:beforeAutospacing="0" w:after="0" w:afterAutospacing="0"/>
        <w:ind w:firstLine="708"/>
        <w:jc w:val="both"/>
        <w:rPr>
          <w:rFonts w:eastAsia="Calibri"/>
          <w:sz w:val="28"/>
          <w:szCs w:val="28"/>
          <w:lang w:val="uk-UA"/>
        </w:rPr>
      </w:pPr>
      <w:r>
        <w:rPr>
          <w:rFonts w:eastAsia="Calibri"/>
          <w:sz w:val="28"/>
          <w:szCs w:val="28"/>
          <w:lang w:val="uk-UA"/>
        </w:rPr>
        <w:t>З</w:t>
      </w:r>
      <w:r w:rsidRPr="00497120">
        <w:rPr>
          <w:rFonts w:eastAsia="Calibri"/>
          <w:sz w:val="28"/>
          <w:szCs w:val="28"/>
          <w:lang w:val="uk-UA"/>
        </w:rPr>
        <w:t xml:space="preserve"> метою забезпечення належної та безперебійної роботи ЗКП МЕТ «</w:t>
      </w:r>
      <w:proofErr w:type="spellStart"/>
      <w:r w:rsidRPr="00497120">
        <w:rPr>
          <w:rFonts w:eastAsia="Calibri"/>
          <w:sz w:val="28"/>
          <w:szCs w:val="28"/>
          <w:lang w:val="uk-UA"/>
        </w:rPr>
        <w:t>Запоріжелектротранс</w:t>
      </w:r>
      <w:proofErr w:type="spellEnd"/>
      <w:r w:rsidRPr="00497120">
        <w:rPr>
          <w:rFonts w:eastAsia="Calibri"/>
          <w:sz w:val="28"/>
          <w:szCs w:val="28"/>
          <w:lang w:val="uk-UA"/>
        </w:rPr>
        <w:t xml:space="preserve">» надано фінансової підтримки </w:t>
      </w:r>
      <w:r>
        <w:rPr>
          <w:rFonts w:eastAsia="Calibri"/>
          <w:sz w:val="28"/>
          <w:szCs w:val="28"/>
          <w:lang w:val="uk-UA"/>
        </w:rPr>
        <w:t xml:space="preserve">підприємству </w:t>
      </w:r>
      <w:r w:rsidRPr="00497120">
        <w:rPr>
          <w:rFonts w:eastAsia="Calibri"/>
          <w:sz w:val="28"/>
          <w:szCs w:val="28"/>
          <w:lang w:val="uk-UA"/>
        </w:rPr>
        <w:t>на суму 45,6 млн.грн.</w:t>
      </w:r>
    </w:p>
    <w:p w:rsidR="00C70067" w:rsidRDefault="00C70067" w:rsidP="00C70067">
      <w:pPr>
        <w:pStyle w:val="213"/>
        <w:numPr>
          <w:ilvl w:val="0"/>
          <w:numId w:val="15"/>
        </w:numPr>
        <w:spacing w:after="0" w:line="240" w:lineRule="auto"/>
        <w:ind w:left="0" w:firstLine="709"/>
        <w:jc w:val="both"/>
        <w:rPr>
          <w:sz w:val="28"/>
          <w:szCs w:val="28"/>
        </w:rPr>
      </w:pPr>
      <w:r w:rsidRPr="00B66B8C">
        <w:rPr>
          <w:sz w:val="28"/>
          <w:szCs w:val="28"/>
        </w:rPr>
        <w:t>Видатки на виконання заходів з охорони навколишнього природного середовища склали 4</w:t>
      </w:r>
      <w:r>
        <w:rPr>
          <w:sz w:val="28"/>
          <w:szCs w:val="28"/>
        </w:rPr>
        <w:t>,9</w:t>
      </w:r>
      <w:r w:rsidRPr="00B66B8C">
        <w:rPr>
          <w:sz w:val="28"/>
          <w:szCs w:val="28"/>
        </w:rPr>
        <w:t xml:space="preserve"> </w:t>
      </w:r>
      <w:r>
        <w:rPr>
          <w:sz w:val="28"/>
          <w:szCs w:val="28"/>
        </w:rPr>
        <w:t>млн.</w:t>
      </w:r>
      <w:r w:rsidRPr="00B66B8C">
        <w:rPr>
          <w:sz w:val="28"/>
          <w:szCs w:val="28"/>
        </w:rPr>
        <w:t>грн.</w:t>
      </w:r>
    </w:p>
    <w:p w:rsidR="00C70067" w:rsidRDefault="00C70067" w:rsidP="00C70067">
      <w:pPr>
        <w:pStyle w:val="213"/>
        <w:spacing w:after="0" w:line="240" w:lineRule="auto"/>
        <w:ind w:firstLine="709"/>
        <w:jc w:val="both"/>
        <w:rPr>
          <w:sz w:val="28"/>
          <w:szCs w:val="28"/>
        </w:rPr>
      </w:pPr>
      <w:r>
        <w:rPr>
          <w:sz w:val="28"/>
          <w:szCs w:val="28"/>
        </w:rPr>
        <w:t xml:space="preserve">За рахунок зазначених коштів з метою поліпшення екологічного стану міста висаджено 1053 дерев, 3976 чагарників та посіяно 1,0 </w:t>
      </w:r>
      <w:proofErr w:type="spellStart"/>
      <w:r>
        <w:rPr>
          <w:sz w:val="28"/>
          <w:szCs w:val="28"/>
        </w:rPr>
        <w:t>тис.кв.м</w:t>
      </w:r>
      <w:proofErr w:type="spellEnd"/>
      <w:r>
        <w:rPr>
          <w:sz w:val="28"/>
          <w:szCs w:val="28"/>
        </w:rPr>
        <w:t xml:space="preserve"> газону. </w:t>
      </w:r>
    </w:p>
    <w:p w:rsidR="00C70067" w:rsidRDefault="00C70067" w:rsidP="00C70067">
      <w:pPr>
        <w:pStyle w:val="213"/>
        <w:spacing w:after="0" w:line="240" w:lineRule="auto"/>
        <w:ind w:firstLine="709"/>
        <w:jc w:val="both"/>
        <w:rPr>
          <w:sz w:val="28"/>
          <w:szCs w:val="28"/>
        </w:rPr>
      </w:pPr>
      <w:r>
        <w:rPr>
          <w:sz w:val="28"/>
          <w:szCs w:val="28"/>
        </w:rPr>
        <w:t>Проведено закупівлю декоративних насаджень для позашкільного навчального закладу «Дитячий парк «Запорізький міський ботанічний сад» та розпочато роботи з реконструкції теплиці закладу.</w:t>
      </w:r>
    </w:p>
    <w:p w:rsidR="00C70067" w:rsidRDefault="00C70067" w:rsidP="00C70067">
      <w:pPr>
        <w:pStyle w:val="213"/>
        <w:spacing w:after="0" w:line="240" w:lineRule="auto"/>
        <w:ind w:firstLine="709"/>
        <w:jc w:val="both"/>
        <w:rPr>
          <w:sz w:val="28"/>
          <w:szCs w:val="28"/>
        </w:rPr>
      </w:pPr>
      <w:r>
        <w:rPr>
          <w:sz w:val="28"/>
          <w:szCs w:val="28"/>
        </w:rPr>
        <w:t>Продовжуються роботи з будівництва кан</w:t>
      </w:r>
      <w:r w:rsidR="00207728">
        <w:rPr>
          <w:sz w:val="28"/>
          <w:szCs w:val="28"/>
        </w:rPr>
        <w:t>алізаційного колектору від вул. </w:t>
      </w:r>
      <w:r>
        <w:rPr>
          <w:sz w:val="28"/>
          <w:szCs w:val="28"/>
        </w:rPr>
        <w:t>Кремлівської до вул.</w:t>
      </w:r>
      <w:r w:rsidR="00207728">
        <w:rPr>
          <w:sz w:val="28"/>
          <w:szCs w:val="28"/>
        </w:rPr>
        <w:t> </w:t>
      </w:r>
      <w:r>
        <w:rPr>
          <w:sz w:val="28"/>
          <w:szCs w:val="28"/>
        </w:rPr>
        <w:t>Істоміна та реконструкція каналізацій</w:t>
      </w:r>
      <w:r w:rsidR="00207728">
        <w:rPr>
          <w:sz w:val="28"/>
          <w:szCs w:val="28"/>
        </w:rPr>
        <w:t xml:space="preserve">ного колектору </w:t>
      </w:r>
      <w:r w:rsidR="00207728">
        <w:rPr>
          <w:sz w:val="28"/>
          <w:szCs w:val="28"/>
        </w:rPr>
        <w:lastRenderedPageBreak/>
        <w:t>до КНС-1 по вул. </w:t>
      </w:r>
      <w:r>
        <w:rPr>
          <w:sz w:val="28"/>
          <w:szCs w:val="28"/>
        </w:rPr>
        <w:t xml:space="preserve">Українській. Розроблено проекти </w:t>
      </w:r>
      <w:r w:rsidR="00207728">
        <w:rPr>
          <w:sz w:val="28"/>
          <w:szCs w:val="28"/>
        </w:rPr>
        <w:t>на розчистку русла р. Верхня Хортиця в районі вул. </w:t>
      </w:r>
      <w:proofErr w:type="spellStart"/>
      <w:r>
        <w:rPr>
          <w:sz w:val="28"/>
          <w:szCs w:val="28"/>
        </w:rPr>
        <w:t>Шушенської</w:t>
      </w:r>
      <w:proofErr w:type="spellEnd"/>
      <w:r>
        <w:rPr>
          <w:sz w:val="28"/>
          <w:szCs w:val="28"/>
        </w:rPr>
        <w:t xml:space="preserve">, </w:t>
      </w:r>
      <w:proofErr w:type="spellStart"/>
      <w:r>
        <w:rPr>
          <w:sz w:val="28"/>
          <w:szCs w:val="28"/>
        </w:rPr>
        <w:t>Зачиняєва</w:t>
      </w:r>
      <w:proofErr w:type="spellEnd"/>
      <w:r>
        <w:rPr>
          <w:sz w:val="28"/>
          <w:szCs w:val="28"/>
        </w:rPr>
        <w:t xml:space="preserve">, Істоміна та проект на поліпшення технічного стану та благоустрій великої водойми </w:t>
      </w:r>
      <w:proofErr w:type="spellStart"/>
      <w:r>
        <w:rPr>
          <w:sz w:val="28"/>
          <w:szCs w:val="28"/>
        </w:rPr>
        <w:t>ЦПКтаВ</w:t>
      </w:r>
      <w:proofErr w:type="spellEnd"/>
      <w:r>
        <w:rPr>
          <w:sz w:val="28"/>
          <w:szCs w:val="28"/>
        </w:rPr>
        <w:t xml:space="preserve"> «Дубовий гай».</w:t>
      </w:r>
    </w:p>
    <w:p w:rsidR="00EE0044" w:rsidRPr="00AB099E" w:rsidRDefault="00EE0044" w:rsidP="00EE0044">
      <w:pPr>
        <w:pStyle w:val="213"/>
        <w:numPr>
          <w:ilvl w:val="0"/>
          <w:numId w:val="15"/>
        </w:numPr>
        <w:spacing w:after="0" w:line="240" w:lineRule="auto"/>
        <w:ind w:left="0" w:firstLine="709"/>
        <w:jc w:val="both"/>
        <w:rPr>
          <w:sz w:val="28"/>
          <w:szCs w:val="28"/>
        </w:rPr>
      </w:pPr>
      <w:r w:rsidRPr="00AB099E">
        <w:rPr>
          <w:sz w:val="28"/>
          <w:szCs w:val="28"/>
        </w:rPr>
        <w:t>В рамках міської цільової програми забезпечення молоді житлом надано кредити 7</w:t>
      </w:r>
      <w:r>
        <w:rPr>
          <w:sz w:val="28"/>
          <w:szCs w:val="28"/>
        </w:rPr>
        <w:t>-ми</w:t>
      </w:r>
      <w:r w:rsidRPr="00AB099E">
        <w:rPr>
          <w:sz w:val="28"/>
          <w:szCs w:val="28"/>
        </w:rPr>
        <w:t xml:space="preserve"> позичальникам на загальну суму 4,2 млн.грн. на придбання житла загальною площею 445,7 </w:t>
      </w:r>
      <w:proofErr w:type="spellStart"/>
      <w:r w:rsidRPr="00AB099E">
        <w:rPr>
          <w:sz w:val="28"/>
          <w:szCs w:val="28"/>
        </w:rPr>
        <w:t>кв.м</w:t>
      </w:r>
      <w:proofErr w:type="spellEnd"/>
      <w:r w:rsidRPr="00AB099E">
        <w:rPr>
          <w:sz w:val="28"/>
          <w:szCs w:val="28"/>
        </w:rPr>
        <w:t xml:space="preserve">. </w:t>
      </w:r>
    </w:p>
    <w:p w:rsidR="00AB4CDC" w:rsidRPr="00AB4CDC" w:rsidRDefault="00AB4CDC" w:rsidP="00D6537E">
      <w:pPr>
        <w:pStyle w:val="21"/>
        <w:spacing w:after="0" w:line="240" w:lineRule="auto"/>
        <w:ind w:firstLine="709"/>
        <w:contextualSpacing/>
        <w:jc w:val="both"/>
        <w:rPr>
          <w:sz w:val="16"/>
          <w:szCs w:val="16"/>
        </w:rPr>
      </w:pPr>
    </w:p>
    <w:p w:rsidR="00D6537E" w:rsidRDefault="00D6537E" w:rsidP="00D6537E">
      <w:pPr>
        <w:pStyle w:val="21"/>
        <w:spacing w:after="0" w:line="240" w:lineRule="auto"/>
        <w:ind w:firstLine="709"/>
        <w:contextualSpacing/>
        <w:jc w:val="both"/>
        <w:rPr>
          <w:sz w:val="28"/>
          <w:szCs w:val="28"/>
        </w:rPr>
      </w:pPr>
      <w:r w:rsidRPr="00150E9B">
        <w:rPr>
          <w:sz w:val="28"/>
          <w:szCs w:val="28"/>
        </w:rPr>
        <w:t xml:space="preserve">За даними звітності про виконання бюджету міста </w:t>
      </w:r>
      <w:r w:rsidR="00AB4CDC">
        <w:rPr>
          <w:sz w:val="28"/>
          <w:szCs w:val="28"/>
        </w:rPr>
        <w:t>н</w:t>
      </w:r>
      <w:r w:rsidRPr="00150E9B">
        <w:rPr>
          <w:sz w:val="28"/>
          <w:szCs w:val="28"/>
        </w:rPr>
        <w:t xml:space="preserve">а </w:t>
      </w:r>
      <w:r w:rsidR="00AB4CDC">
        <w:rPr>
          <w:sz w:val="28"/>
          <w:szCs w:val="28"/>
        </w:rPr>
        <w:t>звітну дату</w:t>
      </w:r>
      <w:r w:rsidRPr="00150E9B">
        <w:rPr>
          <w:sz w:val="28"/>
          <w:szCs w:val="28"/>
        </w:rPr>
        <w:t xml:space="preserve"> кредиторська заборгованість склала </w:t>
      </w:r>
      <w:r w:rsidR="00150E9B" w:rsidRPr="00150E9B">
        <w:rPr>
          <w:sz w:val="28"/>
          <w:szCs w:val="28"/>
        </w:rPr>
        <w:t>554,1</w:t>
      </w:r>
      <w:r w:rsidRPr="00150E9B">
        <w:rPr>
          <w:sz w:val="28"/>
          <w:szCs w:val="28"/>
        </w:rPr>
        <w:t xml:space="preserve"> млн.грн., в тому числі по загальному фонду бюджету – </w:t>
      </w:r>
      <w:r w:rsidR="00150E9B" w:rsidRPr="00150E9B">
        <w:rPr>
          <w:sz w:val="28"/>
          <w:szCs w:val="28"/>
        </w:rPr>
        <w:t>552,6</w:t>
      </w:r>
      <w:r w:rsidRPr="00150E9B">
        <w:rPr>
          <w:sz w:val="28"/>
          <w:szCs w:val="28"/>
        </w:rPr>
        <w:t xml:space="preserve"> млн.грн., з яких заходи з виконання державних програм соціального захисту населення за рахунок субвенцій з державного бюджету – </w:t>
      </w:r>
      <w:r w:rsidR="00150E9B" w:rsidRPr="00150E9B">
        <w:rPr>
          <w:sz w:val="28"/>
          <w:szCs w:val="28"/>
        </w:rPr>
        <w:t>552,5</w:t>
      </w:r>
      <w:r w:rsidRPr="00150E9B">
        <w:rPr>
          <w:sz w:val="28"/>
          <w:szCs w:val="28"/>
        </w:rPr>
        <w:t> млн.грн., спеціальному фонду – 1,5 млн.грн.</w:t>
      </w:r>
    </w:p>
    <w:p w:rsidR="00393789" w:rsidRPr="00497120" w:rsidRDefault="00393789" w:rsidP="00541B47">
      <w:pPr>
        <w:pStyle w:val="2"/>
        <w:spacing w:after="0" w:line="240" w:lineRule="auto"/>
        <w:ind w:left="0" w:firstLine="709"/>
        <w:jc w:val="both"/>
        <w:rPr>
          <w:sz w:val="28"/>
          <w:szCs w:val="28"/>
          <w:lang w:val="uk-UA"/>
        </w:rPr>
      </w:pPr>
    </w:p>
    <w:p w:rsidR="00225447" w:rsidRPr="00497120" w:rsidRDefault="00225447" w:rsidP="00541B47">
      <w:pPr>
        <w:pStyle w:val="2"/>
        <w:spacing w:after="0" w:line="240" w:lineRule="auto"/>
        <w:ind w:left="0" w:firstLine="709"/>
        <w:jc w:val="both"/>
        <w:rPr>
          <w:sz w:val="28"/>
          <w:szCs w:val="28"/>
          <w:lang w:val="uk-UA"/>
        </w:rPr>
      </w:pPr>
    </w:p>
    <w:p w:rsidR="005C73A0" w:rsidRPr="00497120" w:rsidRDefault="005C73A0" w:rsidP="00225447">
      <w:pPr>
        <w:pStyle w:val="2"/>
        <w:spacing w:after="0" w:line="240" w:lineRule="auto"/>
        <w:ind w:left="0"/>
        <w:jc w:val="both"/>
        <w:rPr>
          <w:sz w:val="28"/>
          <w:szCs w:val="28"/>
          <w:lang w:val="uk-UA"/>
        </w:rPr>
      </w:pPr>
      <w:r w:rsidRPr="00497120">
        <w:rPr>
          <w:sz w:val="28"/>
          <w:szCs w:val="28"/>
          <w:lang w:val="uk-UA"/>
        </w:rPr>
        <w:t xml:space="preserve">Директор департаменту фінансової </w:t>
      </w:r>
    </w:p>
    <w:p w:rsidR="005C73A0" w:rsidRDefault="005C73A0" w:rsidP="005C73A0">
      <w:pPr>
        <w:pStyle w:val="2"/>
        <w:spacing w:after="0" w:line="240" w:lineRule="auto"/>
        <w:ind w:left="0"/>
        <w:jc w:val="both"/>
        <w:rPr>
          <w:sz w:val="28"/>
          <w:szCs w:val="28"/>
          <w:lang w:val="uk-UA"/>
        </w:rPr>
      </w:pPr>
      <w:r w:rsidRPr="00497120">
        <w:rPr>
          <w:sz w:val="28"/>
          <w:szCs w:val="28"/>
          <w:lang w:val="uk-UA"/>
        </w:rPr>
        <w:t>та бюджетної політики міської ради</w:t>
      </w:r>
      <w:r w:rsidRPr="00497120">
        <w:rPr>
          <w:sz w:val="28"/>
          <w:szCs w:val="28"/>
          <w:lang w:val="uk-UA"/>
        </w:rPr>
        <w:tab/>
      </w:r>
      <w:r w:rsidRPr="00497120">
        <w:rPr>
          <w:sz w:val="28"/>
          <w:szCs w:val="28"/>
          <w:lang w:val="uk-UA"/>
        </w:rPr>
        <w:tab/>
      </w:r>
      <w:r w:rsidRPr="00497120">
        <w:rPr>
          <w:sz w:val="28"/>
          <w:szCs w:val="28"/>
          <w:lang w:val="uk-UA"/>
        </w:rPr>
        <w:tab/>
      </w:r>
      <w:r w:rsidRPr="00497120">
        <w:rPr>
          <w:sz w:val="28"/>
          <w:szCs w:val="28"/>
          <w:lang w:val="uk-UA"/>
        </w:rPr>
        <w:tab/>
      </w:r>
      <w:r w:rsidRPr="00497120">
        <w:rPr>
          <w:sz w:val="28"/>
          <w:szCs w:val="28"/>
          <w:lang w:val="uk-UA"/>
        </w:rPr>
        <w:tab/>
        <w:t>О.А.</w:t>
      </w:r>
      <w:proofErr w:type="spellStart"/>
      <w:r w:rsidRPr="00497120">
        <w:rPr>
          <w:sz w:val="28"/>
          <w:szCs w:val="28"/>
          <w:lang w:val="uk-UA"/>
        </w:rPr>
        <w:t>Вагіс</w:t>
      </w:r>
      <w:proofErr w:type="spellEnd"/>
    </w:p>
    <w:sectPr w:rsidR="005C73A0" w:rsidSect="00484700">
      <w:headerReference w:type="even" r:id="rId13"/>
      <w:headerReference w:type="default" r:id="rId14"/>
      <w:pgSz w:w="11906" w:h="16838"/>
      <w:pgMar w:top="851" w:right="567" w:bottom="709" w:left="1701" w:header="53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1D9" w:rsidRDefault="001501D9">
      <w:r>
        <w:separator/>
      </w:r>
    </w:p>
  </w:endnote>
  <w:endnote w:type="continuationSeparator" w:id="0">
    <w:p w:rsidR="001501D9" w:rsidRDefault="001501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1D9" w:rsidRDefault="001501D9">
      <w:r>
        <w:separator/>
      </w:r>
    </w:p>
  </w:footnote>
  <w:footnote w:type="continuationSeparator" w:id="0">
    <w:p w:rsidR="001501D9" w:rsidRDefault="001501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1D9" w:rsidRDefault="00E37832" w:rsidP="009A0811">
    <w:pPr>
      <w:pStyle w:val="a9"/>
      <w:framePr w:wrap="around" w:vAnchor="text" w:hAnchor="margin" w:xAlign="center" w:y="1"/>
      <w:rPr>
        <w:rStyle w:val="aa"/>
      </w:rPr>
    </w:pPr>
    <w:r>
      <w:rPr>
        <w:rStyle w:val="aa"/>
      </w:rPr>
      <w:fldChar w:fldCharType="begin"/>
    </w:r>
    <w:r w:rsidR="001501D9">
      <w:rPr>
        <w:rStyle w:val="aa"/>
      </w:rPr>
      <w:instrText xml:space="preserve">PAGE  </w:instrText>
    </w:r>
    <w:r>
      <w:rPr>
        <w:rStyle w:val="aa"/>
      </w:rPr>
      <w:fldChar w:fldCharType="end"/>
    </w:r>
  </w:p>
  <w:p w:rsidR="001501D9" w:rsidRDefault="001501D9">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1D9" w:rsidRDefault="00E37832" w:rsidP="009A0811">
    <w:pPr>
      <w:pStyle w:val="a9"/>
      <w:framePr w:wrap="around" w:vAnchor="text" w:hAnchor="margin" w:xAlign="center" w:y="1"/>
      <w:rPr>
        <w:rStyle w:val="aa"/>
      </w:rPr>
    </w:pPr>
    <w:r>
      <w:rPr>
        <w:rStyle w:val="aa"/>
      </w:rPr>
      <w:fldChar w:fldCharType="begin"/>
    </w:r>
    <w:r w:rsidR="001501D9">
      <w:rPr>
        <w:rStyle w:val="aa"/>
      </w:rPr>
      <w:instrText xml:space="preserve">PAGE  </w:instrText>
    </w:r>
    <w:r>
      <w:rPr>
        <w:rStyle w:val="aa"/>
      </w:rPr>
      <w:fldChar w:fldCharType="separate"/>
    </w:r>
    <w:r w:rsidR="00270A1C">
      <w:rPr>
        <w:rStyle w:val="aa"/>
        <w:noProof/>
      </w:rPr>
      <w:t>9</w:t>
    </w:r>
    <w:r>
      <w:rPr>
        <w:rStyle w:val="aa"/>
      </w:rPr>
      <w:fldChar w:fldCharType="end"/>
    </w:r>
  </w:p>
  <w:p w:rsidR="001501D9" w:rsidRDefault="001501D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264CF"/>
    <w:multiLevelType w:val="hybridMultilevel"/>
    <w:tmpl w:val="0DBAED3E"/>
    <w:lvl w:ilvl="0" w:tplc="7A2A2A8E">
      <w:numFmt w:val="bullet"/>
      <w:lvlText w:val="-"/>
      <w:lvlJc w:val="left"/>
      <w:pPr>
        <w:tabs>
          <w:tab w:val="num" w:pos="1320"/>
        </w:tabs>
        <w:ind w:left="1320" w:hanging="360"/>
      </w:pPr>
      <w:rPr>
        <w:rFonts w:ascii="Times New Roman" w:eastAsia="Times New Roman" w:hAnsi="Times New Roman" w:cs="Times New Roman"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
    <w:nsid w:val="08FF5C17"/>
    <w:multiLevelType w:val="hybridMultilevel"/>
    <w:tmpl w:val="E0CED3B4"/>
    <w:lvl w:ilvl="0" w:tplc="1A301494">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2">
    <w:nsid w:val="0AA6423D"/>
    <w:multiLevelType w:val="hybridMultilevel"/>
    <w:tmpl w:val="B364A078"/>
    <w:lvl w:ilvl="0" w:tplc="D1E85DB0">
      <w:start w:val="201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38E6210"/>
    <w:multiLevelType w:val="hybridMultilevel"/>
    <w:tmpl w:val="9AB456A0"/>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4792BF9"/>
    <w:multiLevelType w:val="hybridMultilevel"/>
    <w:tmpl w:val="04521904"/>
    <w:lvl w:ilvl="0" w:tplc="8DC8AAC6">
      <w:start w:val="2011"/>
      <w:numFmt w:val="bullet"/>
      <w:lvlText w:val="-"/>
      <w:lvlJc w:val="left"/>
      <w:pPr>
        <w:tabs>
          <w:tab w:val="num" w:pos="1698"/>
        </w:tabs>
        <w:ind w:left="1698" w:hanging="99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1D7A07F8"/>
    <w:multiLevelType w:val="hybridMultilevel"/>
    <w:tmpl w:val="C6880C36"/>
    <w:lvl w:ilvl="0" w:tplc="46FC9FEC">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3D0F1E85"/>
    <w:multiLevelType w:val="hybridMultilevel"/>
    <w:tmpl w:val="962CA7BE"/>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41E6769"/>
    <w:multiLevelType w:val="hybridMultilevel"/>
    <w:tmpl w:val="6E0059D8"/>
    <w:lvl w:ilvl="0" w:tplc="3100512C">
      <w:start w:val="201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4EA30D42"/>
    <w:multiLevelType w:val="hybridMultilevel"/>
    <w:tmpl w:val="D19E37C0"/>
    <w:lvl w:ilvl="0" w:tplc="60424552">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9">
    <w:nsid w:val="531A603B"/>
    <w:multiLevelType w:val="hybridMultilevel"/>
    <w:tmpl w:val="67A0FDEE"/>
    <w:lvl w:ilvl="0" w:tplc="B1D600FE">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6082334B"/>
    <w:multiLevelType w:val="hybridMultilevel"/>
    <w:tmpl w:val="F814B898"/>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8683177"/>
    <w:multiLevelType w:val="hybridMultilevel"/>
    <w:tmpl w:val="338E5926"/>
    <w:lvl w:ilvl="0" w:tplc="993C3EC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6A9E747F"/>
    <w:multiLevelType w:val="hybridMultilevel"/>
    <w:tmpl w:val="DEBA2A44"/>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lvl>
    <w:lvl w:ilvl="2" w:tplc="04190005">
      <w:start w:val="1"/>
      <w:numFmt w:val="decimal"/>
      <w:lvlText w:val="%3."/>
      <w:lvlJc w:val="left"/>
      <w:pPr>
        <w:tabs>
          <w:tab w:val="num" w:pos="2510"/>
        </w:tabs>
        <w:ind w:left="2510" w:hanging="360"/>
      </w:pPr>
    </w:lvl>
    <w:lvl w:ilvl="3" w:tplc="04190001">
      <w:start w:val="1"/>
      <w:numFmt w:val="decimal"/>
      <w:lvlText w:val="%4."/>
      <w:lvlJc w:val="left"/>
      <w:pPr>
        <w:tabs>
          <w:tab w:val="num" w:pos="3230"/>
        </w:tabs>
        <w:ind w:left="3230" w:hanging="360"/>
      </w:pPr>
    </w:lvl>
    <w:lvl w:ilvl="4" w:tplc="04190003">
      <w:start w:val="1"/>
      <w:numFmt w:val="decimal"/>
      <w:lvlText w:val="%5."/>
      <w:lvlJc w:val="left"/>
      <w:pPr>
        <w:tabs>
          <w:tab w:val="num" w:pos="3950"/>
        </w:tabs>
        <w:ind w:left="3950" w:hanging="360"/>
      </w:pPr>
    </w:lvl>
    <w:lvl w:ilvl="5" w:tplc="04190005">
      <w:start w:val="1"/>
      <w:numFmt w:val="decimal"/>
      <w:lvlText w:val="%6."/>
      <w:lvlJc w:val="left"/>
      <w:pPr>
        <w:tabs>
          <w:tab w:val="num" w:pos="4670"/>
        </w:tabs>
        <w:ind w:left="4670" w:hanging="360"/>
      </w:pPr>
    </w:lvl>
    <w:lvl w:ilvl="6" w:tplc="04190001">
      <w:start w:val="1"/>
      <w:numFmt w:val="decimal"/>
      <w:lvlText w:val="%7."/>
      <w:lvlJc w:val="left"/>
      <w:pPr>
        <w:tabs>
          <w:tab w:val="num" w:pos="5390"/>
        </w:tabs>
        <w:ind w:left="5390" w:hanging="360"/>
      </w:pPr>
    </w:lvl>
    <w:lvl w:ilvl="7" w:tplc="04190003">
      <w:start w:val="1"/>
      <w:numFmt w:val="decimal"/>
      <w:lvlText w:val="%8."/>
      <w:lvlJc w:val="left"/>
      <w:pPr>
        <w:tabs>
          <w:tab w:val="num" w:pos="6110"/>
        </w:tabs>
        <w:ind w:left="6110" w:hanging="360"/>
      </w:pPr>
    </w:lvl>
    <w:lvl w:ilvl="8" w:tplc="04190005">
      <w:start w:val="1"/>
      <w:numFmt w:val="decimal"/>
      <w:lvlText w:val="%9."/>
      <w:lvlJc w:val="left"/>
      <w:pPr>
        <w:tabs>
          <w:tab w:val="num" w:pos="6830"/>
        </w:tabs>
        <w:ind w:left="6830" w:hanging="360"/>
      </w:pPr>
    </w:lvl>
  </w:abstractNum>
  <w:abstractNum w:abstractNumId="13">
    <w:nsid w:val="6E24273A"/>
    <w:multiLevelType w:val="hybridMultilevel"/>
    <w:tmpl w:val="F7CAABCC"/>
    <w:lvl w:ilvl="0" w:tplc="FD7ADB9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4">
    <w:nsid w:val="762E0E24"/>
    <w:multiLevelType w:val="hybridMultilevel"/>
    <w:tmpl w:val="8068922E"/>
    <w:lvl w:ilvl="0" w:tplc="4C9A42E4">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5">
    <w:nsid w:val="7A4A4E72"/>
    <w:multiLevelType w:val="hybridMultilevel"/>
    <w:tmpl w:val="3C501716"/>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FAC32DD"/>
    <w:multiLevelType w:val="hybridMultilevel"/>
    <w:tmpl w:val="FF2CFA38"/>
    <w:lvl w:ilvl="0" w:tplc="04190001">
      <w:start w:val="1"/>
      <w:numFmt w:val="bullet"/>
      <w:lvlText w:val=""/>
      <w:lvlJc w:val="left"/>
      <w:pPr>
        <w:ind w:left="92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2"/>
  </w:num>
  <w:num w:numId="3">
    <w:abstractNumId w:val="7"/>
  </w:num>
  <w:num w:numId="4">
    <w:abstractNumId w:val="0"/>
  </w:num>
  <w:num w:numId="5">
    <w:abstractNumId w:val="1"/>
  </w:num>
  <w:num w:numId="6">
    <w:abstractNumId w:val="9"/>
  </w:num>
  <w:num w:numId="7">
    <w:abstractNumId w:val="14"/>
  </w:num>
  <w:num w:numId="8">
    <w:abstractNumId w:val="8"/>
  </w:num>
  <w:num w:numId="9">
    <w:abstractNumId w:val="5"/>
  </w:num>
  <w:num w:numId="10">
    <w:abstractNumId w:val="13"/>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0"/>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623229"/>
    <w:rsid w:val="0000139B"/>
    <w:rsid w:val="00002C3E"/>
    <w:rsid w:val="0000461B"/>
    <w:rsid w:val="00004AD9"/>
    <w:rsid w:val="00004CDB"/>
    <w:rsid w:val="00012F00"/>
    <w:rsid w:val="00013EE8"/>
    <w:rsid w:val="000140BC"/>
    <w:rsid w:val="00014909"/>
    <w:rsid w:val="00014D8E"/>
    <w:rsid w:val="000175C6"/>
    <w:rsid w:val="00017686"/>
    <w:rsid w:val="00021459"/>
    <w:rsid w:val="00021D45"/>
    <w:rsid w:val="00022CD2"/>
    <w:rsid w:val="00024092"/>
    <w:rsid w:val="00026492"/>
    <w:rsid w:val="000300B0"/>
    <w:rsid w:val="0003412C"/>
    <w:rsid w:val="00034638"/>
    <w:rsid w:val="0003703B"/>
    <w:rsid w:val="0004031D"/>
    <w:rsid w:val="000422F9"/>
    <w:rsid w:val="00046A7B"/>
    <w:rsid w:val="00050D58"/>
    <w:rsid w:val="00050F60"/>
    <w:rsid w:val="000527BF"/>
    <w:rsid w:val="00052E69"/>
    <w:rsid w:val="00055598"/>
    <w:rsid w:val="00055898"/>
    <w:rsid w:val="000565D4"/>
    <w:rsid w:val="000566F5"/>
    <w:rsid w:val="000569B4"/>
    <w:rsid w:val="00057602"/>
    <w:rsid w:val="000602F8"/>
    <w:rsid w:val="0006283D"/>
    <w:rsid w:val="00063C53"/>
    <w:rsid w:val="00063F5B"/>
    <w:rsid w:val="00064255"/>
    <w:rsid w:val="0006426B"/>
    <w:rsid w:val="00065FB2"/>
    <w:rsid w:val="000674F0"/>
    <w:rsid w:val="00067734"/>
    <w:rsid w:val="00067838"/>
    <w:rsid w:val="00067979"/>
    <w:rsid w:val="00083D58"/>
    <w:rsid w:val="0008595D"/>
    <w:rsid w:val="00090E8B"/>
    <w:rsid w:val="00091373"/>
    <w:rsid w:val="00092D44"/>
    <w:rsid w:val="00093FD8"/>
    <w:rsid w:val="000A1309"/>
    <w:rsid w:val="000A30DB"/>
    <w:rsid w:val="000A352B"/>
    <w:rsid w:val="000A364F"/>
    <w:rsid w:val="000B2A00"/>
    <w:rsid w:val="000B42F8"/>
    <w:rsid w:val="000B4B65"/>
    <w:rsid w:val="000B527C"/>
    <w:rsid w:val="000B5BF8"/>
    <w:rsid w:val="000B5D0D"/>
    <w:rsid w:val="000B6E27"/>
    <w:rsid w:val="000C36E7"/>
    <w:rsid w:val="000C45CF"/>
    <w:rsid w:val="000C507A"/>
    <w:rsid w:val="000C50CA"/>
    <w:rsid w:val="000C5129"/>
    <w:rsid w:val="000C56E1"/>
    <w:rsid w:val="000C651B"/>
    <w:rsid w:val="000D08D3"/>
    <w:rsid w:val="000D165E"/>
    <w:rsid w:val="000D2BED"/>
    <w:rsid w:val="000D538C"/>
    <w:rsid w:val="000E186A"/>
    <w:rsid w:val="000E1BAE"/>
    <w:rsid w:val="000E20AE"/>
    <w:rsid w:val="000E23CF"/>
    <w:rsid w:val="000E4D11"/>
    <w:rsid w:val="000F23BA"/>
    <w:rsid w:val="000F2AF0"/>
    <w:rsid w:val="000F4103"/>
    <w:rsid w:val="000F50B3"/>
    <w:rsid w:val="000F54FD"/>
    <w:rsid w:val="000F7427"/>
    <w:rsid w:val="000F7944"/>
    <w:rsid w:val="000F7C74"/>
    <w:rsid w:val="00104165"/>
    <w:rsid w:val="001048F7"/>
    <w:rsid w:val="0010591A"/>
    <w:rsid w:val="001077D8"/>
    <w:rsid w:val="00107C3B"/>
    <w:rsid w:val="001103EE"/>
    <w:rsid w:val="00110868"/>
    <w:rsid w:val="00111615"/>
    <w:rsid w:val="00111EC8"/>
    <w:rsid w:val="00113740"/>
    <w:rsid w:val="00113D5D"/>
    <w:rsid w:val="001144F8"/>
    <w:rsid w:val="001173C5"/>
    <w:rsid w:val="001174D4"/>
    <w:rsid w:val="00117DF8"/>
    <w:rsid w:val="001200F8"/>
    <w:rsid w:val="00120CBE"/>
    <w:rsid w:val="0012165D"/>
    <w:rsid w:val="00123372"/>
    <w:rsid w:val="00126736"/>
    <w:rsid w:val="00126C9E"/>
    <w:rsid w:val="001304BA"/>
    <w:rsid w:val="00130997"/>
    <w:rsid w:val="001329DB"/>
    <w:rsid w:val="00132C4E"/>
    <w:rsid w:val="00132F2A"/>
    <w:rsid w:val="0013319E"/>
    <w:rsid w:val="00135F68"/>
    <w:rsid w:val="001361B2"/>
    <w:rsid w:val="001412CB"/>
    <w:rsid w:val="00142DF8"/>
    <w:rsid w:val="00142F65"/>
    <w:rsid w:val="0014601B"/>
    <w:rsid w:val="00147891"/>
    <w:rsid w:val="001501D9"/>
    <w:rsid w:val="00150E9B"/>
    <w:rsid w:val="00150EBA"/>
    <w:rsid w:val="00151A72"/>
    <w:rsid w:val="00154DCD"/>
    <w:rsid w:val="00155BD9"/>
    <w:rsid w:val="001568DD"/>
    <w:rsid w:val="001621E3"/>
    <w:rsid w:val="0016267A"/>
    <w:rsid w:val="0016343E"/>
    <w:rsid w:val="00165238"/>
    <w:rsid w:val="00165A80"/>
    <w:rsid w:val="00165BAF"/>
    <w:rsid w:val="0017178C"/>
    <w:rsid w:val="00180467"/>
    <w:rsid w:val="001812AC"/>
    <w:rsid w:val="00181753"/>
    <w:rsid w:val="00183AD5"/>
    <w:rsid w:val="00185319"/>
    <w:rsid w:val="001866CD"/>
    <w:rsid w:val="00186EDF"/>
    <w:rsid w:val="001879F4"/>
    <w:rsid w:val="00187FC3"/>
    <w:rsid w:val="001902E2"/>
    <w:rsid w:val="0019049D"/>
    <w:rsid w:val="001916B4"/>
    <w:rsid w:val="00192E49"/>
    <w:rsid w:val="001955A5"/>
    <w:rsid w:val="001957BE"/>
    <w:rsid w:val="001A0E81"/>
    <w:rsid w:val="001A254E"/>
    <w:rsid w:val="001A6E20"/>
    <w:rsid w:val="001A79AF"/>
    <w:rsid w:val="001B17DE"/>
    <w:rsid w:val="001B1AA0"/>
    <w:rsid w:val="001B1C6D"/>
    <w:rsid w:val="001B236A"/>
    <w:rsid w:val="001B4539"/>
    <w:rsid w:val="001B5D4F"/>
    <w:rsid w:val="001B63E2"/>
    <w:rsid w:val="001C0752"/>
    <w:rsid w:val="001C17EE"/>
    <w:rsid w:val="001C5126"/>
    <w:rsid w:val="001C52B3"/>
    <w:rsid w:val="001D35D3"/>
    <w:rsid w:val="001D5B2E"/>
    <w:rsid w:val="001D6070"/>
    <w:rsid w:val="001D6681"/>
    <w:rsid w:val="001D7990"/>
    <w:rsid w:val="001E03DA"/>
    <w:rsid w:val="001E3AB5"/>
    <w:rsid w:val="001E3D1D"/>
    <w:rsid w:val="001E557C"/>
    <w:rsid w:val="001E5E8E"/>
    <w:rsid w:val="001E6CAC"/>
    <w:rsid w:val="001F049C"/>
    <w:rsid w:val="001F33E8"/>
    <w:rsid w:val="001F41C8"/>
    <w:rsid w:val="001F433D"/>
    <w:rsid w:val="001F6EF4"/>
    <w:rsid w:val="001F7293"/>
    <w:rsid w:val="00202F90"/>
    <w:rsid w:val="00204BF7"/>
    <w:rsid w:val="00205000"/>
    <w:rsid w:val="002051C6"/>
    <w:rsid w:val="002053D6"/>
    <w:rsid w:val="00205BE2"/>
    <w:rsid w:val="002069AC"/>
    <w:rsid w:val="00207728"/>
    <w:rsid w:val="00207CAE"/>
    <w:rsid w:val="00213A50"/>
    <w:rsid w:val="0021481F"/>
    <w:rsid w:val="00215A9D"/>
    <w:rsid w:val="00215CD5"/>
    <w:rsid w:val="00215F19"/>
    <w:rsid w:val="00217327"/>
    <w:rsid w:val="002200BA"/>
    <w:rsid w:val="002202DE"/>
    <w:rsid w:val="00221CD0"/>
    <w:rsid w:val="00225447"/>
    <w:rsid w:val="00227ECA"/>
    <w:rsid w:val="00233D9A"/>
    <w:rsid w:val="0023464A"/>
    <w:rsid w:val="00235B33"/>
    <w:rsid w:val="00237192"/>
    <w:rsid w:val="00242EE0"/>
    <w:rsid w:val="002448DC"/>
    <w:rsid w:val="00247826"/>
    <w:rsid w:val="00250252"/>
    <w:rsid w:val="00252C87"/>
    <w:rsid w:val="00253ED8"/>
    <w:rsid w:val="00256974"/>
    <w:rsid w:val="00256FB1"/>
    <w:rsid w:val="00262008"/>
    <w:rsid w:val="00263E02"/>
    <w:rsid w:val="00264854"/>
    <w:rsid w:val="002656E3"/>
    <w:rsid w:val="00267A09"/>
    <w:rsid w:val="00267AAB"/>
    <w:rsid w:val="00270A1C"/>
    <w:rsid w:val="0027258A"/>
    <w:rsid w:val="00274030"/>
    <w:rsid w:val="002764B5"/>
    <w:rsid w:val="002770DD"/>
    <w:rsid w:val="00277783"/>
    <w:rsid w:val="002778DF"/>
    <w:rsid w:val="002815A5"/>
    <w:rsid w:val="00281E6E"/>
    <w:rsid w:val="002820F8"/>
    <w:rsid w:val="00283BE3"/>
    <w:rsid w:val="00284899"/>
    <w:rsid w:val="00284B1C"/>
    <w:rsid w:val="0028630D"/>
    <w:rsid w:val="0028722C"/>
    <w:rsid w:val="002901AD"/>
    <w:rsid w:val="002941F6"/>
    <w:rsid w:val="002A0C83"/>
    <w:rsid w:val="002A1970"/>
    <w:rsid w:val="002A2088"/>
    <w:rsid w:val="002A2933"/>
    <w:rsid w:val="002A2F26"/>
    <w:rsid w:val="002A3C03"/>
    <w:rsid w:val="002A54DC"/>
    <w:rsid w:val="002A5571"/>
    <w:rsid w:val="002A59A1"/>
    <w:rsid w:val="002A6FBF"/>
    <w:rsid w:val="002B0AB4"/>
    <w:rsid w:val="002B1095"/>
    <w:rsid w:val="002B1A5A"/>
    <w:rsid w:val="002B21D0"/>
    <w:rsid w:val="002B2964"/>
    <w:rsid w:val="002B38AE"/>
    <w:rsid w:val="002B4391"/>
    <w:rsid w:val="002B5985"/>
    <w:rsid w:val="002B5BA6"/>
    <w:rsid w:val="002B62DA"/>
    <w:rsid w:val="002C0105"/>
    <w:rsid w:val="002C0F8E"/>
    <w:rsid w:val="002C3462"/>
    <w:rsid w:val="002C473D"/>
    <w:rsid w:val="002C47AA"/>
    <w:rsid w:val="002C48F3"/>
    <w:rsid w:val="002C54EB"/>
    <w:rsid w:val="002C5650"/>
    <w:rsid w:val="002C5668"/>
    <w:rsid w:val="002C6817"/>
    <w:rsid w:val="002D0431"/>
    <w:rsid w:val="002D23F4"/>
    <w:rsid w:val="002D3225"/>
    <w:rsid w:val="002D3398"/>
    <w:rsid w:val="002D415D"/>
    <w:rsid w:val="002D56D5"/>
    <w:rsid w:val="002E2FA5"/>
    <w:rsid w:val="002E37B3"/>
    <w:rsid w:val="002E536E"/>
    <w:rsid w:val="002E5FA8"/>
    <w:rsid w:val="002E5FC9"/>
    <w:rsid w:val="002E6032"/>
    <w:rsid w:val="002E6724"/>
    <w:rsid w:val="002F280D"/>
    <w:rsid w:val="002F3873"/>
    <w:rsid w:val="002F7315"/>
    <w:rsid w:val="00300E5D"/>
    <w:rsid w:val="0030127A"/>
    <w:rsid w:val="0030139C"/>
    <w:rsid w:val="00301E31"/>
    <w:rsid w:val="003100CB"/>
    <w:rsid w:val="00310EAF"/>
    <w:rsid w:val="00312874"/>
    <w:rsid w:val="003153D1"/>
    <w:rsid w:val="00315626"/>
    <w:rsid w:val="00315772"/>
    <w:rsid w:val="00324123"/>
    <w:rsid w:val="003241E9"/>
    <w:rsid w:val="00326067"/>
    <w:rsid w:val="00326FEB"/>
    <w:rsid w:val="00330378"/>
    <w:rsid w:val="003314DF"/>
    <w:rsid w:val="003318A0"/>
    <w:rsid w:val="00331A1B"/>
    <w:rsid w:val="0033351E"/>
    <w:rsid w:val="0033553D"/>
    <w:rsid w:val="00336AFC"/>
    <w:rsid w:val="00337811"/>
    <w:rsid w:val="00337C1F"/>
    <w:rsid w:val="00340F9E"/>
    <w:rsid w:val="00341053"/>
    <w:rsid w:val="00341D3C"/>
    <w:rsid w:val="00344A38"/>
    <w:rsid w:val="00345E08"/>
    <w:rsid w:val="003465EC"/>
    <w:rsid w:val="00346B95"/>
    <w:rsid w:val="003504FD"/>
    <w:rsid w:val="00351118"/>
    <w:rsid w:val="00351CDA"/>
    <w:rsid w:val="0035243D"/>
    <w:rsid w:val="00355069"/>
    <w:rsid w:val="00355907"/>
    <w:rsid w:val="00360C75"/>
    <w:rsid w:val="00364928"/>
    <w:rsid w:val="00364DFC"/>
    <w:rsid w:val="00365005"/>
    <w:rsid w:val="00367632"/>
    <w:rsid w:val="00367C87"/>
    <w:rsid w:val="00370602"/>
    <w:rsid w:val="00370A0F"/>
    <w:rsid w:val="00371094"/>
    <w:rsid w:val="003806C0"/>
    <w:rsid w:val="00382104"/>
    <w:rsid w:val="003847C7"/>
    <w:rsid w:val="00385309"/>
    <w:rsid w:val="003868C2"/>
    <w:rsid w:val="00386B42"/>
    <w:rsid w:val="00386FC8"/>
    <w:rsid w:val="00387522"/>
    <w:rsid w:val="003875D6"/>
    <w:rsid w:val="00387DB5"/>
    <w:rsid w:val="00391F30"/>
    <w:rsid w:val="003921B7"/>
    <w:rsid w:val="00393789"/>
    <w:rsid w:val="00394572"/>
    <w:rsid w:val="0039478B"/>
    <w:rsid w:val="00395C97"/>
    <w:rsid w:val="00395CF5"/>
    <w:rsid w:val="00395DAD"/>
    <w:rsid w:val="0039714D"/>
    <w:rsid w:val="003A19FB"/>
    <w:rsid w:val="003A28F3"/>
    <w:rsid w:val="003A2A0F"/>
    <w:rsid w:val="003A508F"/>
    <w:rsid w:val="003A579E"/>
    <w:rsid w:val="003A5E27"/>
    <w:rsid w:val="003A7124"/>
    <w:rsid w:val="003A76E0"/>
    <w:rsid w:val="003B3CB3"/>
    <w:rsid w:val="003B469A"/>
    <w:rsid w:val="003B4710"/>
    <w:rsid w:val="003B500A"/>
    <w:rsid w:val="003B7657"/>
    <w:rsid w:val="003C4C67"/>
    <w:rsid w:val="003C51F4"/>
    <w:rsid w:val="003C6E4A"/>
    <w:rsid w:val="003C772D"/>
    <w:rsid w:val="003D0228"/>
    <w:rsid w:val="003D1B33"/>
    <w:rsid w:val="003D24CB"/>
    <w:rsid w:val="003D27EE"/>
    <w:rsid w:val="003D53C3"/>
    <w:rsid w:val="003D7168"/>
    <w:rsid w:val="003E0E40"/>
    <w:rsid w:val="003E1A77"/>
    <w:rsid w:val="003E258E"/>
    <w:rsid w:val="003E4075"/>
    <w:rsid w:val="003E6806"/>
    <w:rsid w:val="003E6E52"/>
    <w:rsid w:val="003F0B08"/>
    <w:rsid w:val="003F48A4"/>
    <w:rsid w:val="003F4EB8"/>
    <w:rsid w:val="003F7453"/>
    <w:rsid w:val="00401CBB"/>
    <w:rsid w:val="00402C46"/>
    <w:rsid w:val="004030F8"/>
    <w:rsid w:val="004031B5"/>
    <w:rsid w:val="00403C04"/>
    <w:rsid w:val="004052F8"/>
    <w:rsid w:val="00405B10"/>
    <w:rsid w:val="00406156"/>
    <w:rsid w:val="00407CFE"/>
    <w:rsid w:val="00410291"/>
    <w:rsid w:val="00411268"/>
    <w:rsid w:val="00413EAC"/>
    <w:rsid w:val="00415E02"/>
    <w:rsid w:val="0041678D"/>
    <w:rsid w:val="004176D6"/>
    <w:rsid w:val="00417AFC"/>
    <w:rsid w:val="0042129C"/>
    <w:rsid w:val="0042163A"/>
    <w:rsid w:val="0042223B"/>
    <w:rsid w:val="00423348"/>
    <w:rsid w:val="00424910"/>
    <w:rsid w:val="00427253"/>
    <w:rsid w:val="00427285"/>
    <w:rsid w:val="00430ADA"/>
    <w:rsid w:val="00430B97"/>
    <w:rsid w:val="0043146A"/>
    <w:rsid w:val="00434076"/>
    <w:rsid w:val="00435A08"/>
    <w:rsid w:val="00436075"/>
    <w:rsid w:val="00441E85"/>
    <w:rsid w:val="0044309A"/>
    <w:rsid w:val="00445205"/>
    <w:rsid w:val="00445EC6"/>
    <w:rsid w:val="00451DC3"/>
    <w:rsid w:val="004547EF"/>
    <w:rsid w:val="0045503E"/>
    <w:rsid w:val="0045665E"/>
    <w:rsid w:val="0046163D"/>
    <w:rsid w:val="004616E1"/>
    <w:rsid w:val="004646BB"/>
    <w:rsid w:val="00464DBE"/>
    <w:rsid w:val="004666C8"/>
    <w:rsid w:val="0047039B"/>
    <w:rsid w:val="004710E4"/>
    <w:rsid w:val="004719D4"/>
    <w:rsid w:val="00472B4A"/>
    <w:rsid w:val="00473140"/>
    <w:rsid w:val="004753E3"/>
    <w:rsid w:val="00477DF7"/>
    <w:rsid w:val="00481117"/>
    <w:rsid w:val="004812E5"/>
    <w:rsid w:val="00481756"/>
    <w:rsid w:val="00482D23"/>
    <w:rsid w:val="00482ED4"/>
    <w:rsid w:val="00483D76"/>
    <w:rsid w:val="00483E34"/>
    <w:rsid w:val="00484700"/>
    <w:rsid w:val="0048506E"/>
    <w:rsid w:val="004854C1"/>
    <w:rsid w:val="00487596"/>
    <w:rsid w:val="0049054F"/>
    <w:rsid w:val="00491D7A"/>
    <w:rsid w:val="00491F77"/>
    <w:rsid w:val="00492268"/>
    <w:rsid w:val="004935A6"/>
    <w:rsid w:val="00493E5E"/>
    <w:rsid w:val="00495122"/>
    <w:rsid w:val="0049658B"/>
    <w:rsid w:val="00496D89"/>
    <w:rsid w:val="00497120"/>
    <w:rsid w:val="004A09DB"/>
    <w:rsid w:val="004A0FDE"/>
    <w:rsid w:val="004A1D18"/>
    <w:rsid w:val="004A28AB"/>
    <w:rsid w:val="004A5E9D"/>
    <w:rsid w:val="004A63EF"/>
    <w:rsid w:val="004A7685"/>
    <w:rsid w:val="004A76B0"/>
    <w:rsid w:val="004B01EE"/>
    <w:rsid w:val="004B2831"/>
    <w:rsid w:val="004B5BE2"/>
    <w:rsid w:val="004B7913"/>
    <w:rsid w:val="004C38FC"/>
    <w:rsid w:val="004C406E"/>
    <w:rsid w:val="004C4602"/>
    <w:rsid w:val="004C590F"/>
    <w:rsid w:val="004C601E"/>
    <w:rsid w:val="004D0F70"/>
    <w:rsid w:val="004D249A"/>
    <w:rsid w:val="004D722E"/>
    <w:rsid w:val="004E0189"/>
    <w:rsid w:val="004E28C0"/>
    <w:rsid w:val="004E2D2E"/>
    <w:rsid w:val="004E43FC"/>
    <w:rsid w:val="004E5C6D"/>
    <w:rsid w:val="004E5DDD"/>
    <w:rsid w:val="004E7272"/>
    <w:rsid w:val="004E75EB"/>
    <w:rsid w:val="004F2073"/>
    <w:rsid w:val="004F3053"/>
    <w:rsid w:val="004F36E4"/>
    <w:rsid w:val="004F585B"/>
    <w:rsid w:val="004F6F1A"/>
    <w:rsid w:val="004F72CF"/>
    <w:rsid w:val="004F7F71"/>
    <w:rsid w:val="00500A96"/>
    <w:rsid w:val="00506441"/>
    <w:rsid w:val="00506652"/>
    <w:rsid w:val="005068D2"/>
    <w:rsid w:val="00507846"/>
    <w:rsid w:val="00510DD2"/>
    <w:rsid w:val="00510FEF"/>
    <w:rsid w:val="00513B18"/>
    <w:rsid w:val="005203A3"/>
    <w:rsid w:val="0052063F"/>
    <w:rsid w:val="00522707"/>
    <w:rsid w:val="0052407A"/>
    <w:rsid w:val="0052460D"/>
    <w:rsid w:val="0052527C"/>
    <w:rsid w:val="00525CAE"/>
    <w:rsid w:val="00530328"/>
    <w:rsid w:val="00534B08"/>
    <w:rsid w:val="00537689"/>
    <w:rsid w:val="00541B47"/>
    <w:rsid w:val="00541BE7"/>
    <w:rsid w:val="00543647"/>
    <w:rsid w:val="00547A4A"/>
    <w:rsid w:val="00553689"/>
    <w:rsid w:val="005536D1"/>
    <w:rsid w:val="00556BEE"/>
    <w:rsid w:val="005575F6"/>
    <w:rsid w:val="00562952"/>
    <w:rsid w:val="00565559"/>
    <w:rsid w:val="00567EF3"/>
    <w:rsid w:val="00573873"/>
    <w:rsid w:val="00573EAD"/>
    <w:rsid w:val="00574729"/>
    <w:rsid w:val="00576B2D"/>
    <w:rsid w:val="00577F00"/>
    <w:rsid w:val="005802F3"/>
    <w:rsid w:val="00580333"/>
    <w:rsid w:val="0058193D"/>
    <w:rsid w:val="00581D9F"/>
    <w:rsid w:val="00585462"/>
    <w:rsid w:val="00586A1E"/>
    <w:rsid w:val="005874AC"/>
    <w:rsid w:val="00591F88"/>
    <w:rsid w:val="0059238E"/>
    <w:rsid w:val="0059469D"/>
    <w:rsid w:val="005953A2"/>
    <w:rsid w:val="0059632C"/>
    <w:rsid w:val="0059790E"/>
    <w:rsid w:val="005979B7"/>
    <w:rsid w:val="005A031F"/>
    <w:rsid w:val="005A067B"/>
    <w:rsid w:val="005A5EB2"/>
    <w:rsid w:val="005B39EE"/>
    <w:rsid w:val="005B3B3A"/>
    <w:rsid w:val="005B3F31"/>
    <w:rsid w:val="005B6B75"/>
    <w:rsid w:val="005B7FAF"/>
    <w:rsid w:val="005C2246"/>
    <w:rsid w:val="005C2B77"/>
    <w:rsid w:val="005C73A0"/>
    <w:rsid w:val="005C7A49"/>
    <w:rsid w:val="005D0FC3"/>
    <w:rsid w:val="005D2319"/>
    <w:rsid w:val="005D2594"/>
    <w:rsid w:val="005D5F71"/>
    <w:rsid w:val="005D6F84"/>
    <w:rsid w:val="005D78FB"/>
    <w:rsid w:val="005E1514"/>
    <w:rsid w:val="005E2A49"/>
    <w:rsid w:val="005E3D0F"/>
    <w:rsid w:val="005E3F70"/>
    <w:rsid w:val="005E406D"/>
    <w:rsid w:val="005E643F"/>
    <w:rsid w:val="005E7618"/>
    <w:rsid w:val="005F2878"/>
    <w:rsid w:val="005F2CB2"/>
    <w:rsid w:val="005F3723"/>
    <w:rsid w:val="005F38B7"/>
    <w:rsid w:val="005F4164"/>
    <w:rsid w:val="005F62F8"/>
    <w:rsid w:val="005F6941"/>
    <w:rsid w:val="005F6E1C"/>
    <w:rsid w:val="005F71F1"/>
    <w:rsid w:val="005F7F99"/>
    <w:rsid w:val="00600382"/>
    <w:rsid w:val="00601224"/>
    <w:rsid w:val="00601A3A"/>
    <w:rsid w:val="00602ED9"/>
    <w:rsid w:val="00605E57"/>
    <w:rsid w:val="00610020"/>
    <w:rsid w:val="006100D3"/>
    <w:rsid w:val="00612A5A"/>
    <w:rsid w:val="00612F70"/>
    <w:rsid w:val="00614930"/>
    <w:rsid w:val="00615534"/>
    <w:rsid w:val="00621585"/>
    <w:rsid w:val="00622D75"/>
    <w:rsid w:val="00623229"/>
    <w:rsid w:val="0062337F"/>
    <w:rsid w:val="00625041"/>
    <w:rsid w:val="0062551A"/>
    <w:rsid w:val="006266EF"/>
    <w:rsid w:val="006312BB"/>
    <w:rsid w:val="006317AB"/>
    <w:rsid w:val="006321C7"/>
    <w:rsid w:val="00632B95"/>
    <w:rsid w:val="006401DF"/>
    <w:rsid w:val="006423E0"/>
    <w:rsid w:val="006440B8"/>
    <w:rsid w:val="00645E0E"/>
    <w:rsid w:val="00646E28"/>
    <w:rsid w:val="00647C21"/>
    <w:rsid w:val="00654F58"/>
    <w:rsid w:val="00660788"/>
    <w:rsid w:val="00664480"/>
    <w:rsid w:val="00665589"/>
    <w:rsid w:val="00666645"/>
    <w:rsid w:val="00666956"/>
    <w:rsid w:val="00666A05"/>
    <w:rsid w:val="0067146F"/>
    <w:rsid w:val="00673A08"/>
    <w:rsid w:val="00673B0F"/>
    <w:rsid w:val="006748A7"/>
    <w:rsid w:val="00675437"/>
    <w:rsid w:val="00675531"/>
    <w:rsid w:val="006765EF"/>
    <w:rsid w:val="006769F4"/>
    <w:rsid w:val="00677E0F"/>
    <w:rsid w:val="0068172E"/>
    <w:rsid w:val="00684438"/>
    <w:rsid w:val="00685704"/>
    <w:rsid w:val="00691E05"/>
    <w:rsid w:val="006944E2"/>
    <w:rsid w:val="00695A43"/>
    <w:rsid w:val="00697F57"/>
    <w:rsid w:val="006A0AE3"/>
    <w:rsid w:val="006A670D"/>
    <w:rsid w:val="006B435D"/>
    <w:rsid w:val="006B5A70"/>
    <w:rsid w:val="006B6B3A"/>
    <w:rsid w:val="006B7A57"/>
    <w:rsid w:val="006C0EDC"/>
    <w:rsid w:val="006C1A4B"/>
    <w:rsid w:val="006C34D8"/>
    <w:rsid w:val="006C5186"/>
    <w:rsid w:val="006D0E65"/>
    <w:rsid w:val="006D0F60"/>
    <w:rsid w:val="006D1689"/>
    <w:rsid w:val="006D1CD5"/>
    <w:rsid w:val="006D5A4A"/>
    <w:rsid w:val="006E3C0A"/>
    <w:rsid w:val="006E51E7"/>
    <w:rsid w:val="006E56E4"/>
    <w:rsid w:val="006E603B"/>
    <w:rsid w:val="006E61CF"/>
    <w:rsid w:val="006E63A4"/>
    <w:rsid w:val="006E669B"/>
    <w:rsid w:val="006E761F"/>
    <w:rsid w:val="006F059A"/>
    <w:rsid w:val="006F2CF8"/>
    <w:rsid w:val="006F3AFF"/>
    <w:rsid w:val="006F783D"/>
    <w:rsid w:val="006F790E"/>
    <w:rsid w:val="00700271"/>
    <w:rsid w:val="00703224"/>
    <w:rsid w:val="00705094"/>
    <w:rsid w:val="007069C9"/>
    <w:rsid w:val="00706DBF"/>
    <w:rsid w:val="00710510"/>
    <w:rsid w:val="0071177E"/>
    <w:rsid w:val="0071315B"/>
    <w:rsid w:val="00713C0C"/>
    <w:rsid w:val="00717481"/>
    <w:rsid w:val="00717670"/>
    <w:rsid w:val="00717F20"/>
    <w:rsid w:val="007225C6"/>
    <w:rsid w:val="00722B10"/>
    <w:rsid w:val="00722D49"/>
    <w:rsid w:val="00727B08"/>
    <w:rsid w:val="007314CA"/>
    <w:rsid w:val="007362A1"/>
    <w:rsid w:val="00740B2D"/>
    <w:rsid w:val="00741AE6"/>
    <w:rsid w:val="00742545"/>
    <w:rsid w:val="007432E8"/>
    <w:rsid w:val="00745EB2"/>
    <w:rsid w:val="00746D96"/>
    <w:rsid w:val="00751BB7"/>
    <w:rsid w:val="0075241F"/>
    <w:rsid w:val="00752678"/>
    <w:rsid w:val="00753D91"/>
    <w:rsid w:val="007543EF"/>
    <w:rsid w:val="00756540"/>
    <w:rsid w:val="00757BD6"/>
    <w:rsid w:val="00760E37"/>
    <w:rsid w:val="00760F9F"/>
    <w:rsid w:val="00766BF0"/>
    <w:rsid w:val="00772A68"/>
    <w:rsid w:val="0077436A"/>
    <w:rsid w:val="00774709"/>
    <w:rsid w:val="00774747"/>
    <w:rsid w:val="007778A1"/>
    <w:rsid w:val="00777CED"/>
    <w:rsid w:val="007800C5"/>
    <w:rsid w:val="00780327"/>
    <w:rsid w:val="00781580"/>
    <w:rsid w:val="007817DF"/>
    <w:rsid w:val="007839D7"/>
    <w:rsid w:val="007866CB"/>
    <w:rsid w:val="00786FE3"/>
    <w:rsid w:val="00790AFC"/>
    <w:rsid w:val="0079187B"/>
    <w:rsid w:val="00792907"/>
    <w:rsid w:val="00793D1D"/>
    <w:rsid w:val="00795F51"/>
    <w:rsid w:val="00796AA2"/>
    <w:rsid w:val="007A0EC2"/>
    <w:rsid w:val="007A1324"/>
    <w:rsid w:val="007A18B9"/>
    <w:rsid w:val="007A309D"/>
    <w:rsid w:val="007A397A"/>
    <w:rsid w:val="007A56BC"/>
    <w:rsid w:val="007A7C8F"/>
    <w:rsid w:val="007A7FF6"/>
    <w:rsid w:val="007B0B49"/>
    <w:rsid w:val="007B2259"/>
    <w:rsid w:val="007B264D"/>
    <w:rsid w:val="007B3922"/>
    <w:rsid w:val="007B4430"/>
    <w:rsid w:val="007B5AC6"/>
    <w:rsid w:val="007C00DA"/>
    <w:rsid w:val="007C0896"/>
    <w:rsid w:val="007C1316"/>
    <w:rsid w:val="007C4472"/>
    <w:rsid w:val="007C5448"/>
    <w:rsid w:val="007C5993"/>
    <w:rsid w:val="007C6037"/>
    <w:rsid w:val="007C730F"/>
    <w:rsid w:val="007D0073"/>
    <w:rsid w:val="007D1F45"/>
    <w:rsid w:val="007D206A"/>
    <w:rsid w:val="007D267D"/>
    <w:rsid w:val="007D34A1"/>
    <w:rsid w:val="007D4FBE"/>
    <w:rsid w:val="007D7030"/>
    <w:rsid w:val="007D790B"/>
    <w:rsid w:val="007E0BF6"/>
    <w:rsid w:val="007E1C85"/>
    <w:rsid w:val="007E2709"/>
    <w:rsid w:val="007E2748"/>
    <w:rsid w:val="007E3769"/>
    <w:rsid w:val="007E37BA"/>
    <w:rsid w:val="007E5CBC"/>
    <w:rsid w:val="007E6BFE"/>
    <w:rsid w:val="007E7E41"/>
    <w:rsid w:val="007F0249"/>
    <w:rsid w:val="007F2070"/>
    <w:rsid w:val="007F7B32"/>
    <w:rsid w:val="007F7EBA"/>
    <w:rsid w:val="008022B8"/>
    <w:rsid w:val="00806F91"/>
    <w:rsid w:val="00807257"/>
    <w:rsid w:val="0081314E"/>
    <w:rsid w:val="00822031"/>
    <w:rsid w:val="00824E10"/>
    <w:rsid w:val="0082573A"/>
    <w:rsid w:val="00826597"/>
    <w:rsid w:val="00834328"/>
    <w:rsid w:val="0083532E"/>
    <w:rsid w:val="00837B68"/>
    <w:rsid w:val="00842E1B"/>
    <w:rsid w:val="00843A20"/>
    <w:rsid w:val="008455ED"/>
    <w:rsid w:val="00845F82"/>
    <w:rsid w:val="00846606"/>
    <w:rsid w:val="00850564"/>
    <w:rsid w:val="00853A13"/>
    <w:rsid w:val="00854101"/>
    <w:rsid w:val="00856498"/>
    <w:rsid w:val="0085716D"/>
    <w:rsid w:val="00860B84"/>
    <w:rsid w:val="00863277"/>
    <w:rsid w:val="00863E33"/>
    <w:rsid w:val="008652B7"/>
    <w:rsid w:val="008657AA"/>
    <w:rsid w:val="0087019A"/>
    <w:rsid w:val="00870FDB"/>
    <w:rsid w:val="008741B3"/>
    <w:rsid w:val="00874E9E"/>
    <w:rsid w:val="008750B1"/>
    <w:rsid w:val="00875163"/>
    <w:rsid w:val="0087538E"/>
    <w:rsid w:val="008756A3"/>
    <w:rsid w:val="00877B7C"/>
    <w:rsid w:val="00877C82"/>
    <w:rsid w:val="00880052"/>
    <w:rsid w:val="00880B67"/>
    <w:rsid w:val="008813F4"/>
    <w:rsid w:val="008839E5"/>
    <w:rsid w:val="00884C5E"/>
    <w:rsid w:val="00884FA3"/>
    <w:rsid w:val="00884FEF"/>
    <w:rsid w:val="008878A0"/>
    <w:rsid w:val="00893C57"/>
    <w:rsid w:val="008954FF"/>
    <w:rsid w:val="00895D4A"/>
    <w:rsid w:val="0089601D"/>
    <w:rsid w:val="008A242F"/>
    <w:rsid w:val="008A2D22"/>
    <w:rsid w:val="008A38B3"/>
    <w:rsid w:val="008A5200"/>
    <w:rsid w:val="008A7F48"/>
    <w:rsid w:val="008B234D"/>
    <w:rsid w:val="008B2397"/>
    <w:rsid w:val="008B2465"/>
    <w:rsid w:val="008B3279"/>
    <w:rsid w:val="008B47F8"/>
    <w:rsid w:val="008B4D8E"/>
    <w:rsid w:val="008B5CB0"/>
    <w:rsid w:val="008C1F9B"/>
    <w:rsid w:val="008C20FF"/>
    <w:rsid w:val="008C24EB"/>
    <w:rsid w:val="008C524B"/>
    <w:rsid w:val="008C540D"/>
    <w:rsid w:val="008C5FAF"/>
    <w:rsid w:val="008C63F4"/>
    <w:rsid w:val="008C683B"/>
    <w:rsid w:val="008D0CCE"/>
    <w:rsid w:val="008D1C9B"/>
    <w:rsid w:val="008D38E7"/>
    <w:rsid w:val="008D53DB"/>
    <w:rsid w:val="008D7903"/>
    <w:rsid w:val="008E0434"/>
    <w:rsid w:val="008E27A0"/>
    <w:rsid w:val="008E3585"/>
    <w:rsid w:val="008E70EB"/>
    <w:rsid w:val="008F239D"/>
    <w:rsid w:val="008F24D5"/>
    <w:rsid w:val="008F2D69"/>
    <w:rsid w:val="008F45D8"/>
    <w:rsid w:val="008F62F3"/>
    <w:rsid w:val="008F663C"/>
    <w:rsid w:val="008F7387"/>
    <w:rsid w:val="008F7667"/>
    <w:rsid w:val="00900AE3"/>
    <w:rsid w:val="00903787"/>
    <w:rsid w:val="00903CF4"/>
    <w:rsid w:val="00904989"/>
    <w:rsid w:val="0090763D"/>
    <w:rsid w:val="00907E6F"/>
    <w:rsid w:val="00911028"/>
    <w:rsid w:val="00914FDF"/>
    <w:rsid w:val="00915241"/>
    <w:rsid w:val="00916547"/>
    <w:rsid w:val="009169BB"/>
    <w:rsid w:val="00920513"/>
    <w:rsid w:val="00921D94"/>
    <w:rsid w:val="00921FC0"/>
    <w:rsid w:val="009240AA"/>
    <w:rsid w:val="00924825"/>
    <w:rsid w:val="00924E0B"/>
    <w:rsid w:val="009255B3"/>
    <w:rsid w:val="00926719"/>
    <w:rsid w:val="0092793B"/>
    <w:rsid w:val="00931806"/>
    <w:rsid w:val="00931DC6"/>
    <w:rsid w:val="00932896"/>
    <w:rsid w:val="00935213"/>
    <w:rsid w:val="009367A4"/>
    <w:rsid w:val="00937926"/>
    <w:rsid w:val="00942FAA"/>
    <w:rsid w:val="00946711"/>
    <w:rsid w:val="00946E27"/>
    <w:rsid w:val="009477FD"/>
    <w:rsid w:val="00950883"/>
    <w:rsid w:val="00951592"/>
    <w:rsid w:val="00951B1A"/>
    <w:rsid w:val="009524E9"/>
    <w:rsid w:val="00952DD1"/>
    <w:rsid w:val="009533CB"/>
    <w:rsid w:val="00953787"/>
    <w:rsid w:val="00953BA8"/>
    <w:rsid w:val="009543FF"/>
    <w:rsid w:val="00954A98"/>
    <w:rsid w:val="00956275"/>
    <w:rsid w:val="00957E39"/>
    <w:rsid w:val="0096289C"/>
    <w:rsid w:val="0096461C"/>
    <w:rsid w:val="00965A53"/>
    <w:rsid w:val="00965C36"/>
    <w:rsid w:val="00967E22"/>
    <w:rsid w:val="00971F58"/>
    <w:rsid w:val="009752E0"/>
    <w:rsid w:val="00975F3D"/>
    <w:rsid w:val="00976693"/>
    <w:rsid w:val="009801C2"/>
    <w:rsid w:val="00980926"/>
    <w:rsid w:val="009815F4"/>
    <w:rsid w:val="009817FB"/>
    <w:rsid w:val="0098383C"/>
    <w:rsid w:val="00984276"/>
    <w:rsid w:val="00985415"/>
    <w:rsid w:val="009861E7"/>
    <w:rsid w:val="009861FD"/>
    <w:rsid w:val="00986FB0"/>
    <w:rsid w:val="0098727F"/>
    <w:rsid w:val="0099021B"/>
    <w:rsid w:val="009903E1"/>
    <w:rsid w:val="0099082F"/>
    <w:rsid w:val="009909FB"/>
    <w:rsid w:val="00991181"/>
    <w:rsid w:val="00991313"/>
    <w:rsid w:val="009918BD"/>
    <w:rsid w:val="00991903"/>
    <w:rsid w:val="0099272F"/>
    <w:rsid w:val="00994CE0"/>
    <w:rsid w:val="00994FDB"/>
    <w:rsid w:val="00995065"/>
    <w:rsid w:val="009955A7"/>
    <w:rsid w:val="009A06FC"/>
    <w:rsid w:val="009A0811"/>
    <w:rsid w:val="009A0DDC"/>
    <w:rsid w:val="009A41D8"/>
    <w:rsid w:val="009A5F72"/>
    <w:rsid w:val="009A7A4E"/>
    <w:rsid w:val="009A7B88"/>
    <w:rsid w:val="009A7F01"/>
    <w:rsid w:val="009B0A4A"/>
    <w:rsid w:val="009B2C20"/>
    <w:rsid w:val="009B32DC"/>
    <w:rsid w:val="009B3888"/>
    <w:rsid w:val="009B3959"/>
    <w:rsid w:val="009B6B55"/>
    <w:rsid w:val="009B7C2A"/>
    <w:rsid w:val="009C0324"/>
    <w:rsid w:val="009C25C0"/>
    <w:rsid w:val="009C4FF2"/>
    <w:rsid w:val="009C5D0E"/>
    <w:rsid w:val="009C7F18"/>
    <w:rsid w:val="009D05FE"/>
    <w:rsid w:val="009D2E5B"/>
    <w:rsid w:val="009D3A58"/>
    <w:rsid w:val="009D490E"/>
    <w:rsid w:val="009D4F67"/>
    <w:rsid w:val="009D5973"/>
    <w:rsid w:val="009D7924"/>
    <w:rsid w:val="009E00CE"/>
    <w:rsid w:val="009E0569"/>
    <w:rsid w:val="009E0AE8"/>
    <w:rsid w:val="009E18BF"/>
    <w:rsid w:val="009E1B70"/>
    <w:rsid w:val="009E2DBB"/>
    <w:rsid w:val="009E5E54"/>
    <w:rsid w:val="009E6011"/>
    <w:rsid w:val="009F1DCB"/>
    <w:rsid w:val="009F30F9"/>
    <w:rsid w:val="009F4500"/>
    <w:rsid w:val="009F4992"/>
    <w:rsid w:val="009F6601"/>
    <w:rsid w:val="009F6CEF"/>
    <w:rsid w:val="009F7EC8"/>
    <w:rsid w:val="00A01C5D"/>
    <w:rsid w:val="00A02D81"/>
    <w:rsid w:val="00A103C8"/>
    <w:rsid w:val="00A11780"/>
    <w:rsid w:val="00A13328"/>
    <w:rsid w:val="00A134F6"/>
    <w:rsid w:val="00A146CA"/>
    <w:rsid w:val="00A14974"/>
    <w:rsid w:val="00A1542A"/>
    <w:rsid w:val="00A20246"/>
    <w:rsid w:val="00A203B5"/>
    <w:rsid w:val="00A20E75"/>
    <w:rsid w:val="00A2233B"/>
    <w:rsid w:val="00A23580"/>
    <w:rsid w:val="00A2712E"/>
    <w:rsid w:val="00A275D5"/>
    <w:rsid w:val="00A318E8"/>
    <w:rsid w:val="00A320A7"/>
    <w:rsid w:val="00A32441"/>
    <w:rsid w:val="00A332FE"/>
    <w:rsid w:val="00A33F83"/>
    <w:rsid w:val="00A34239"/>
    <w:rsid w:val="00A371D4"/>
    <w:rsid w:val="00A40D28"/>
    <w:rsid w:val="00A41009"/>
    <w:rsid w:val="00A41471"/>
    <w:rsid w:val="00A4203C"/>
    <w:rsid w:val="00A42350"/>
    <w:rsid w:val="00A42C73"/>
    <w:rsid w:val="00A42EC7"/>
    <w:rsid w:val="00A4395E"/>
    <w:rsid w:val="00A4741B"/>
    <w:rsid w:val="00A506FC"/>
    <w:rsid w:val="00A50D96"/>
    <w:rsid w:val="00A5113D"/>
    <w:rsid w:val="00A51B2B"/>
    <w:rsid w:val="00A540E7"/>
    <w:rsid w:val="00A540FA"/>
    <w:rsid w:val="00A56436"/>
    <w:rsid w:val="00A61114"/>
    <w:rsid w:val="00A620DE"/>
    <w:rsid w:val="00A620F4"/>
    <w:rsid w:val="00A63557"/>
    <w:rsid w:val="00A64A2A"/>
    <w:rsid w:val="00A65E57"/>
    <w:rsid w:val="00A664AD"/>
    <w:rsid w:val="00A6738B"/>
    <w:rsid w:val="00A67A6B"/>
    <w:rsid w:val="00A67FDF"/>
    <w:rsid w:val="00A71098"/>
    <w:rsid w:val="00A71C28"/>
    <w:rsid w:val="00A7261F"/>
    <w:rsid w:val="00A72A45"/>
    <w:rsid w:val="00A73590"/>
    <w:rsid w:val="00A7384B"/>
    <w:rsid w:val="00A757D9"/>
    <w:rsid w:val="00A8133E"/>
    <w:rsid w:val="00A81CD9"/>
    <w:rsid w:val="00A82A63"/>
    <w:rsid w:val="00A8763B"/>
    <w:rsid w:val="00A916F7"/>
    <w:rsid w:val="00A91A9A"/>
    <w:rsid w:val="00A9343F"/>
    <w:rsid w:val="00A974E9"/>
    <w:rsid w:val="00AA109B"/>
    <w:rsid w:val="00AA3134"/>
    <w:rsid w:val="00AA3867"/>
    <w:rsid w:val="00AA4FB5"/>
    <w:rsid w:val="00AB3441"/>
    <w:rsid w:val="00AB4ACC"/>
    <w:rsid w:val="00AB4CDC"/>
    <w:rsid w:val="00AB4D2C"/>
    <w:rsid w:val="00AB718A"/>
    <w:rsid w:val="00AC23EB"/>
    <w:rsid w:val="00AC36D3"/>
    <w:rsid w:val="00AC48DF"/>
    <w:rsid w:val="00AC58F3"/>
    <w:rsid w:val="00AC6504"/>
    <w:rsid w:val="00AC6C50"/>
    <w:rsid w:val="00AD0965"/>
    <w:rsid w:val="00AD355F"/>
    <w:rsid w:val="00AD3B6A"/>
    <w:rsid w:val="00AD4E5F"/>
    <w:rsid w:val="00AD5D23"/>
    <w:rsid w:val="00AD7F2F"/>
    <w:rsid w:val="00AE1464"/>
    <w:rsid w:val="00AE1FBE"/>
    <w:rsid w:val="00AE4991"/>
    <w:rsid w:val="00AE509B"/>
    <w:rsid w:val="00AE67A8"/>
    <w:rsid w:val="00AE6EC3"/>
    <w:rsid w:val="00AE734C"/>
    <w:rsid w:val="00AF0B66"/>
    <w:rsid w:val="00AF2C68"/>
    <w:rsid w:val="00AF3150"/>
    <w:rsid w:val="00AF46CF"/>
    <w:rsid w:val="00AF50DB"/>
    <w:rsid w:val="00AF553D"/>
    <w:rsid w:val="00AF6A6D"/>
    <w:rsid w:val="00AF6A81"/>
    <w:rsid w:val="00AF6FB1"/>
    <w:rsid w:val="00AF7D95"/>
    <w:rsid w:val="00B00030"/>
    <w:rsid w:val="00B01451"/>
    <w:rsid w:val="00B028E1"/>
    <w:rsid w:val="00B031F2"/>
    <w:rsid w:val="00B054CE"/>
    <w:rsid w:val="00B07760"/>
    <w:rsid w:val="00B1014D"/>
    <w:rsid w:val="00B1158D"/>
    <w:rsid w:val="00B11873"/>
    <w:rsid w:val="00B124C5"/>
    <w:rsid w:val="00B125AC"/>
    <w:rsid w:val="00B12603"/>
    <w:rsid w:val="00B129E0"/>
    <w:rsid w:val="00B130D6"/>
    <w:rsid w:val="00B133F8"/>
    <w:rsid w:val="00B1422F"/>
    <w:rsid w:val="00B1466F"/>
    <w:rsid w:val="00B21040"/>
    <w:rsid w:val="00B21D72"/>
    <w:rsid w:val="00B21F9B"/>
    <w:rsid w:val="00B22163"/>
    <w:rsid w:val="00B23450"/>
    <w:rsid w:val="00B23BC4"/>
    <w:rsid w:val="00B30613"/>
    <w:rsid w:val="00B33010"/>
    <w:rsid w:val="00B330BA"/>
    <w:rsid w:val="00B34621"/>
    <w:rsid w:val="00B347C9"/>
    <w:rsid w:val="00B36B10"/>
    <w:rsid w:val="00B42FAC"/>
    <w:rsid w:val="00B4332F"/>
    <w:rsid w:val="00B43F7F"/>
    <w:rsid w:val="00B469DC"/>
    <w:rsid w:val="00B47163"/>
    <w:rsid w:val="00B50CD3"/>
    <w:rsid w:val="00B60BF0"/>
    <w:rsid w:val="00B61813"/>
    <w:rsid w:val="00B62767"/>
    <w:rsid w:val="00B629D3"/>
    <w:rsid w:val="00B62B02"/>
    <w:rsid w:val="00B65A04"/>
    <w:rsid w:val="00B6604F"/>
    <w:rsid w:val="00B70601"/>
    <w:rsid w:val="00B71441"/>
    <w:rsid w:val="00B72139"/>
    <w:rsid w:val="00B73013"/>
    <w:rsid w:val="00B74228"/>
    <w:rsid w:val="00B7440C"/>
    <w:rsid w:val="00B74A1B"/>
    <w:rsid w:val="00B75F63"/>
    <w:rsid w:val="00B7602B"/>
    <w:rsid w:val="00B7674F"/>
    <w:rsid w:val="00B77F06"/>
    <w:rsid w:val="00B80669"/>
    <w:rsid w:val="00B82C99"/>
    <w:rsid w:val="00B82D57"/>
    <w:rsid w:val="00B83BEA"/>
    <w:rsid w:val="00B83D03"/>
    <w:rsid w:val="00B84257"/>
    <w:rsid w:val="00B84F6F"/>
    <w:rsid w:val="00B8502E"/>
    <w:rsid w:val="00B85AA3"/>
    <w:rsid w:val="00B8712E"/>
    <w:rsid w:val="00B87184"/>
    <w:rsid w:val="00B921C6"/>
    <w:rsid w:val="00B9220F"/>
    <w:rsid w:val="00B9228E"/>
    <w:rsid w:val="00B928E7"/>
    <w:rsid w:val="00B93491"/>
    <w:rsid w:val="00B96B64"/>
    <w:rsid w:val="00B973EF"/>
    <w:rsid w:val="00BA054D"/>
    <w:rsid w:val="00BA2791"/>
    <w:rsid w:val="00BA3460"/>
    <w:rsid w:val="00BA4491"/>
    <w:rsid w:val="00BA54A7"/>
    <w:rsid w:val="00BB381D"/>
    <w:rsid w:val="00BB5D89"/>
    <w:rsid w:val="00BB6765"/>
    <w:rsid w:val="00BC20FB"/>
    <w:rsid w:val="00BC26B7"/>
    <w:rsid w:val="00BC2CB5"/>
    <w:rsid w:val="00BC58CB"/>
    <w:rsid w:val="00BD31FB"/>
    <w:rsid w:val="00BD3E8B"/>
    <w:rsid w:val="00BD4663"/>
    <w:rsid w:val="00BD4A34"/>
    <w:rsid w:val="00BD79CD"/>
    <w:rsid w:val="00BE16A6"/>
    <w:rsid w:val="00BE1836"/>
    <w:rsid w:val="00BE1A6A"/>
    <w:rsid w:val="00BE1ABE"/>
    <w:rsid w:val="00BE378A"/>
    <w:rsid w:val="00BE40ED"/>
    <w:rsid w:val="00BE4CCE"/>
    <w:rsid w:val="00BE4CF1"/>
    <w:rsid w:val="00BE5229"/>
    <w:rsid w:val="00BE55F1"/>
    <w:rsid w:val="00BE6A61"/>
    <w:rsid w:val="00BE71E9"/>
    <w:rsid w:val="00BE786E"/>
    <w:rsid w:val="00BE797A"/>
    <w:rsid w:val="00BF3371"/>
    <w:rsid w:val="00BF412B"/>
    <w:rsid w:val="00BF57DE"/>
    <w:rsid w:val="00BF71D4"/>
    <w:rsid w:val="00BF722F"/>
    <w:rsid w:val="00C0283D"/>
    <w:rsid w:val="00C0296E"/>
    <w:rsid w:val="00C04D21"/>
    <w:rsid w:val="00C05307"/>
    <w:rsid w:val="00C0550D"/>
    <w:rsid w:val="00C05BE2"/>
    <w:rsid w:val="00C071C9"/>
    <w:rsid w:val="00C07799"/>
    <w:rsid w:val="00C10A12"/>
    <w:rsid w:val="00C10FAB"/>
    <w:rsid w:val="00C111B6"/>
    <w:rsid w:val="00C111D8"/>
    <w:rsid w:val="00C12134"/>
    <w:rsid w:val="00C156D8"/>
    <w:rsid w:val="00C15F0D"/>
    <w:rsid w:val="00C16636"/>
    <w:rsid w:val="00C167E9"/>
    <w:rsid w:val="00C20078"/>
    <w:rsid w:val="00C202E2"/>
    <w:rsid w:val="00C246F6"/>
    <w:rsid w:val="00C26360"/>
    <w:rsid w:val="00C26F3F"/>
    <w:rsid w:val="00C275FF"/>
    <w:rsid w:val="00C32E7C"/>
    <w:rsid w:val="00C371A8"/>
    <w:rsid w:val="00C379A7"/>
    <w:rsid w:val="00C43638"/>
    <w:rsid w:val="00C43CEF"/>
    <w:rsid w:val="00C44116"/>
    <w:rsid w:val="00C506CE"/>
    <w:rsid w:val="00C50A87"/>
    <w:rsid w:val="00C51CE1"/>
    <w:rsid w:val="00C52E1B"/>
    <w:rsid w:val="00C53838"/>
    <w:rsid w:val="00C53E25"/>
    <w:rsid w:val="00C53FD0"/>
    <w:rsid w:val="00C5428D"/>
    <w:rsid w:val="00C56F7B"/>
    <w:rsid w:val="00C57BE5"/>
    <w:rsid w:val="00C6003C"/>
    <w:rsid w:val="00C609E3"/>
    <w:rsid w:val="00C613F7"/>
    <w:rsid w:val="00C623F8"/>
    <w:rsid w:val="00C658C5"/>
    <w:rsid w:val="00C70067"/>
    <w:rsid w:val="00C70BBE"/>
    <w:rsid w:val="00C71AE1"/>
    <w:rsid w:val="00C71B5A"/>
    <w:rsid w:val="00C72B3F"/>
    <w:rsid w:val="00C730C5"/>
    <w:rsid w:val="00C73574"/>
    <w:rsid w:val="00C73E3D"/>
    <w:rsid w:val="00C74A26"/>
    <w:rsid w:val="00C74D67"/>
    <w:rsid w:val="00C751F6"/>
    <w:rsid w:val="00C7663C"/>
    <w:rsid w:val="00C77040"/>
    <w:rsid w:val="00C7730E"/>
    <w:rsid w:val="00C80D11"/>
    <w:rsid w:val="00C80D66"/>
    <w:rsid w:val="00C82E2D"/>
    <w:rsid w:val="00C8353F"/>
    <w:rsid w:val="00C838A6"/>
    <w:rsid w:val="00C84700"/>
    <w:rsid w:val="00C85603"/>
    <w:rsid w:val="00C86AF6"/>
    <w:rsid w:val="00C86B19"/>
    <w:rsid w:val="00C901DE"/>
    <w:rsid w:val="00C902B3"/>
    <w:rsid w:val="00C9036B"/>
    <w:rsid w:val="00C91C58"/>
    <w:rsid w:val="00C92CE6"/>
    <w:rsid w:val="00C9302A"/>
    <w:rsid w:val="00C93556"/>
    <w:rsid w:val="00C93D38"/>
    <w:rsid w:val="00C958FD"/>
    <w:rsid w:val="00C95A1D"/>
    <w:rsid w:val="00C960AB"/>
    <w:rsid w:val="00CA096A"/>
    <w:rsid w:val="00CA57AE"/>
    <w:rsid w:val="00CB26F5"/>
    <w:rsid w:val="00CB3527"/>
    <w:rsid w:val="00CB74CB"/>
    <w:rsid w:val="00CC0062"/>
    <w:rsid w:val="00CC0F6C"/>
    <w:rsid w:val="00CC7A5C"/>
    <w:rsid w:val="00CD0480"/>
    <w:rsid w:val="00CD1AD7"/>
    <w:rsid w:val="00CD25C7"/>
    <w:rsid w:val="00CD52BB"/>
    <w:rsid w:val="00CD72CE"/>
    <w:rsid w:val="00CD7378"/>
    <w:rsid w:val="00CD7D2F"/>
    <w:rsid w:val="00CE216B"/>
    <w:rsid w:val="00CE283F"/>
    <w:rsid w:val="00CF0A90"/>
    <w:rsid w:val="00CF2A93"/>
    <w:rsid w:val="00CF6F19"/>
    <w:rsid w:val="00D01F86"/>
    <w:rsid w:val="00D02DAB"/>
    <w:rsid w:val="00D04EA3"/>
    <w:rsid w:val="00D056CC"/>
    <w:rsid w:val="00D0643E"/>
    <w:rsid w:val="00D06D6C"/>
    <w:rsid w:val="00D07016"/>
    <w:rsid w:val="00D12793"/>
    <w:rsid w:val="00D13BED"/>
    <w:rsid w:val="00D15D34"/>
    <w:rsid w:val="00D173BC"/>
    <w:rsid w:val="00D22022"/>
    <w:rsid w:val="00D2263D"/>
    <w:rsid w:val="00D23D67"/>
    <w:rsid w:val="00D25072"/>
    <w:rsid w:val="00D25633"/>
    <w:rsid w:val="00D27D04"/>
    <w:rsid w:val="00D27DF6"/>
    <w:rsid w:val="00D31097"/>
    <w:rsid w:val="00D314FB"/>
    <w:rsid w:val="00D317A7"/>
    <w:rsid w:val="00D32332"/>
    <w:rsid w:val="00D32E1F"/>
    <w:rsid w:val="00D33C57"/>
    <w:rsid w:val="00D34910"/>
    <w:rsid w:val="00D364EE"/>
    <w:rsid w:val="00D422E0"/>
    <w:rsid w:val="00D47F30"/>
    <w:rsid w:val="00D506A9"/>
    <w:rsid w:val="00D51F5F"/>
    <w:rsid w:val="00D53DA7"/>
    <w:rsid w:val="00D5486C"/>
    <w:rsid w:val="00D55E69"/>
    <w:rsid w:val="00D562ED"/>
    <w:rsid w:val="00D56751"/>
    <w:rsid w:val="00D61299"/>
    <w:rsid w:val="00D635F5"/>
    <w:rsid w:val="00D63D1B"/>
    <w:rsid w:val="00D64271"/>
    <w:rsid w:val="00D6430C"/>
    <w:rsid w:val="00D64EC1"/>
    <w:rsid w:val="00D6537E"/>
    <w:rsid w:val="00D65A82"/>
    <w:rsid w:val="00D6601F"/>
    <w:rsid w:val="00D66243"/>
    <w:rsid w:val="00D67680"/>
    <w:rsid w:val="00D70268"/>
    <w:rsid w:val="00D721B0"/>
    <w:rsid w:val="00D738FE"/>
    <w:rsid w:val="00D75ACC"/>
    <w:rsid w:val="00D77DC0"/>
    <w:rsid w:val="00D77F62"/>
    <w:rsid w:val="00D80A97"/>
    <w:rsid w:val="00D85376"/>
    <w:rsid w:val="00D853F7"/>
    <w:rsid w:val="00D863AA"/>
    <w:rsid w:val="00D90F8B"/>
    <w:rsid w:val="00D91B7A"/>
    <w:rsid w:val="00D935C2"/>
    <w:rsid w:val="00D9408F"/>
    <w:rsid w:val="00D974EE"/>
    <w:rsid w:val="00DA0032"/>
    <w:rsid w:val="00DA7551"/>
    <w:rsid w:val="00DA7A16"/>
    <w:rsid w:val="00DB28F8"/>
    <w:rsid w:val="00DB2BBA"/>
    <w:rsid w:val="00DB486B"/>
    <w:rsid w:val="00DC10A1"/>
    <w:rsid w:val="00DC14A7"/>
    <w:rsid w:val="00DC3E94"/>
    <w:rsid w:val="00DC655F"/>
    <w:rsid w:val="00DC69D9"/>
    <w:rsid w:val="00DC6B82"/>
    <w:rsid w:val="00DC734D"/>
    <w:rsid w:val="00DC79F0"/>
    <w:rsid w:val="00DD0B85"/>
    <w:rsid w:val="00DD0CE6"/>
    <w:rsid w:val="00DD1288"/>
    <w:rsid w:val="00DD1441"/>
    <w:rsid w:val="00DD1E54"/>
    <w:rsid w:val="00DD1F66"/>
    <w:rsid w:val="00DD257F"/>
    <w:rsid w:val="00DD653A"/>
    <w:rsid w:val="00DD6977"/>
    <w:rsid w:val="00DD6D79"/>
    <w:rsid w:val="00DE35E4"/>
    <w:rsid w:val="00DE4140"/>
    <w:rsid w:val="00DE4F57"/>
    <w:rsid w:val="00DE50C3"/>
    <w:rsid w:val="00DE64C2"/>
    <w:rsid w:val="00DE75C1"/>
    <w:rsid w:val="00DF0C33"/>
    <w:rsid w:val="00DF1739"/>
    <w:rsid w:val="00DF2FC0"/>
    <w:rsid w:val="00DF3CDD"/>
    <w:rsid w:val="00DF4C87"/>
    <w:rsid w:val="00DF5466"/>
    <w:rsid w:val="00DF5BC8"/>
    <w:rsid w:val="00E01BD7"/>
    <w:rsid w:val="00E02674"/>
    <w:rsid w:val="00E02F44"/>
    <w:rsid w:val="00E03261"/>
    <w:rsid w:val="00E0731D"/>
    <w:rsid w:val="00E12C3C"/>
    <w:rsid w:val="00E16BB0"/>
    <w:rsid w:val="00E172F8"/>
    <w:rsid w:val="00E20813"/>
    <w:rsid w:val="00E219AE"/>
    <w:rsid w:val="00E21FCC"/>
    <w:rsid w:val="00E24611"/>
    <w:rsid w:val="00E25A07"/>
    <w:rsid w:val="00E26564"/>
    <w:rsid w:val="00E33861"/>
    <w:rsid w:val="00E33B28"/>
    <w:rsid w:val="00E34D44"/>
    <w:rsid w:val="00E375A7"/>
    <w:rsid w:val="00E37832"/>
    <w:rsid w:val="00E41C9E"/>
    <w:rsid w:val="00E41CD8"/>
    <w:rsid w:val="00E43155"/>
    <w:rsid w:val="00E43F85"/>
    <w:rsid w:val="00E46B2B"/>
    <w:rsid w:val="00E513E0"/>
    <w:rsid w:val="00E51C59"/>
    <w:rsid w:val="00E52010"/>
    <w:rsid w:val="00E52A17"/>
    <w:rsid w:val="00E5518D"/>
    <w:rsid w:val="00E60D2D"/>
    <w:rsid w:val="00E610E1"/>
    <w:rsid w:val="00E62C9F"/>
    <w:rsid w:val="00E6404E"/>
    <w:rsid w:val="00E6524C"/>
    <w:rsid w:val="00E679D5"/>
    <w:rsid w:val="00E70111"/>
    <w:rsid w:val="00E7044D"/>
    <w:rsid w:val="00E72255"/>
    <w:rsid w:val="00E7289E"/>
    <w:rsid w:val="00E7390B"/>
    <w:rsid w:val="00E75749"/>
    <w:rsid w:val="00E80D11"/>
    <w:rsid w:val="00E841CC"/>
    <w:rsid w:val="00E85720"/>
    <w:rsid w:val="00E8748C"/>
    <w:rsid w:val="00E915CB"/>
    <w:rsid w:val="00E9359C"/>
    <w:rsid w:val="00E945A2"/>
    <w:rsid w:val="00E9530D"/>
    <w:rsid w:val="00EA0DB4"/>
    <w:rsid w:val="00EA253F"/>
    <w:rsid w:val="00EA2B80"/>
    <w:rsid w:val="00EA3D1A"/>
    <w:rsid w:val="00EA6468"/>
    <w:rsid w:val="00EA7C36"/>
    <w:rsid w:val="00EB0FD2"/>
    <w:rsid w:val="00EB10F9"/>
    <w:rsid w:val="00EB3E49"/>
    <w:rsid w:val="00EB4AFC"/>
    <w:rsid w:val="00EC00B3"/>
    <w:rsid w:val="00EC01D1"/>
    <w:rsid w:val="00EC7538"/>
    <w:rsid w:val="00ED0BA9"/>
    <w:rsid w:val="00ED18E4"/>
    <w:rsid w:val="00EE0044"/>
    <w:rsid w:val="00EE1106"/>
    <w:rsid w:val="00EE2A80"/>
    <w:rsid w:val="00EE3A35"/>
    <w:rsid w:val="00EE75C0"/>
    <w:rsid w:val="00EF2C79"/>
    <w:rsid w:val="00EF335D"/>
    <w:rsid w:val="00EF40B1"/>
    <w:rsid w:val="00EF55B2"/>
    <w:rsid w:val="00EF7D36"/>
    <w:rsid w:val="00F024F3"/>
    <w:rsid w:val="00F031F2"/>
    <w:rsid w:val="00F03B42"/>
    <w:rsid w:val="00F04843"/>
    <w:rsid w:val="00F05AE3"/>
    <w:rsid w:val="00F07424"/>
    <w:rsid w:val="00F07DC5"/>
    <w:rsid w:val="00F104A4"/>
    <w:rsid w:val="00F10BFA"/>
    <w:rsid w:val="00F12A82"/>
    <w:rsid w:val="00F16C8B"/>
    <w:rsid w:val="00F25EE2"/>
    <w:rsid w:val="00F27404"/>
    <w:rsid w:val="00F27546"/>
    <w:rsid w:val="00F3104A"/>
    <w:rsid w:val="00F31BF1"/>
    <w:rsid w:val="00F33981"/>
    <w:rsid w:val="00F36301"/>
    <w:rsid w:val="00F36352"/>
    <w:rsid w:val="00F37178"/>
    <w:rsid w:val="00F42F25"/>
    <w:rsid w:val="00F44545"/>
    <w:rsid w:val="00F46174"/>
    <w:rsid w:val="00F47D22"/>
    <w:rsid w:val="00F50E84"/>
    <w:rsid w:val="00F57471"/>
    <w:rsid w:val="00F60645"/>
    <w:rsid w:val="00F61CE1"/>
    <w:rsid w:val="00F631E4"/>
    <w:rsid w:val="00F63B5C"/>
    <w:rsid w:val="00F6661A"/>
    <w:rsid w:val="00F673FD"/>
    <w:rsid w:val="00F6749D"/>
    <w:rsid w:val="00F71098"/>
    <w:rsid w:val="00F71776"/>
    <w:rsid w:val="00F71C13"/>
    <w:rsid w:val="00F71FFB"/>
    <w:rsid w:val="00F720BF"/>
    <w:rsid w:val="00F72B25"/>
    <w:rsid w:val="00F74927"/>
    <w:rsid w:val="00F749FA"/>
    <w:rsid w:val="00F7503B"/>
    <w:rsid w:val="00F769EB"/>
    <w:rsid w:val="00F8083B"/>
    <w:rsid w:val="00F84AB0"/>
    <w:rsid w:val="00F8685D"/>
    <w:rsid w:val="00F86E4B"/>
    <w:rsid w:val="00F90462"/>
    <w:rsid w:val="00F91F60"/>
    <w:rsid w:val="00F94D8A"/>
    <w:rsid w:val="00F97C1E"/>
    <w:rsid w:val="00FA4A67"/>
    <w:rsid w:val="00FA6AB5"/>
    <w:rsid w:val="00FA7BC6"/>
    <w:rsid w:val="00FB01BD"/>
    <w:rsid w:val="00FB4185"/>
    <w:rsid w:val="00FB53F2"/>
    <w:rsid w:val="00FB7AEC"/>
    <w:rsid w:val="00FC024A"/>
    <w:rsid w:val="00FC07E3"/>
    <w:rsid w:val="00FC1439"/>
    <w:rsid w:val="00FC27A4"/>
    <w:rsid w:val="00FC351A"/>
    <w:rsid w:val="00FC4B0A"/>
    <w:rsid w:val="00FC61D4"/>
    <w:rsid w:val="00FC6DAE"/>
    <w:rsid w:val="00FC7698"/>
    <w:rsid w:val="00FD101A"/>
    <w:rsid w:val="00FD2606"/>
    <w:rsid w:val="00FD2F5C"/>
    <w:rsid w:val="00FD30EA"/>
    <w:rsid w:val="00FD4658"/>
    <w:rsid w:val="00FD5078"/>
    <w:rsid w:val="00FD646B"/>
    <w:rsid w:val="00FD7AF6"/>
    <w:rsid w:val="00FD7D0D"/>
    <w:rsid w:val="00FE1A97"/>
    <w:rsid w:val="00FE2FDC"/>
    <w:rsid w:val="00FE4D91"/>
    <w:rsid w:val="00FE5ACD"/>
    <w:rsid w:val="00FE5C62"/>
    <w:rsid w:val="00FE6128"/>
    <w:rsid w:val="00FF0589"/>
    <w:rsid w:val="00FF22B3"/>
    <w:rsid w:val="00FF318E"/>
    <w:rsid w:val="00FF3580"/>
    <w:rsid w:val="00FF3BC4"/>
    <w:rsid w:val="00FF3BF4"/>
    <w:rsid w:val="00FF6436"/>
    <w:rsid w:val="00FF6648"/>
    <w:rsid w:val="00FF68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E4A"/>
    <w:rPr>
      <w:sz w:val="24"/>
      <w:szCs w:val="24"/>
    </w:rPr>
  </w:style>
  <w:style w:type="paragraph" w:styleId="1">
    <w:name w:val="heading 1"/>
    <w:basedOn w:val="a"/>
    <w:next w:val="a"/>
    <w:qFormat/>
    <w:rsid w:val="003C6E4A"/>
    <w:pPr>
      <w:keepNext/>
      <w:jc w:val="both"/>
      <w:outlineLvl w:val="0"/>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3C6E4A"/>
    <w:pPr>
      <w:jc w:val="center"/>
    </w:pPr>
    <w:rPr>
      <w:sz w:val="28"/>
      <w:lang w:val="uk-UA"/>
    </w:rPr>
  </w:style>
  <w:style w:type="paragraph" w:styleId="a4">
    <w:name w:val="Body Text"/>
    <w:basedOn w:val="a"/>
    <w:link w:val="a5"/>
    <w:semiHidden/>
    <w:rsid w:val="003C6E4A"/>
    <w:pPr>
      <w:jc w:val="both"/>
    </w:pPr>
    <w:rPr>
      <w:sz w:val="28"/>
      <w:lang w:val="uk-UA"/>
    </w:rPr>
  </w:style>
  <w:style w:type="paragraph" w:styleId="2">
    <w:name w:val="Body Text Indent 2"/>
    <w:basedOn w:val="a"/>
    <w:link w:val="20"/>
    <w:unhideWhenUsed/>
    <w:rsid w:val="000A364F"/>
    <w:pPr>
      <w:spacing w:after="120" w:line="480" w:lineRule="auto"/>
      <w:ind w:left="283"/>
    </w:pPr>
  </w:style>
  <w:style w:type="character" w:customStyle="1" w:styleId="20">
    <w:name w:val="Основной текст с отступом 2 Знак"/>
    <w:basedOn w:val="a0"/>
    <w:link w:val="2"/>
    <w:rsid w:val="000A364F"/>
    <w:rPr>
      <w:sz w:val="24"/>
      <w:szCs w:val="24"/>
    </w:rPr>
  </w:style>
  <w:style w:type="paragraph" w:styleId="a6">
    <w:name w:val="Body Text Indent"/>
    <w:basedOn w:val="a"/>
    <w:link w:val="a7"/>
    <w:unhideWhenUsed/>
    <w:rsid w:val="00666645"/>
    <w:pPr>
      <w:spacing w:after="120"/>
      <w:ind w:left="283"/>
    </w:pPr>
  </w:style>
  <w:style w:type="character" w:customStyle="1" w:styleId="a7">
    <w:name w:val="Основной текст с отступом Знак"/>
    <w:basedOn w:val="a0"/>
    <w:link w:val="a6"/>
    <w:rsid w:val="00666645"/>
    <w:rPr>
      <w:sz w:val="24"/>
      <w:szCs w:val="24"/>
    </w:rPr>
  </w:style>
  <w:style w:type="paragraph" w:styleId="a8">
    <w:name w:val="Balloon Text"/>
    <w:basedOn w:val="a"/>
    <w:semiHidden/>
    <w:rsid w:val="00A01C5D"/>
    <w:rPr>
      <w:rFonts w:ascii="Tahoma" w:hAnsi="Tahoma" w:cs="Tahoma"/>
      <w:sz w:val="16"/>
      <w:szCs w:val="16"/>
    </w:rPr>
  </w:style>
  <w:style w:type="paragraph" w:styleId="a9">
    <w:name w:val="header"/>
    <w:basedOn w:val="a"/>
    <w:rsid w:val="00E02F44"/>
    <w:pPr>
      <w:tabs>
        <w:tab w:val="center" w:pos="4677"/>
        <w:tab w:val="right" w:pos="9355"/>
      </w:tabs>
    </w:pPr>
  </w:style>
  <w:style w:type="character" w:styleId="aa">
    <w:name w:val="page number"/>
    <w:basedOn w:val="a0"/>
    <w:rsid w:val="00E02F44"/>
  </w:style>
  <w:style w:type="paragraph" w:styleId="ab">
    <w:name w:val="footer"/>
    <w:basedOn w:val="a"/>
    <w:rsid w:val="00142DF8"/>
    <w:pPr>
      <w:tabs>
        <w:tab w:val="center" w:pos="4677"/>
        <w:tab w:val="right" w:pos="9355"/>
      </w:tabs>
    </w:pPr>
  </w:style>
  <w:style w:type="character" w:customStyle="1" w:styleId="a5">
    <w:name w:val="Основной текст Знак"/>
    <w:basedOn w:val="a0"/>
    <w:link w:val="a4"/>
    <w:semiHidden/>
    <w:rsid w:val="00EB3E49"/>
    <w:rPr>
      <w:sz w:val="28"/>
      <w:szCs w:val="24"/>
      <w:lang w:eastAsia="ru-RU"/>
    </w:rPr>
  </w:style>
  <w:style w:type="paragraph" w:styleId="ac">
    <w:name w:val="Normal (Web)"/>
    <w:basedOn w:val="a"/>
    <w:uiPriority w:val="99"/>
    <w:unhideWhenUsed/>
    <w:rsid w:val="00360C75"/>
    <w:pPr>
      <w:spacing w:before="100" w:beforeAutospacing="1" w:after="100" w:afterAutospacing="1"/>
    </w:pPr>
  </w:style>
  <w:style w:type="paragraph" w:customStyle="1" w:styleId="justifyfull">
    <w:name w:val="justifyfull"/>
    <w:basedOn w:val="a"/>
    <w:rsid w:val="00D5486C"/>
    <w:pPr>
      <w:spacing w:before="100" w:beforeAutospacing="1" w:after="100" w:afterAutospacing="1"/>
    </w:pPr>
  </w:style>
  <w:style w:type="paragraph" w:customStyle="1" w:styleId="21">
    <w:name w:val="Основной текст 21"/>
    <w:basedOn w:val="a"/>
    <w:rsid w:val="00D5486C"/>
    <w:pPr>
      <w:suppressAutoHyphens/>
      <w:spacing w:after="120" w:line="480" w:lineRule="auto"/>
    </w:pPr>
    <w:rPr>
      <w:kern w:val="2"/>
      <w:sz w:val="20"/>
      <w:szCs w:val="20"/>
      <w:lang w:val="uk-UA" w:eastAsia="ar-SA"/>
    </w:rPr>
  </w:style>
  <w:style w:type="paragraph" w:styleId="ad">
    <w:name w:val="List Paragraph"/>
    <w:basedOn w:val="a"/>
    <w:uiPriority w:val="34"/>
    <w:qFormat/>
    <w:rsid w:val="00D5486C"/>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213">
    <w:name w:val="Основной текст 213"/>
    <w:basedOn w:val="a"/>
    <w:uiPriority w:val="99"/>
    <w:rsid w:val="00612A5A"/>
    <w:pPr>
      <w:suppressAutoHyphens/>
      <w:spacing w:after="120" w:line="480" w:lineRule="auto"/>
    </w:pPr>
    <w:rPr>
      <w:kern w:val="2"/>
      <w:sz w:val="20"/>
      <w:szCs w:val="20"/>
      <w:lang w:val="uk-UA" w:eastAsia="ar-SA"/>
    </w:rPr>
  </w:style>
</w:styles>
</file>

<file path=word/webSettings.xml><?xml version="1.0" encoding="utf-8"?>
<w:webSettings xmlns:r="http://schemas.openxmlformats.org/officeDocument/2006/relationships" xmlns:w="http://schemas.openxmlformats.org/wordprocessingml/2006/main">
  <w:divs>
    <w:div w:id="321661957">
      <w:bodyDiv w:val="1"/>
      <w:marLeft w:val="0"/>
      <w:marRight w:val="0"/>
      <w:marTop w:val="0"/>
      <w:marBottom w:val="0"/>
      <w:divBdr>
        <w:top w:val="none" w:sz="0" w:space="0" w:color="auto"/>
        <w:left w:val="none" w:sz="0" w:space="0" w:color="auto"/>
        <w:bottom w:val="none" w:sz="0" w:space="0" w:color="auto"/>
        <w:right w:val="none" w:sz="0" w:space="0" w:color="auto"/>
      </w:divBdr>
    </w:div>
    <w:div w:id="815143326">
      <w:bodyDiv w:val="1"/>
      <w:marLeft w:val="0"/>
      <w:marRight w:val="0"/>
      <w:marTop w:val="0"/>
      <w:marBottom w:val="0"/>
      <w:divBdr>
        <w:top w:val="none" w:sz="0" w:space="0" w:color="auto"/>
        <w:left w:val="none" w:sz="0" w:space="0" w:color="auto"/>
        <w:bottom w:val="none" w:sz="0" w:space="0" w:color="auto"/>
        <w:right w:val="none" w:sz="0" w:space="0" w:color="auto"/>
      </w:divBdr>
    </w:div>
    <w:div w:id="1383480566">
      <w:bodyDiv w:val="1"/>
      <w:marLeft w:val="0"/>
      <w:marRight w:val="0"/>
      <w:marTop w:val="0"/>
      <w:marBottom w:val="0"/>
      <w:divBdr>
        <w:top w:val="none" w:sz="0" w:space="0" w:color="auto"/>
        <w:left w:val="none" w:sz="0" w:space="0" w:color="auto"/>
        <w:bottom w:val="none" w:sz="0" w:space="0" w:color="auto"/>
        <w:right w:val="none" w:sz="0" w:space="0" w:color="auto"/>
      </w:divBdr>
    </w:div>
    <w:div w:id="1545562070">
      <w:bodyDiv w:val="1"/>
      <w:marLeft w:val="0"/>
      <w:marRight w:val="0"/>
      <w:marTop w:val="0"/>
      <w:marBottom w:val="0"/>
      <w:divBdr>
        <w:top w:val="none" w:sz="0" w:space="0" w:color="auto"/>
        <w:left w:val="none" w:sz="0" w:space="0" w:color="auto"/>
        <w:bottom w:val="none" w:sz="0" w:space="0" w:color="auto"/>
        <w:right w:val="none" w:sz="0" w:space="0" w:color="auto"/>
      </w:divBdr>
    </w:div>
    <w:div w:id="189846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1057;&#1077;&#1090;&#1077;&#1074;&#1072;&#1103;\&#1047;&#1040;&#1052;&#1056;&#1048;&#1050;&#1048;&#1058;\&#1044;&#1030;&#1040;&#1043;&#1056;&#1040;&#1052;&#1048;\&#1044;&#1110;&#1072;&#1075;&#1088;&#1072;&#1084;&#1080;%20&#1092;&#1072;&#1082;&#1090;%20&#1079;&#1072;%20&#1030;%20&#1087;&#1110;&#1074;&#1088;&#1110;&#1095;&#1095;&#1103;%202017.xls"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1057;&#1077;&#1090;&#1077;&#1074;&#1072;&#1103;\&#1047;&#1040;&#1052;&#1056;&#1048;&#1050;&#1048;&#1058;\&#1044;&#1030;&#1040;&#1043;&#1056;&#1040;&#1052;&#1048;\&#1044;&#1110;&#1072;&#1075;&#1088;&#1072;&#1084;&#1080;%20&#1092;&#1072;&#1082;&#1090;%20&#1079;&#1072;%20&#1030;%20&#1087;&#1110;&#1074;&#1088;&#1110;&#1095;&#1095;&#1103;%202017.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057;&#1077;&#1090;&#1077;&#1074;&#1072;&#1103;\&#1047;&#1040;&#1052;&#1056;&#1048;&#1050;&#1048;&#1058;\&#1044;&#1030;&#1040;&#1043;&#1056;&#1040;&#1052;&#1048;\&#1057;&#1090;&#1088;&#1091;&#1082;&#1090;&#1091;&#1088;&#1072;%20&#1076;&#1086;&#1093;&#1086;&#1076;&#1110;&#1074;%20&#1057;&#1060;%20&#1079;&#1072;%20&#1030;%20&#1087;&#1110;&#1074;&#1088;&#1110;&#1095;&#1095;&#1103;%202017.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10.117.1.2\manager\BUDZHET\2017\&#1044;&#1086;&#1074;&#1110;&#1076;&#1082;&#1080;%20&#1087;&#1088;&#1086;%20&#1074;&#1080;&#1082;&#1086;&#1085;&#1072;&#1085;&#1085;&#1103;%20&#1073;&#1102;&#1076;&#1078;&#1077;&#1090;&#1091;\1%20&#1087;&#1110;&#1074;&#1088;&#1110;&#1095;&#1095;&#1103;%202017\&#1044;&#1110;&#1072;&#1075;&#1088;&#1072;&#1084;&#1080;%20&#1079;&#1072;%201%20&#1087;&#1110;&#1074;&#1088;&#1110;&#1095;&#1095;&#1103;%20201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10.117.1.2\manager\BUDZHET\2017\&#1044;&#1086;&#1074;&#1110;&#1076;&#1082;&#1080;%20&#1087;&#1088;&#1086;%20&#1074;&#1080;&#1082;&#1086;&#1085;&#1072;&#1085;&#1085;&#1103;%20&#1073;&#1102;&#1076;&#1078;&#1077;&#1090;&#1091;\1%20&#1087;&#1110;&#1074;&#1088;&#1110;&#1095;&#1095;&#1103;%202017\&#1044;&#1110;&#1072;&#1075;&#1088;&#1072;&#1084;&#1080;%20&#1079;&#1072;%201%20&#1087;&#1110;&#1074;&#1088;&#1110;&#1095;&#1095;&#1103;%20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rotY val="150"/>
      <c:perspective val="0"/>
    </c:view3D>
    <c:plotArea>
      <c:layout>
        <c:manualLayout>
          <c:layoutTarget val="inner"/>
          <c:xMode val="edge"/>
          <c:yMode val="edge"/>
          <c:x val="0.10634920634920636"/>
          <c:y val="0.22849734287456097"/>
          <c:w val="0.85873015873015868"/>
          <c:h val="0.7288375237491217"/>
        </c:manualLayout>
      </c:layout>
      <c:pie3DChart>
        <c:varyColors val="1"/>
        <c:ser>
          <c:idx val="0"/>
          <c:order val="0"/>
          <c:tx>
            <c:strRef>
              <c:f>'Структура доходів за 1 півр2017'!$B$5</c:f>
              <c:strCache>
                <c:ptCount val="1"/>
                <c:pt idx="0">
                  <c:v>Структура доходної частини бюджету за 1 півріччя 2017 року, млн.грн.</c:v>
                </c:pt>
              </c:strCache>
            </c:strRef>
          </c:tx>
          <c:explosion val="32"/>
          <c:dPt>
            <c:idx val="0"/>
            <c:spPr>
              <a:solidFill>
                <a:srgbClr val="F07B46"/>
              </a:solidFill>
            </c:spPr>
          </c:dPt>
          <c:dPt>
            <c:idx val="1"/>
            <c:explosion val="33"/>
            <c:spPr>
              <a:solidFill>
                <a:srgbClr val="82BE74"/>
              </a:solidFill>
            </c:spPr>
          </c:dPt>
          <c:dPt>
            <c:idx val="2"/>
            <c:explosion val="18"/>
            <c:spPr>
              <a:solidFill>
                <a:schemeClr val="tx2">
                  <a:lumMod val="60000"/>
                  <a:lumOff val="40000"/>
                  <a:alpha val="94000"/>
                </a:schemeClr>
              </a:solidFill>
            </c:spPr>
          </c:dPt>
          <c:dLbls>
            <c:dLbl>
              <c:idx val="0"/>
              <c:layout>
                <c:manualLayout>
                  <c:x val="0.15441394825646976"/>
                  <c:y val="-0.18360469404134441"/>
                </c:manualLayout>
              </c:layout>
              <c:dLblPos val="bestFit"/>
              <c:showVal val="1"/>
            </c:dLbl>
            <c:dLbl>
              <c:idx val="1"/>
              <c:layout>
                <c:manualLayout>
                  <c:x val="7.1575678040244964E-2"/>
                  <c:y val="0.16179236892909085"/>
                </c:manualLayout>
              </c:layout>
              <c:dLblPos val="bestFit"/>
              <c:showVal val="1"/>
            </c:dLbl>
            <c:dLbl>
              <c:idx val="2"/>
              <c:layout>
                <c:manualLayout>
                  <c:x val="-0.17179540057492995"/>
                  <c:y val="6.9125615496410109E-2"/>
                </c:manualLayout>
              </c:layout>
              <c:dLblPos val="bestFit"/>
              <c:showVal val="1"/>
            </c:dLbl>
            <c:spPr>
              <a:solidFill>
                <a:schemeClr val="accent3">
                  <a:lumMod val="20000"/>
                  <a:lumOff val="80000"/>
                </a:schemeClr>
              </a:solidFill>
            </c:spPr>
            <c:txPr>
              <a:bodyPr/>
              <a:lstStyle/>
              <a:p>
                <a:pPr>
                  <a:defRPr sz="1200" b="1"/>
                </a:pPr>
                <a:endParaRPr lang="ru-RU"/>
              </a:p>
            </c:txPr>
            <c:showVal val="1"/>
            <c:showLeaderLines val="1"/>
          </c:dLbls>
          <c:cat>
            <c:strRef>
              <c:f>'Структура доходів за 1 півр2017'!$A$6:$A$8</c:f>
              <c:strCache>
                <c:ptCount val="3"/>
                <c:pt idx="0">
                  <c:v>Доходи загального фонду</c:v>
                </c:pt>
                <c:pt idx="1">
                  <c:v>Доходи спеціального фонду</c:v>
                </c:pt>
                <c:pt idx="2">
                  <c:v>Офіційні трансферти</c:v>
                </c:pt>
              </c:strCache>
            </c:strRef>
          </c:cat>
          <c:val>
            <c:numRef>
              <c:f>'Структура доходів за 1 півр2017'!$B$6:$B$8</c:f>
              <c:numCache>
                <c:formatCode>#,##0.0</c:formatCode>
                <c:ptCount val="3"/>
                <c:pt idx="0">
                  <c:v>2073.8705147800129</c:v>
                </c:pt>
                <c:pt idx="1">
                  <c:v>125.42996774000002</c:v>
                </c:pt>
                <c:pt idx="2">
                  <c:v>1657.4667249500001</c:v>
                </c:pt>
              </c:numCache>
            </c:numRef>
          </c:val>
        </c:ser>
      </c:pie3DChart>
      <c:spPr>
        <a:noFill/>
        <a:ln w="25400">
          <a:noFill/>
        </a:ln>
      </c:spPr>
    </c:plotArea>
    <c:plotVisOnly val="1"/>
    <c:dispBlanksAs val="zero"/>
  </c:chart>
  <c:spPr>
    <a:ln>
      <a:noFill/>
    </a:ln>
    <a:scene3d>
      <a:camera prst="orthographicFront"/>
      <a:lightRig rig="threePt" dir="t"/>
    </a:scene3d>
    <a:sp3d/>
  </c:sp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rotY val="200"/>
      <c:perspective val="30"/>
    </c:view3D>
    <c:plotArea>
      <c:layout>
        <c:manualLayout>
          <c:layoutTarget val="inner"/>
          <c:xMode val="edge"/>
          <c:yMode val="edge"/>
          <c:x val="0.11393050460323539"/>
          <c:y val="0.1961024762256654"/>
          <c:w val="0.74976006175886944"/>
          <c:h val="0.67074662542182295"/>
        </c:manualLayout>
      </c:layout>
      <c:pie3DChart>
        <c:varyColors val="1"/>
        <c:ser>
          <c:idx val="0"/>
          <c:order val="0"/>
          <c:tx>
            <c:strRef>
              <c:f>'Структура ЗФ І півр 2017'!$C$4</c:f>
              <c:strCache>
                <c:ptCount val="1"/>
                <c:pt idx="0">
                  <c:v>Факт за І півріччя 2017 року</c:v>
                </c:pt>
              </c:strCache>
            </c:strRef>
          </c:tx>
          <c:explosion val="28"/>
          <c:dPt>
            <c:idx val="1"/>
            <c:explosion val="13"/>
          </c:dPt>
          <c:dPt>
            <c:idx val="2"/>
            <c:explosion val="49"/>
          </c:dPt>
          <c:dPt>
            <c:idx val="3"/>
            <c:explosion val="41"/>
          </c:dPt>
          <c:dPt>
            <c:idx val="5"/>
            <c:explosion val="50"/>
          </c:dPt>
          <c:dPt>
            <c:idx val="6"/>
            <c:explosion val="37"/>
          </c:dPt>
          <c:dPt>
            <c:idx val="7"/>
            <c:explosion val="18"/>
          </c:dPt>
          <c:dPt>
            <c:idx val="8"/>
            <c:explosion val="4"/>
          </c:dPt>
          <c:dLbls>
            <c:dLbl>
              <c:idx val="0"/>
              <c:layout>
                <c:manualLayout>
                  <c:x val="-7.355927156825399E-3"/>
                  <c:y val="-4.2215977027699823E-2"/>
                </c:manualLayout>
              </c:layout>
              <c:tx>
                <c:rich>
                  <a:bodyPr/>
                  <a:lstStyle/>
                  <a:p>
                    <a:r>
                      <a:rPr lang="ru-RU" sz="900" b="0">
                        <a:latin typeface="Times New Roman" pitchFamily="18" charset="0"/>
                        <a:cs typeface="Times New Roman" pitchFamily="18" charset="0"/>
                      </a:rPr>
                      <a:t>П</a:t>
                    </a:r>
                    <a:r>
                      <a:rPr lang="ru-RU"/>
                      <a:t>одаток на доходи фізичних осіб
1</a:t>
                    </a:r>
                    <a:r>
                      <a:rPr lang="ru-RU" baseline="0"/>
                      <a:t> 161,7</a:t>
                    </a:r>
                    <a:r>
                      <a:rPr lang="ru-RU"/>
                      <a:t> млн.грн.
56,0%</a:t>
                    </a:r>
                  </a:p>
                </c:rich>
              </c:tx>
              <c:dLblPos val="bestFit"/>
            </c:dLbl>
            <c:dLbl>
              <c:idx val="1"/>
              <c:layout>
                <c:manualLayout>
                  <c:x val="-0.13680148474911194"/>
                  <c:y val="-8.1684818371891774E-2"/>
                </c:manualLayout>
              </c:layout>
              <c:tx>
                <c:rich>
                  <a:bodyPr/>
                  <a:lstStyle/>
                  <a:p>
                    <a:r>
                      <a:rPr lang="ru-RU" sz="900" b="0">
                        <a:latin typeface="Times New Roman" pitchFamily="18" charset="0"/>
                        <a:cs typeface="Times New Roman" pitchFamily="18" charset="0"/>
                      </a:rPr>
                      <a:t>П</a:t>
                    </a:r>
                    <a:r>
                      <a:rPr lang="ru-RU"/>
                      <a:t>одаток на прибуток 
</a:t>
                    </a:r>
                    <a:r>
                      <a:rPr lang="ru-RU" b="0"/>
                      <a:t>33,1 </a:t>
                    </a:r>
                    <a:r>
                      <a:rPr lang="ru-RU" sz="900" b="0" i="0" u="none" strike="noStrike" baseline="0"/>
                      <a:t>млн.грн.</a:t>
                    </a:r>
                    <a:r>
                      <a:rPr lang="ru-RU"/>
                      <a:t>
1,6%</a:t>
                    </a:r>
                  </a:p>
                </c:rich>
              </c:tx>
              <c:dLblPos val="bestFit"/>
            </c:dLbl>
            <c:dLbl>
              <c:idx val="2"/>
              <c:layout>
                <c:manualLayout>
                  <c:x val="9.5981996583586707E-2"/>
                  <c:y val="-5.0561195264265252E-2"/>
                </c:manualLayout>
              </c:layout>
              <c:tx>
                <c:rich>
                  <a:bodyPr/>
                  <a:lstStyle/>
                  <a:p>
                    <a:r>
                      <a:rPr lang="ru-RU" sz="900" b="0">
                        <a:latin typeface="Times New Roman" pitchFamily="18" charset="0"/>
                        <a:cs typeface="Times New Roman" pitchFamily="18" charset="0"/>
                      </a:rPr>
                      <a:t>Ч</a:t>
                    </a:r>
                    <a:r>
                      <a:rPr lang="ru-RU"/>
                      <a:t>астина чистого прибутку
3,8 </a:t>
                    </a:r>
                    <a:r>
                      <a:rPr lang="ru-RU" sz="900" b="0" i="0" u="none" strike="noStrike" baseline="0"/>
                      <a:t>млн.грн.</a:t>
                    </a:r>
                    <a:r>
                      <a:rPr lang="ru-RU"/>
                      <a:t>
0,2%</a:t>
                    </a:r>
                  </a:p>
                </c:rich>
              </c:tx>
              <c:dLblPos val="bestFit"/>
            </c:dLbl>
            <c:dLbl>
              <c:idx val="3"/>
              <c:layout>
                <c:manualLayout>
                  <c:x val="7.335892129845932E-2"/>
                  <c:y val="9.5349859425926983E-2"/>
                </c:manualLayout>
              </c:layout>
              <c:tx>
                <c:rich>
                  <a:bodyPr/>
                  <a:lstStyle/>
                  <a:p>
                    <a:r>
                      <a:rPr lang="ru-RU" sz="900" b="0">
                        <a:latin typeface="Times New Roman" pitchFamily="18" charset="0"/>
                        <a:cs typeface="Times New Roman" pitchFamily="18" charset="0"/>
                      </a:rPr>
                      <a:t>А</a:t>
                    </a:r>
                    <a:r>
                      <a:rPr lang="ru-RU"/>
                      <a:t>кцизний податок 
132,0 </a:t>
                    </a:r>
                    <a:r>
                      <a:rPr lang="ru-RU" sz="900" b="0" i="0" u="none" strike="noStrike" baseline="0"/>
                      <a:t>млн.грн.</a:t>
                    </a:r>
                    <a:r>
                      <a:rPr lang="ru-RU"/>
                      <a:t>
6,4%</a:t>
                    </a:r>
                  </a:p>
                </c:rich>
              </c:tx>
              <c:dLblPos val="bestFit"/>
            </c:dLbl>
            <c:dLbl>
              <c:idx val="4"/>
              <c:layout>
                <c:manualLayout>
                  <c:x val="4.0078715104367606E-2"/>
                  <c:y val="6.4221374637411552E-2"/>
                </c:manualLayout>
              </c:layout>
              <c:tx>
                <c:rich>
                  <a:bodyPr/>
                  <a:lstStyle/>
                  <a:p>
                    <a:r>
                      <a:rPr lang="ru-RU" sz="900" b="0">
                        <a:latin typeface="Times New Roman" pitchFamily="18" charset="0"/>
                        <a:cs typeface="Times New Roman" pitchFamily="18" charset="0"/>
                      </a:rPr>
                      <a:t>М</a:t>
                    </a:r>
                    <a:r>
                      <a:rPr lang="ru-RU"/>
                      <a:t>ісцеві податки і збори
</a:t>
                    </a:r>
                    <a:r>
                      <a:rPr lang="ru-RU" b="0"/>
                      <a:t>681,7 </a:t>
                    </a:r>
                    <a:r>
                      <a:rPr lang="ru-RU" sz="900" b="0" i="0" u="none" strike="noStrike" baseline="0"/>
                      <a:t>млн.грн.</a:t>
                    </a:r>
                    <a:r>
                      <a:rPr lang="ru-RU"/>
                      <a:t>
32,9%</a:t>
                    </a:r>
                  </a:p>
                </c:rich>
              </c:tx>
              <c:dLblPos val="bestFit"/>
            </c:dLbl>
            <c:dLbl>
              <c:idx val="5"/>
              <c:layout>
                <c:manualLayout>
                  <c:x val="0.19404838769509453"/>
                  <c:y val="-2.7917487551952082E-3"/>
                </c:manualLayout>
              </c:layout>
              <c:tx>
                <c:rich>
                  <a:bodyPr/>
                  <a:lstStyle/>
                  <a:p>
                    <a:r>
                      <a:rPr lang="ru-RU" sz="900" b="0">
                        <a:latin typeface="Times New Roman" pitchFamily="18" charset="0"/>
                        <a:cs typeface="Times New Roman" pitchFamily="18" charset="0"/>
                      </a:rPr>
                      <a:t>П</a:t>
                    </a:r>
                    <a:r>
                      <a:rPr lang="ru-RU"/>
                      <a:t>лата за надання інших адмінпослуг
13,3 </a:t>
                    </a:r>
                    <a:r>
                      <a:rPr lang="ru-RU" sz="900" b="0" i="0" u="none" strike="noStrike" baseline="0"/>
                      <a:t>млн.грн.</a:t>
                    </a:r>
                    <a:r>
                      <a:rPr lang="ru-RU"/>
                      <a:t>
0,6%</a:t>
                    </a:r>
                  </a:p>
                </c:rich>
              </c:tx>
              <c:dLblPos val="bestFit"/>
            </c:dLbl>
            <c:dLbl>
              <c:idx val="6"/>
              <c:layout>
                <c:manualLayout>
                  <c:x val="-1.9634489857717007E-2"/>
                  <c:y val="5.4018708320023361E-2"/>
                </c:manualLayout>
              </c:layout>
              <c:tx>
                <c:rich>
                  <a:bodyPr/>
                  <a:lstStyle/>
                  <a:p>
                    <a:r>
                      <a:rPr lang="ru-RU" sz="900" b="0">
                        <a:latin typeface="Times New Roman" pitchFamily="18" charset="0"/>
                        <a:cs typeface="Times New Roman" pitchFamily="18" charset="0"/>
                      </a:rPr>
                      <a:t>П</a:t>
                    </a:r>
                    <a:r>
                      <a:rPr lang="ru-RU"/>
                      <a:t>лата за оренду МК
9,8 </a:t>
                    </a:r>
                    <a:r>
                      <a:rPr lang="ru-RU" sz="900" b="0" i="0" u="none" strike="noStrike" baseline="0"/>
                      <a:t>млн.грн.</a:t>
                    </a:r>
                    <a:r>
                      <a:rPr lang="ru-RU"/>
                      <a:t>
0,5%</a:t>
                    </a:r>
                  </a:p>
                </c:rich>
              </c:tx>
              <c:dLblPos val="bestFit"/>
            </c:dLbl>
            <c:dLbl>
              <c:idx val="7"/>
              <c:layout>
                <c:manualLayout>
                  <c:x val="-0.17895037702946581"/>
                  <c:y val="-4.1894248145340283E-2"/>
                </c:manualLayout>
              </c:layout>
              <c:tx>
                <c:rich>
                  <a:bodyPr/>
                  <a:lstStyle/>
                  <a:p>
                    <a:r>
                      <a:rPr lang="ru-RU" sz="900" b="0">
                        <a:latin typeface="Times New Roman" pitchFamily="18" charset="0"/>
                        <a:cs typeface="Times New Roman" pitchFamily="18" charset="0"/>
                      </a:rPr>
                      <a:t>П</a:t>
                    </a:r>
                    <a:r>
                      <a:rPr lang="ru-RU"/>
                      <a:t>лата за розміщення тимчасово вільних коштів
29,9 </a:t>
                    </a:r>
                    <a:r>
                      <a:rPr lang="ru-RU" sz="900" b="0" i="0" u="none" strike="noStrike" baseline="0"/>
                      <a:t>млн.грн.</a:t>
                    </a:r>
                    <a:r>
                      <a:rPr lang="ru-RU"/>
                      <a:t>
1,4%</a:t>
                    </a:r>
                  </a:p>
                </c:rich>
              </c:tx>
              <c:dLblPos val="bestFit"/>
            </c:dLbl>
            <c:dLbl>
              <c:idx val="8"/>
              <c:layout>
                <c:manualLayout>
                  <c:x val="-0.18604908450875712"/>
                  <c:y val="-0.13888106412471288"/>
                </c:manualLayout>
              </c:layout>
              <c:tx>
                <c:rich>
                  <a:bodyPr/>
                  <a:lstStyle/>
                  <a:p>
                    <a:r>
                      <a:rPr lang="ru-RU" sz="900" b="0">
                        <a:latin typeface="Times New Roman" pitchFamily="18" charset="0"/>
                        <a:cs typeface="Times New Roman" pitchFamily="18" charset="0"/>
                      </a:rPr>
                      <a:t>І</a:t>
                    </a:r>
                    <a:r>
                      <a:rPr lang="ru-RU"/>
                      <a:t>нші
8,6 </a:t>
                    </a:r>
                    <a:r>
                      <a:rPr lang="ru-RU" sz="900" b="0" i="0" u="none" strike="noStrike" baseline="0"/>
                      <a:t>млн.грн.</a:t>
                    </a:r>
                    <a:r>
                      <a:rPr lang="ru-RU"/>
                      <a:t>
0,4%</a:t>
                    </a:r>
                  </a:p>
                </c:rich>
              </c:tx>
              <c:dLblPos val="bestFit"/>
            </c:dLbl>
            <c:txPr>
              <a:bodyPr/>
              <a:lstStyle/>
              <a:p>
                <a:pPr>
                  <a:defRPr sz="900" b="0">
                    <a:latin typeface="Times New Roman" pitchFamily="18" charset="0"/>
                    <a:cs typeface="Times New Roman" pitchFamily="18" charset="0"/>
                  </a:defRPr>
                </a:pPr>
                <a:endParaRPr lang="ru-RU"/>
              </a:p>
            </c:txPr>
            <c:showVal val="1"/>
            <c:showCatName val="1"/>
            <c:showPercent val="1"/>
            <c:separator>
</c:separator>
            <c:showLeaderLines val="1"/>
          </c:dLbls>
          <c:cat>
            <c:strRef>
              <c:f>'Структура ЗФ І півр 2017'!$B$5:$B$13</c:f>
              <c:strCache>
                <c:ptCount val="9"/>
                <c:pt idx="0">
                  <c:v>Податок на доходи фізичних осіб</c:v>
                </c:pt>
                <c:pt idx="1">
                  <c:v>Податок на прибуток </c:v>
                </c:pt>
                <c:pt idx="2">
                  <c:v>Частина чистого прибутку</c:v>
                </c:pt>
                <c:pt idx="3">
                  <c:v>Акцизний податок </c:v>
                </c:pt>
                <c:pt idx="4">
                  <c:v>Місцеві податки і збори</c:v>
                </c:pt>
                <c:pt idx="5">
                  <c:v>Плата за надання інших адмінпослуг</c:v>
                </c:pt>
                <c:pt idx="6">
                  <c:v>Плата за оренду МК</c:v>
                </c:pt>
                <c:pt idx="7">
                  <c:v>Плата за розміщення тимчасово вільних коштів</c:v>
                </c:pt>
                <c:pt idx="8">
                  <c:v>Інші</c:v>
                </c:pt>
              </c:strCache>
            </c:strRef>
          </c:cat>
          <c:val>
            <c:numRef>
              <c:f>'Структура ЗФ І півр 2017'!$C$5:$C$13</c:f>
              <c:numCache>
                <c:formatCode>#,##0.0</c:formatCode>
                <c:ptCount val="9"/>
                <c:pt idx="0">
                  <c:v>1161.6560054700001</c:v>
                </c:pt>
                <c:pt idx="1">
                  <c:v>33.118176340000289</c:v>
                </c:pt>
                <c:pt idx="2">
                  <c:v>3.7587059699999998</c:v>
                </c:pt>
                <c:pt idx="3">
                  <c:v>132.04032375</c:v>
                </c:pt>
                <c:pt idx="4">
                  <c:v>681.72547422000355</c:v>
                </c:pt>
                <c:pt idx="5">
                  <c:v>13.347489860000024</c:v>
                </c:pt>
                <c:pt idx="6">
                  <c:v>9.8472291799999994</c:v>
                </c:pt>
                <c:pt idx="7">
                  <c:v>29.942203939999825</c:v>
                </c:pt>
                <c:pt idx="8">
                  <c:v>8.4349060500000004</c:v>
                </c:pt>
              </c:numCache>
            </c:numRef>
          </c:val>
        </c:ser>
      </c:pie3DChart>
      <c:spPr>
        <a:noFill/>
        <a:ln w="25400">
          <a:noFill/>
        </a:ln>
      </c:spPr>
    </c:plotArea>
    <c:plotVisOnly val="1"/>
    <c:dispBlanksAs val="zero"/>
  </c:chart>
  <c:spPr>
    <a:ln>
      <a:noFill/>
    </a:ln>
  </c:sp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300" b="1" i="0" u="none" strike="noStrike" baseline="0">
                <a:solidFill>
                  <a:srgbClr val="000000"/>
                </a:solidFill>
                <a:latin typeface="Times New Roman"/>
                <a:ea typeface="Times New Roman"/>
                <a:cs typeface="Times New Roman"/>
              </a:defRPr>
            </a:pPr>
            <a:r>
              <a:rPr lang="ru-RU" sz="1300" b="1"/>
              <a:t>Структура доходів спеціального фонду бюджету м.Запоріжжя за І півріччя 2017 року </a:t>
            </a:r>
          </a:p>
        </c:rich>
      </c:tx>
      <c:layout>
        <c:manualLayout>
          <c:xMode val="edge"/>
          <c:yMode val="edge"/>
          <c:x val="0.10316266707590441"/>
          <c:y val="2.1896587016744243E-2"/>
        </c:manualLayout>
      </c:layout>
      <c:spPr>
        <a:noFill/>
        <a:ln w="25400">
          <a:noFill/>
        </a:ln>
      </c:spPr>
    </c:title>
    <c:view3D>
      <c:rotX val="30"/>
      <c:rotY val="200"/>
      <c:perspective val="0"/>
    </c:view3D>
    <c:plotArea>
      <c:layout>
        <c:manualLayout>
          <c:layoutTarget val="inner"/>
          <c:xMode val="edge"/>
          <c:yMode val="edge"/>
          <c:x val="5.6979270914793122E-3"/>
          <c:y val="0.18141174701623608"/>
          <c:w val="0.99430207290852068"/>
          <c:h val="0.54596118612796429"/>
        </c:manualLayout>
      </c:layout>
      <c:pie3DChart>
        <c:varyColors val="1"/>
        <c:ser>
          <c:idx val="0"/>
          <c:order val="0"/>
          <c:tx>
            <c:strRef>
              <c:f>'структура СФ за 1 півр 2017 '!$C$3</c:f>
              <c:strCache>
                <c:ptCount val="1"/>
                <c:pt idx="0">
                  <c:v>Факт станом на 01.07.2017</c:v>
                </c:pt>
              </c:strCache>
            </c:strRef>
          </c:tx>
          <c:spPr>
            <a:solidFill>
              <a:srgbClr val="9999FF"/>
            </a:solidFill>
            <a:ln w="12700">
              <a:solidFill>
                <a:srgbClr val="000000"/>
              </a:solidFill>
              <a:prstDash val="solid"/>
            </a:ln>
          </c:spPr>
          <c:explosion val="19"/>
          <c:dPt>
            <c:idx val="0"/>
            <c:explosion val="12"/>
            <c:spPr>
              <a:solidFill>
                <a:schemeClr val="accent1">
                  <a:lumMod val="75000"/>
                </a:schemeClr>
              </a:solidFill>
              <a:ln w="12700">
                <a:solidFill>
                  <a:srgbClr val="000000"/>
                </a:solidFill>
                <a:prstDash val="solid"/>
              </a:ln>
            </c:spPr>
          </c:dPt>
          <c:dPt>
            <c:idx val="1"/>
            <c:spPr>
              <a:solidFill>
                <a:srgbClr val="FFC000"/>
              </a:solidFill>
              <a:ln w="12700">
                <a:solidFill>
                  <a:srgbClr val="000000"/>
                </a:solidFill>
                <a:prstDash val="solid"/>
              </a:ln>
            </c:spPr>
          </c:dPt>
          <c:dPt>
            <c:idx val="2"/>
            <c:explosion val="14"/>
            <c:spPr>
              <a:solidFill>
                <a:srgbClr val="FFFFCC"/>
              </a:solidFill>
              <a:ln w="12700">
                <a:solidFill>
                  <a:srgbClr val="000000"/>
                </a:solidFill>
                <a:prstDash val="solid"/>
              </a:ln>
            </c:spPr>
          </c:dPt>
          <c:dPt>
            <c:idx val="3"/>
            <c:explosion val="0"/>
            <c:spPr>
              <a:solidFill>
                <a:srgbClr val="00B050"/>
              </a:solidFill>
              <a:ln w="12700">
                <a:solidFill>
                  <a:srgbClr val="000000"/>
                </a:solidFill>
                <a:prstDash val="solid"/>
              </a:ln>
            </c:spPr>
          </c:dPt>
          <c:dPt>
            <c:idx val="4"/>
            <c:explosion val="8"/>
            <c:spPr>
              <a:solidFill>
                <a:srgbClr val="00B0F0"/>
              </a:solidFill>
              <a:ln w="12700">
                <a:solidFill>
                  <a:srgbClr val="000000"/>
                </a:solidFill>
                <a:prstDash val="solid"/>
              </a:ln>
            </c:spPr>
          </c:dPt>
          <c:dPt>
            <c:idx val="5"/>
            <c:explosion val="10"/>
          </c:dPt>
          <c:dPt>
            <c:idx val="6"/>
            <c:spPr>
              <a:solidFill>
                <a:srgbClr val="FFFF00">
                  <a:alpha val="88000"/>
                </a:srgbClr>
              </a:solidFill>
              <a:ln w="12700">
                <a:solidFill>
                  <a:srgbClr val="000000"/>
                </a:solidFill>
                <a:prstDash val="solid"/>
              </a:ln>
            </c:spPr>
          </c:dPt>
          <c:dLbls>
            <c:dLbl>
              <c:idx val="0"/>
              <c:layout>
                <c:manualLayout>
                  <c:x val="-0.16489655048561597"/>
                  <c:y val="0.13424576346302991"/>
                </c:manualLayout>
              </c:layout>
              <c:tx>
                <c:rich>
                  <a:bodyPr/>
                  <a:lstStyle/>
                  <a:p>
                    <a:r>
                      <a:rPr lang="ru-RU" sz="1000">
                        <a:latin typeface="Times New Roman" pitchFamily="18" charset="0"/>
                        <a:cs typeface="Times New Roman" pitchFamily="18" charset="0"/>
                      </a:rPr>
                      <a:t>В</a:t>
                    </a:r>
                    <a:r>
                      <a:rPr lang="ru-RU">
                        <a:latin typeface="Times New Roman" pitchFamily="18" charset="0"/>
                        <a:cs typeface="Times New Roman" pitchFamily="18" charset="0"/>
                      </a:rPr>
                      <a:t>ласні надходження бюджетних установ 
98,4 млн.грн
78,4%</a:t>
                    </a:r>
                  </a:p>
                </c:rich>
              </c:tx>
              <c:dLblPos val="bestFit"/>
            </c:dLbl>
            <c:dLbl>
              <c:idx val="1"/>
              <c:layout>
                <c:manualLayout>
                  <c:x val="0.13495449820909144"/>
                  <c:y val="-0.10544965693035599"/>
                </c:manualLayout>
              </c:layout>
              <c:tx>
                <c:rich>
                  <a:bodyPr/>
                  <a:lstStyle/>
                  <a:p>
                    <a:r>
                      <a:rPr lang="ru-RU" sz="1000">
                        <a:latin typeface="Times New Roman" pitchFamily="18" charset="0"/>
                        <a:cs typeface="Times New Roman" pitchFamily="18" charset="0"/>
                      </a:rPr>
                      <a:t>Е</a:t>
                    </a:r>
                    <a:r>
                      <a:rPr lang="ru-RU">
                        <a:latin typeface="Times New Roman" pitchFamily="18" charset="0"/>
                        <a:cs typeface="Times New Roman" pitchFamily="18" charset="0"/>
                      </a:rPr>
                      <a:t>кологічний податок
10,5 млн.грн.
8,3%</a:t>
                    </a:r>
                  </a:p>
                </c:rich>
              </c:tx>
              <c:dLblPos val="bestFit"/>
            </c:dLbl>
            <c:dLbl>
              <c:idx val="2"/>
              <c:layout>
                <c:manualLayout>
                  <c:x val="0.21004808159663982"/>
                  <c:y val="1.8674162403757185E-2"/>
                </c:manualLayout>
              </c:layout>
              <c:tx>
                <c:rich>
                  <a:bodyPr/>
                  <a:lstStyle/>
                  <a:p>
                    <a:r>
                      <a:rPr lang="ru-RU" sz="1000">
                        <a:latin typeface="Times New Roman" pitchFamily="18" charset="0"/>
                        <a:cs typeface="Times New Roman" pitchFamily="18" charset="0"/>
                      </a:rPr>
                      <a:t>К</a:t>
                    </a:r>
                    <a:r>
                      <a:rPr lang="ru-RU">
                        <a:latin typeface="Times New Roman" pitchFamily="18" charset="0"/>
                        <a:cs typeface="Times New Roman" pitchFamily="18" charset="0"/>
                      </a:rPr>
                      <a:t>ошти від відчуження майна
8,8 млн.грн.
7,0%</a:t>
                    </a:r>
                  </a:p>
                </c:rich>
              </c:tx>
              <c:dLblPos val="bestFit"/>
            </c:dLbl>
            <c:dLbl>
              <c:idx val="3"/>
              <c:layout>
                <c:manualLayout>
                  <c:x val="0.1973759262998098"/>
                  <c:y val="0.11994645902078206"/>
                </c:manualLayout>
              </c:layout>
              <c:tx>
                <c:rich>
                  <a:bodyPr/>
                  <a:lstStyle/>
                  <a:p>
                    <a:r>
                      <a:rPr lang="ru-RU" sz="1000">
                        <a:latin typeface="Times New Roman" pitchFamily="18" charset="0"/>
                        <a:cs typeface="Times New Roman" pitchFamily="18" charset="0"/>
                      </a:rPr>
                      <a:t>К</a:t>
                    </a:r>
                    <a:r>
                      <a:rPr lang="ru-RU">
                        <a:latin typeface="Times New Roman" pitchFamily="18" charset="0"/>
                        <a:cs typeface="Times New Roman" pitchFamily="18" charset="0"/>
                      </a:rPr>
                      <a:t>ошти пайової участі
2,9 млн.грн.
2,3%</a:t>
                    </a:r>
                  </a:p>
                </c:rich>
              </c:tx>
              <c:dLblPos val="bestFit"/>
            </c:dLbl>
            <c:dLbl>
              <c:idx val="4"/>
              <c:layout>
                <c:manualLayout>
                  <c:x val="9.3441012181169708E-2"/>
                  <c:y val="0.10103811302966287"/>
                </c:manualLayout>
              </c:layout>
              <c:tx>
                <c:rich>
                  <a:bodyPr/>
                  <a:lstStyle/>
                  <a:p>
                    <a:r>
                      <a:rPr lang="ru-RU" sz="1000">
                        <a:latin typeface="Times New Roman" pitchFamily="18" charset="0"/>
                        <a:cs typeface="Times New Roman" pitchFamily="18" charset="0"/>
                      </a:rPr>
                      <a:t>К</a:t>
                    </a:r>
                    <a:r>
                      <a:rPr lang="ru-RU">
                        <a:latin typeface="Times New Roman" pitchFamily="18" charset="0"/>
                        <a:cs typeface="Times New Roman" pitchFamily="18" charset="0"/>
                      </a:rPr>
                      <a:t>ошти від продажу земельних ділянок нес/г призначення
3,3 млн.грн.
2,7%</a:t>
                    </a:r>
                  </a:p>
                </c:rich>
              </c:tx>
              <c:dLblPos val="bestFit"/>
            </c:dLbl>
            <c:dLbl>
              <c:idx val="5"/>
              <c:layout>
                <c:manualLayout>
                  <c:x val="-0.14632216691346092"/>
                  <c:y val="8.4691832506098727E-2"/>
                </c:manualLayout>
              </c:layout>
              <c:tx>
                <c:rich>
                  <a:bodyPr/>
                  <a:lstStyle/>
                  <a:p>
                    <a:r>
                      <a:rPr lang="ru-RU" sz="1000"/>
                      <a:t>Ц</a:t>
                    </a:r>
                    <a:r>
                      <a:rPr lang="ru-RU"/>
                      <a:t>ільові фонди
1,0 млн.грн.
0,8%</a:t>
                    </a:r>
                  </a:p>
                </c:rich>
              </c:tx>
              <c:dLblPos val="bestFit"/>
            </c:dLbl>
            <c:dLbl>
              <c:idx val="6"/>
              <c:layout>
                <c:manualLayout>
                  <c:x val="-0.16549342798042854"/>
                  <c:y val="-9.8075512730015163E-2"/>
                </c:manualLayout>
              </c:layout>
              <c:tx>
                <c:rich>
                  <a:bodyPr/>
                  <a:lstStyle/>
                  <a:p>
                    <a:r>
                      <a:rPr lang="ru-RU" sz="1000"/>
                      <a:t>І</a:t>
                    </a:r>
                    <a:r>
                      <a:rPr lang="ru-RU"/>
                      <a:t>нші
0,5 млн.грн.
0,4%</a:t>
                    </a:r>
                  </a:p>
                </c:rich>
              </c:tx>
              <c:dLblPos val="bestFit"/>
            </c:dLbl>
            <c:numFmt formatCode="0.0%" sourceLinked="0"/>
            <c:spPr>
              <a:solidFill>
                <a:schemeClr val="bg1">
                  <a:lumMod val="95000"/>
                </a:schemeClr>
              </a:solidFill>
            </c:spPr>
            <c:txPr>
              <a:bodyPr/>
              <a:lstStyle/>
              <a:p>
                <a:pPr>
                  <a:defRPr sz="1000">
                    <a:latin typeface="Times New Roman" pitchFamily="18" charset="0"/>
                    <a:cs typeface="Times New Roman" pitchFamily="18" charset="0"/>
                  </a:defRPr>
                </a:pPr>
                <a:endParaRPr lang="ru-RU"/>
              </a:p>
            </c:txPr>
            <c:dLblPos val="bestFit"/>
            <c:showVal val="1"/>
            <c:showCatName val="1"/>
            <c:showPercent val="1"/>
            <c:separator>
</c:separator>
            <c:showLeaderLines val="1"/>
            <c:leaderLines>
              <c:spPr>
                <a:ln w="6350" cap="flat" cmpd="sng" algn="ctr">
                  <a:solidFill>
                    <a:schemeClr val="dk1"/>
                  </a:solidFill>
                  <a:prstDash val="solid"/>
                </a:ln>
                <a:effectLst>
                  <a:outerShdw blurRad="40000" dist="20000" dir="5400000" rotWithShape="0">
                    <a:srgbClr val="000000">
                      <a:alpha val="38000"/>
                    </a:srgbClr>
                  </a:outerShdw>
                </a:effectLst>
              </c:spPr>
            </c:leaderLines>
          </c:dLbls>
          <c:cat>
            <c:strRef>
              <c:f>'структура СФ за 1 півр 2017 '!$B$4:$B$10</c:f>
              <c:strCache>
                <c:ptCount val="7"/>
                <c:pt idx="0">
                  <c:v>Власні надходження бюджетних установ </c:v>
                </c:pt>
                <c:pt idx="1">
                  <c:v>Екологічний податок</c:v>
                </c:pt>
                <c:pt idx="2">
                  <c:v>Кошти від відчуження майна</c:v>
                </c:pt>
                <c:pt idx="3">
                  <c:v>Кошти пайової участі</c:v>
                </c:pt>
                <c:pt idx="4">
                  <c:v>Кошти від продажу земельних ділянок нес/г призначення</c:v>
                </c:pt>
                <c:pt idx="5">
                  <c:v>Цільові фонди</c:v>
                </c:pt>
                <c:pt idx="6">
                  <c:v>Інші</c:v>
                </c:pt>
              </c:strCache>
            </c:strRef>
          </c:cat>
          <c:val>
            <c:numRef>
              <c:f>'структура СФ за 1 півр 2017 '!$C$4:$C$10</c:f>
              <c:numCache>
                <c:formatCode>#,##0.0</c:formatCode>
                <c:ptCount val="7"/>
                <c:pt idx="0">
                  <c:v>98.37463099</c:v>
                </c:pt>
                <c:pt idx="1">
                  <c:v>10.458834410000026</c:v>
                </c:pt>
                <c:pt idx="2">
                  <c:v>8.8385122500000008</c:v>
                </c:pt>
                <c:pt idx="3">
                  <c:v>2.8671053299999998</c:v>
                </c:pt>
                <c:pt idx="4">
                  <c:v>3.3317560099999977</c:v>
                </c:pt>
                <c:pt idx="5">
                  <c:v>1.0128906099999941</c:v>
                </c:pt>
                <c:pt idx="6">
                  <c:v>0.54623813999999959</c:v>
                </c:pt>
              </c:numCache>
            </c:numRef>
          </c:val>
        </c:ser>
        <c:dLbls>
          <c:showCatName val="1"/>
          <c:showPercent val="1"/>
        </c:dLbls>
      </c:pie3DChart>
      <c:spPr>
        <a:noFill/>
        <a:ln w="25400">
          <a:noFill/>
        </a:ln>
      </c:spPr>
    </c:plotArea>
    <c:plotVisOnly val="1"/>
    <c:dispBlanksAs val="zero"/>
  </c:chart>
  <c:spPr>
    <a:solidFill>
      <a:srgbClr val="FFFFFF"/>
    </a:solidFill>
    <a:ln w="9525">
      <a:noFill/>
    </a:ln>
    <a:scene3d>
      <a:camera prst="orthographicFront"/>
      <a:lightRig rig="threePt" dir="t"/>
    </a:scene3d>
    <a:sp3d>
      <a:bevelT w="12700" h="0"/>
      <a:bevelB w="0" h="0"/>
    </a:sp3d>
  </c:spPr>
  <c:txPr>
    <a:bodyPr/>
    <a:lstStyle/>
    <a:p>
      <a:pPr>
        <a:defRPr sz="1025" b="0" i="0" u="none" strike="noStrike" baseline="0">
          <a:solidFill>
            <a:srgbClr val="000000"/>
          </a:solidFill>
          <a:latin typeface="Arial Cyr"/>
          <a:ea typeface="Arial Cyr"/>
          <a:cs typeface="Arial Cy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26"/>
  <c:chart>
    <c:view3D>
      <c:rotX val="30"/>
      <c:perspective val="30"/>
    </c:view3D>
    <c:plotArea>
      <c:layout>
        <c:manualLayout>
          <c:layoutTarget val="inner"/>
          <c:xMode val="edge"/>
          <c:yMode val="edge"/>
          <c:x val="0.19908131624127623"/>
          <c:y val="0.18545274977467871"/>
          <c:w val="0.63817036394619164"/>
          <c:h val="0.61524553966410056"/>
        </c:manualLayout>
      </c:layout>
      <c:pie3DChart>
        <c:varyColors val="1"/>
        <c:ser>
          <c:idx val="0"/>
          <c:order val="0"/>
          <c:spPr>
            <a:ln>
              <a:solidFill>
                <a:schemeClr val="accent2">
                  <a:lumMod val="50000"/>
                </a:schemeClr>
              </a:solidFill>
            </a:ln>
            <a:scene3d>
              <a:camera prst="orthographicFront"/>
              <a:lightRig rig="threePt" dir="t">
                <a:rot lat="0" lon="0" rev="1200000"/>
              </a:lightRig>
            </a:scene3d>
            <a:sp3d>
              <a:bevelT w="406400" h="368300"/>
              <a:bevelB w="57150" h="184150"/>
            </a:sp3d>
          </c:spPr>
          <c:explosion val="9"/>
          <c:dLbls>
            <c:dLbl>
              <c:idx val="0"/>
              <c:layout>
                <c:manualLayout>
                  <c:x val="3.9088340558850826E-2"/>
                  <c:y val="-2.1555903759952116E-2"/>
                </c:manualLayout>
              </c:layout>
              <c:tx>
                <c:rich>
                  <a:bodyPr/>
                  <a:lstStyle/>
                  <a:p>
                    <a:r>
                      <a:rPr lang="ru-RU"/>
                      <a:t>Освіта
1 072,1млн.грн.
30%</a:t>
                    </a:r>
                  </a:p>
                </c:rich>
              </c:tx>
              <c:showVal val="1"/>
              <c:showCatName val="1"/>
              <c:showPercent val="1"/>
              <c:separator>
</c:separator>
            </c:dLbl>
            <c:dLbl>
              <c:idx val="1"/>
              <c:layout>
                <c:manualLayout>
                  <c:x val="4.2566825724020797E-2"/>
                  <c:y val="1.5986912985658935E-2"/>
                </c:manualLayout>
              </c:layout>
              <c:tx>
                <c:rich>
                  <a:bodyPr/>
                  <a:lstStyle/>
                  <a:p>
                    <a:r>
                      <a:rPr lang="ru-RU"/>
                      <a:t>Охорона здоров'я
579,8млн.грн.
16%</a:t>
                    </a:r>
                  </a:p>
                </c:rich>
              </c:tx>
              <c:showVal val="1"/>
              <c:showCatName val="1"/>
              <c:showPercent val="1"/>
              <c:separator>
</c:separator>
            </c:dLbl>
            <c:dLbl>
              <c:idx val="2"/>
              <c:layout>
                <c:manualLayout>
                  <c:x val="0.14535858787645228"/>
                  <c:y val="3.5804359279689911E-2"/>
                </c:manualLayout>
              </c:layout>
              <c:tx>
                <c:rich>
                  <a:bodyPr/>
                  <a:lstStyle/>
                  <a:p>
                    <a:r>
                      <a:rPr lang="ru-RU"/>
                      <a:t>Культура
86,3млн.грн.
2%</a:t>
                    </a:r>
                  </a:p>
                </c:rich>
              </c:tx>
              <c:showVal val="1"/>
              <c:showCatName val="1"/>
              <c:showPercent val="1"/>
              <c:separator>
</c:separator>
            </c:dLbl>
            <c:dLbl>
              <c:idx val="3"/>
              <c:layout>
                <c:manualLayout>
                  <c:x val="-8.6177533733813715E-3"/>
                  <c:y val="4.2652759006939302E-2"/>
                </c:manualLayout>
              </c:layout>
              <c:tx>
                <c:rich>
                  <a:bodyPr/>
                  <a:lstStyle/>
                  <a:p>
                    <a:r>
                      <a:rPr lang="ru-RU"/>
                      <a:t>Фізична культура і спорт
34,2млн.грн.
1%</a:t>
                    </a:r>
                  </a:p>
                </c:rich>
              </c:tx>
              <c:showVal val="1"/>
              <c:showCatName val="1"/>
              <c:showPercent val="1"/>
              <c:separator>
</c:separator>
            </c:dLbl>
            <c:dLbl>
              <c:idx val="4"/>
              <c:layout>
                <c:manualLayout>
                  <c:x val="-0.16906279743279051"/>
                  <c:y val="1.0358938324225022E-2"/>
                </c:manualLayout>
              </c:layout>
              <c:tx>
                <c:rich>
                  <a:bodyPr/>
                  <a:lstStyle/>
                  <a:p>
                    <a:r>
                      <a:rPr lang="ru-RU" sz="800">
                        <a:latin typeface="Times New Roman" pitchFamily="18" charset="0"/>
                        <a:cs typeface="Times New Roman" pitchFamily="18" charset="0"/>
                      </a:rPr>
                      <a:t>Утримання та заходи соціальних служб
19,7млн.грн.
1%</a:t>
                    </a:r>
                  </a:p>
                </c:rich>
              </c:tx>
              <c:showVal val="1"/>
              <c:showCatName val="1"/>
              <c:showPercent val="1"/>
              <c:separator>
</c:separator>
            </c:dLbl>
            <c:dLbl>
              <c:idx val="5"/>
              <c:layout>
                <c:manualLayout>
                  <c:x val="-3.4734594039905524E-2"/>
                  <c:y val="5.5375318097252907E-2"/>
                </c:manualLayout>
              </c:layout>
              <c:tx>
                <c:rich>
                  <a:bodyPr/>
                  <a:lstStyle/>
                  <a:p>
                    <a:r>
                      <a:rPr lang="ru-RU" sz="800">
                        <a:latin typeface="Times New Roman" pitchFamily="18" charset="0"/>
                        <a:cs typeface="Times New Roman" pitchFamily="18" charset="0"/>
                      </a:rPr>
                      <a:t>Соціальний захист та соціальне  забезпечення, 
компенсація пільгового проїзду
966,0млн.грн.
27%</a:t>
                    </a:r>
                  </a:p>
                </c:rich>
              </c:tx>
              <c:showVal val="1"/>
              <c:showCatName val="1"/>
              <c:showPercent val="1"/>
              <c:separator>
</c:separator>
            </c:dLbl>
            <c:dLbl>
              <c:idx val="6"/>
              <c:layout>
                <c:manualLayout>
                  <c:x val="-8.5989129818042895E-2"/>
                  <c:y val="5.5059036602208962E-2"/>
                </c:manualLayout>
              </c:layout>
              <c:tx>
                <c:rich>
                  <a:bodyPr/>
                  <a:lstStyle/>
                  <a:p>
                    <a:r>
                      <a:rPr lang="ru-RU"/>
                      <a:t>Житлово-комунальне  господарство
488,3млн.грн.
13%</a:t>
                    </a:r>
                  </a:p>
                </c:rich>
              </c:tx>
              <c:showVal val="1"/>
              <c:showCatName val="1"/>
              <c:showPercent val="1"/>
              <c:separator>
</c:separator>
            </c:dLbl>
            <c:dLbl>
              <c:idx val="7"/>
              <c:layout>
                <c:manualLayout>
                  <c:x val="-5.9405320465968837E-2"/>
                  <c:y val="-3.5488353816699202E-2"/>
                </c:manualLayout>
              </c:layout>
              <c:tx>
                <c:rich>
                  <a:bodyPr/>
                  <a:lstStyle/>
                  <a:p>
                    <a:r>
                      <a:rPr lang="ru-RU"/>
                      <a:t>Кошти, що передаються до  держаного бюджету
114,1млн.грн.
3%</a:t>
                    </a:r>
                  </a:p>
                </c:rich>
              </c:tx>
              <c:showVal val="1"/>
              <c:showCatName val="1"/>
              <c:showPercent val="1"/>
              <c:separator>
</c:separator>
            </c:dLbl>
            <c:dLbl>
              <c:idx val="8"/>
              <c:layout>
                <c:manualLayout>
                  <c:x val="4.5111036243424593E-2"/>
                  <c:y val="-7.1979433714790972E-2"/>
                </c:manualLayout>
              </c:layout>
              <c:tx>
                <c:rich>
                  <a:bodyPr/>
                  <a:lstStyle/>
                  <a:p>
                    <a:r>
                      <a:rPr lang="ru-RU"/>
                      <a:t>Транспорт
89,7млн.грн.
2%</a:t>
                    </a:r>
                  </a:p>
                </c:rich>
              </c:tx>
              <c:showVal val="1"/>
              <c:showCatName val="1"/>
              <c:showPercent val="1"/>
              <c:separator>
</c:separator>
            </c:dLbl>
            <c:dLbl>
              <c:idx val="9"/>
              <c:layout>
                <c:manualLayout>
                  <c:x val="0.14907396697324815"/>
                  <c:y val="-4.1097237075048934E-2"/>
                </c:manualLayout>
              </c:layout>
              <c:tx>
                <c:rich>
                  <a:bodyPr/>
                  <a:lstStyle/>
                  <a:p>
                    <a:r>
                      <a:rPr lang="ru-RU"/>
                      <a:t>Інші видатки
167,8млн.грн.
5%</a:t>
                    </a:r>
                  </a:p>
                </c:rich>
              </c:tx>
              <c:showVal val="1"/>
              <c:showCatName val="1"/>
              <c:showPercent val="1"/>
              <c:separator>
</c:separator>
            </c:dLbl>
            <c:txPr>
              <a:bodyPr/>
              <a:lstStyle/>
              <a:p>
                <a:pPr>
                  <a:defRPr sz="900" b="1">
                    <a:latin typeface="Times New Roman" pitchFamily="18" charset="0"/>
                    <a:cs typeface="Times New Roman" pitchFamily="18" charset="0"/>
                  </a:defRPr>
                </a:pPr>
                <a:endParaRPr lang="ru-RU"/>
              </a:p>
            </c:txPr>
            <c:showVal val="1"/>
            <c:showCatName val="1"/>
            <c:showPercent val="1"/>
            <c:separator>
</c:separator>
            <c:showLeaderLines val="1"/>
            <c:leaderLines>
              <c:spPr>
                <a:ln w="6350" cap="rnd">
                  <a:bevel/>
                </a:ln>
              </c:spPr>
            </c:leaderLines>
          </c:dLbls>
          <c:cat>
            <c:strRef>
              <c:f>'з+с ф. функц.'!$A$1:$A$10</c:f>
              <c:strCache>
                <c:ptCount val="10"/>
                <c:pt idx="0">
                  <c:v>Освіта</c:v>
                </c:pt>
                <c:pt idx="1">
                  <c:v>Охорона здоров'я</c:v>
                </c:pt>
                <c:pt idx="2">
                  <c:v>Культура</c:v>
                </c:pt>
                <c:pt idx="3">
                  <c:v>Фізична культура і спорт</c:v>
                </c:pt>
                <c:pt idx="4">
                  <c:v>Утримання та заходи соціальних служб</c:v>
                </c:pt>
                <c:pt idx="5">
                  <c:v>Соціальний захист та соціальне  забезпечення, 
компенсація пільгового проїзду</c:v>
                </c:pt>
                <c:pt idx="6">
                  <c:v>Житлово-комунальне  господарство</c:v>
                </c:pt>
                <c:pt idx="7">
                  <c:v>Кошти, що передаються до  держаного бюджету</c:v>
                </c:pt>
                <c:pt idx="8">
                  <c:v>Транспорт</c:v>
                </c:pt>
                <c:pt idx="9">
                  <c:v>Інші видатки</c:v>
                </c:pt>
              </c:strCache>
            </c:strRef>
          </c:cat>
          <c:val>
            <c:numRef>
              <c:f>'з+с ф. функц.'!$B$1:$B$10</c:f>
              <c:numCache>
                <c:formatCode>#,##0.0</c:formatCode>
                <c:ptCount val="10"/>
                <c:pt idx="0">
                  <c:v>1072.0999999999999</c:v>
                </c:pt>
                <c:pt idx="1">
                  <c:v>579.79999999999995</c:v>
                </c:pt>
                <c:pt idx="2">
                  <c:v>86.3</c:v>
                </c:pt>
                <c:pt idx="3">
                  <c:v>34.200000000000003</c:v>
                </c:pt>
                <c:pt idx="4">
                  <c:v>18.7</c:v>
                </c:pt>
                <c:pt idx="5">
                  <c:v>967</c:v>
                </c:pt>
                <c:pt idx="6">
                  <c:v>487.8</c:v>
                </c:pt>
                <c:pt idx="7">
                  <c:v>114.1</c:v>
                </c:pt>
                <c:pt idx="8">
                  <c:v>89.7</c:v>
                </c:pt>
                <c:pt idx="9">
                  <c:v>168.2</c:v>
                </c:pt>
              </c:numCache>
            </c:numRef>
          </c:val>
        </c:ser>
        <c:dLbls>
          <c:showVal val="1"/>
          <c:showCatName val="1"/>
        </c:dLbls>
      </c:pie3DChart>
      <c:spPr>
        <a:effectLst>
          <a:outerShdw blurRad="50800" dist="50800" dir="5400000" algn="ctr" rotWithShape="0">
            <a:srgbClr val="DCFCEE"/>
          </a:outerShdw>
        </a:effectLst>
      </c:spPr>
    </c:plotArea>
    <c:plotVisOnly val="1"/>
  </c:chart>
  <c:spPr>
    <a:noFill/>
    <a:ln>
      <a:noFill/>
    </a:ln>
    <a:effectLst>
      <a:outerShdw blurRad="50800" dist="50800" dir="5400000" sx="1000" sy="1000" algn="ctr" rotWithShape="0">
        <a:srgbClr val="000000"/>
      </a:outerShdw>
    </a:effectLst>
    <a:scene3d>
      <a:camera prst="orthographicFront"/>
      <a:lightRig rig="threePt" dir="t"/>
    </a:scene3d>
    <a:sp3d prstMaterial="translucentPowder">
      <a:bevelT w="165100" prst="coolSlant"/>
      <a:bevelB w="63500" h="165100"/>
    </a:sp3d>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style val="26"/>
  <c:chart>
    <c:autoTitleDeleted val="1"/>
    <c:plotArea>
      <c:layout>
        <c:manualLayout>
          <c:layoutTarget val="inner"/>
          <c:xMode val="edge"/>
          <c:yMode val="edge"/>
          <c:x val="8.7134587010406633E-2"/>
          <c:y val="0.25667081251115476"/>
          <c:w val="0.67275580747467911"/>
          <c:h val="0.65255806041406395"/>
        </c:manualLayout>
      </c:layout>
      <c:ofPieChart>
        <c:ofPieType val="bar"/>
        <c:varyColors val="1"/>
        <c:ser>
          <c:idx val="0"/>
          <c:order val="0"/>
          <c:spPr>
            <a:scene3d>
              <a:camera prst="orthographicFront"/>
              <a:lightRig rig="threePt" dir="t">
                <a:rot lat="0" lon="0" rev="1200000"/>
              </a:lightRig>
            </a:scene3d>
            <a:sp3d>
              <a:bevelT w="158750" h="190500"/>
            </a:sp3d>
          </c:spPr>
          <c:explosion val="10"/>
          <c:dLbls>
            <c:dLbl>
              <c:idx val="0"/>
              <c:layout>
                <c:manualLayout>
                  <c:x val="-2.2873977561728299E-2"/>
                  <c:y val="3.4054448758047438E-2"/>
                </c:manualLayout>
              </c:layout>
              <c:tx>
                <c:rich>
                  <a:bodyPr/>
                  <a:lstStyle/>
                  <a:p>
                    <a:r>
                      <a:rPr lang="ru-RU" sz="900">
                        <a:latin typeface="Times New Roman" pitchFamily="18" charset="0"/>
                        <a:cs typeface="Times New Roman" pitchFamily="18" charset="0"/>
                      </a:rPr>
                      <a:t>о</a:t>
                    </a:r>
                    <a:r>
                      <a:rPr lang="ru-RU"/>
                      <a:t>плата праці з нарахуваннями</a:t>
                    </a:r>
                  </a:p>
                  <a:p>
                    <a:r>
                      <a:rPr lang="ru-RU"/>
                      <a:t>1307,9 млн.грн.</a:t>
                    </a:r>
                  </a:p>
                  <a:p>
                    <a:r>
                      <a:rPr lang="ru-RU"/>
                      <a:t> 73%</a:t>
                    </a:r>
                  </a:p>
                </c:rich>
              </c:tx>
              <c:dLblPos val="bestFit"/>
              <c:showVal val="1"/>
              <c:showCatName val="1"/>
              <c:showPercent val="1"/>
            </c:dLbl>
            <c:dLbl>
              <c:idx val="1"/>
              <c:layout>
                <c:manualLayout>
                  <c:x val="-0.29394799913097053"/>
                  <c:y val="3.8175844481259241E-2"/>
                </c:manualLayout>
              </c:layout>
              <c:tx>
                <c:rich>
                  <a:bodyPr/>
                  <a:lstStyle/>
                  <a:p>
                    <a:r>
                      <a:rPr lang="ru-RU" sz="900">
                        <a:latin typeface="Times New Roman" pitchFamily="18" charset="0"/>
                        <a:cs typeface="Times New Roman" pitchFamily="18" charset="0"/>
                      </a:rPr>
                      <a:t> </a:t>
                    </a:r>
                    <a:r>
                      <a:rPr lang="ru-RU"/>
                      <a:t>комунальні послуги та енергоносії </a:t>
                    </a:r>
                  </a:p>
                  <a:p>
                    <a:r>
                      <a:rPr lang="ru-RU"/>
                      <a:t>167,6 млн.грн.</a:t>
                    </a:r>
                  </a:p>
                  <a:p>
                    <a:r>
                      <a:rPr lang="ru-RU"/>
                      <a:t> 9%</a:t>
                    </a:r>
                  </a:p>
                </c:rich>
              </c:tx>
              <c:dLblPos val="bestFit"/>
              <c:showVal val="1"/>
              <c:showCatName val="1"/>
              <c:showPercent val="1"/>
              <c:separator>
</c:separator>
            </c:dLbl>
            <c:dLbl>
              <c:idx val="2"/>
              <c:layout>
                <c:manualLayout>
                  <c:x val="-0.23532020623272179"/>
                  <c:y val="-0.171037549704143"/>
                </c:manualLayout>
              </c:layout>
              <c:tx>
                <c:rich>
                  <a:bodyPr/>
                  <a:lstStyle/>
                  <a:p>
                    <a:r>
                      <a:rPr lang="ru-RU" sz="900">
                        <a:latin typeface="Times New Roman" pitchFamily="18" charset="0"/>
                        <a:cs typeface="Times New Roman" pitchFamily="18" charset="0"/>
                      </a:rPr>
                      <a:t>п</a:t>
                    </a:r>
                    <a:r>
                      <a:rPr lang="ru-RU"/>
                      <a:t>родукти харчування</a:t>
                    </a:r>
                  </a:p>
                  <a:p>
                    <a:r>
                      <a:rPr lang="ru-RU"/>
                      <a:t> 51,4 млн.грн.</a:t>
                    </a:r>
                  </a:p>
                  <a:p>
                    <a:r>
                      <a:rPr lang="ru-RU"/>
                      <a:t>3%</a:t>
                    </a:r>
                  </a:p>
                </c:rich>
              </c:tx>
              <c:dLblPos val="bestFit"/>
              <c:showVal val="1"/>
              <c:showCatName val="1"/>
              <c:showPercent val="1"/>
            </c:dLbl>
            <c:dLbl>
              <c:idx val="3"/>
              <c:layout>
                <c:manualLayout>
                  <c:x val="-6.3098162924111814E-2"/>
                  <c:y val="-0.15429141501477736"/>
                </c:manualLayout>
              </c:layout>
              <c:tx>
                <c:rich>
                  <a:bodyPr/>
                  <a:lstStyle/>
                  <a:p>
                    <a:r>
                      <a:rPr lang="ru-RU" sz="900">
                        <a:latin typeface="Times New Roman" pitchFamily="18" charset="0"/>
                        <a:cs typeface="Times New Roman" pitchFamily="18" charset="0"/>
                      </a:rPr>
                      <a:t>м</a:t>
                    </a:r>
                    <a:r>
                      <a:rPr lang="ru-RU"/>
                      <a:t>едикаменти</a:t>
                    </a:r>
                  </a:p>
                  <a:p>
                    <a:r>
                      <a:rPr lang="ru-RU"/>
                      <a:t> 33,8 млн.грн.</a:t>
                    </a:r>
                  </a:p>
                  <a:p>
                    <a:r>
                      <a:rPr lang="ru-RU"/>
                      <a:t> 2%</a:t>
                    </a:r>
                  </a:p>
                </c:rich>
              </c:tx>
              <c:dLblPos val="bestFit"/>
              <c:showVal val="1"/>
              <c:showCatName val="1"/>
              <c:showPercent val="1"/>
            </c:dLbl>
            <c:dLbl>
              <c:idx val="4"/>
              <c:layout>
                <c:manualLayout>
                  <c:x val="2.0267706731719751E-2"/>
                  <c:y val="-0.27780262805639833"/>
                </c:manualLayout>
              </c:layout>
              <c:tx>
                <c:rich>
                  <a:bodyPr/>
                  <a:lstStyle/>
                  <a:p>
                    <a:r>
                      <a:rPr lang="ru-RU" sz="900">
                        <a:latin typeface="Times New Roman" pitchFamily="18" charset="0"/>
                        <a:cs typeface="Times New Roman" pitchFamily="18" charset="0"/>
                      </a:rPr>
                      <a:t>і</a:t>
                    </a:r>
                    <a:r>
                      <a:rPr lang="ru-RU"/>
                      <a:t>нші поточні видатки </a:t>
                    </a:r>
                  </a:p>
                  <a:p>
                    <a:r>
                      <a:rPr lang="ru-RU"/>
                      <a:t>68,5 млн.грн.</a:t>
                    </a:r>
                  </a:p>
                  <a:p>
                    <a:r>
                      <a:rPr lang="ru-RU"/>
                      <a:t> 4%</a:t>
                    </a:r>
                  </a:p>
                </c:rich>
              </c:tx>
              <c:dLblPos val="bestFit"/>
              <c:showVal val="1"/>
              <c:showCatName val="1"/>
              <c:showPercent val="1"/>
            </c:dLbl>
            <c:dLbl>
              <c:idx val="5"/>
              <c:layout>
                <c:manualLayout>
                  <c:x val="6.7446606526332012E-2"/>
                  <c:y val="-0.22422725548813141"/>
                </c:manualLayout>
              </c:layout>
              <c:tx>
                <c:rich>
                  <a:bodyPr/>
                  <a:lstStyle/>
                  <a:p>
                    <a:r>
                      <a:rPr lang="ru-RU" sz="900">
                        <a:latin typeface="Times New Roman" pitchFamily="18" charset="0"/>
                        <a:cs typeface="Times New Roman" pitchFamily="18" charset="0"/>
                      </a:rPr>
                      <a:t>в</a:t>
                    </a:r>
                    <a:r>
                      <a:rPr lang="ru-RU"/>
                      <a:t>идатки бюджету розвитку </a:t>
                    </a:r>
                  </a:p>
                  <a:p>
                    <a:r>
                      <a:rPr lang="ru-RU"/>
                      <a:t>65,1 млн.грн.</a:t>
                    </a:r>
                  </a:p>
                  <a:p>
                    <a:r>
                      <a:rPr lang="ru-RU"/>
                      <a:t> 3%</a:t>
                    </a:r>
                  </a:p>
                </c:rich>
              </c:tx>
              <c:dLblPos val="bestFit"/>
              <c:showVal val="1"/>
              <c:showCatName val="1"/>
              <c:showPercent val="1"/>
            </c:dLbl>
            <c:dLbl>
              <c:idx val="6"/>
              <c:layout>
                <c:manualLayout>
                  <c:x val="1.7258456928202506E-2"/>
                  <c:y val="-2.4616276994467248E-2"/>
                </c:manualLayout>
              </c:layout>
              <c:tx>
                <c:rich>
                  <a:bodyPr/>
                  <a:lstStyle/>
                  <a:p>
                    <a:pPr>
                      <a:defRPr sz="900" b="0">
                        <a:latin typeface="Times New Roman" pitchFamily="18" charset="0"/>
                        <a:cs typeface="Times New Roman" pitchFamily="18" charset="0"/>
                      </a:defRPr>
                    </a:pPr>
                    <a:r>
                      <a:rPr lang="ru-RU" sz="900" b="0">
                        <a:latin typeface="Times New Roman" pitchFamily="18" charset="0"/>
                        <a:cs typeface="Times New Roman" pitchFamily="18" charset="0"/>
                      </a:rPr>
                      <a:t>о</a:t>
                    </a:r>
                    <a:r>
                      <a:rPr lang="ru-RU" b="0"/>
                      <a:t>плата праці з нарахуваннями </a:t>
                    </a:r>
                  </a:p>
                  <a:p>
                    <a:pPr>
                      <a:defRPr sz="900" b="0">
                        <a:latin typeface="Times New Roman" pitchFamily="18" charset="0"/>
                        <a:cs typeface="Times New Roman" pitchFamily="18" charset="0"/>
                      </a:defRPr>
                    </a:pPr>
                    <a:r>
                      <a:rPr lang="ru-RU" b="0"/>
                      <a:t>17,4 млн.</a:t>
                    </a:r>
                  </a:p>
                </c:rich>
              </c:tx>
              <c:spPr>
                <a:solidFill>
                  <a:schemeClr val="tx2">
                    <a:lumMod val="20000"/>
                    <a:lumOff val="80000"/>
                  </a:schemeClr>
                </a:solidFill>
                <a:ln>
                  <a:noFill/>
                </a:ln>
              </c:spPr>
              <c:dLblPos val="bestFit"/>
              <c:showVal val="1"/>
              <c:showCatName val="1"/>
              <c:showPercent val="1"/>
            </c:dLbl>
            <c:dLbl>
              <c:idx val="7"/>
              <c:layout>
                <c:manualLayout>
                  <c:x val="2.3221892345424041E-2"/>
                  <c:y val="-6.6328864001427195E-3"/>
                </c:manualLayout>
              </c:layout>
              <c:tx>
                <c:rich>
                  <a:bodyPr/>
                  <a:lstStyle/>
                  <a:p>
                    <a:pPr>
                      <a:defRPr sz="900" b="0">
                        <a:latin typeface="Times New Roman" pitchFamily="18" charset="0"/>
                        <a:cs typeface="Times New Roman" pitchFamily="18" charset="0"/>
                      </a:defRPr>
                    </a:pPr>
                    <a:r>
                      <a:rPr lang="ru-RU" sz="900" b="0">
                        <a:latin typeface="Times New Roman" pitchFamily="18" charset="0"/>
                        <a:cs typeface="Times New Roman" pitchFamily="18" charset="0"/>
                      </a:rPr>
                      <a:t>п</a:t>
                    </a:r>
                    <a:r>
                      <a:rPr lang="ru-RU" b="0"/>
                      <a:t>родукти харчування </a:t>
                    </a:r>
                  </a:p>
                  <a:p>
                    <a:pPr>
                      <a:defRPr sz="900" b="0">
                        <a:latin typeface="Times New Roman" pitchFamily="18" charset="0"/>
                        <a:cs typeface="Times New Roman" pitchFamily="18" charset="0"/>
                      </a:defRPr>
                    </a:pPr>
                    <a:r>
                      <a:rPr lang="ru-RU" b="0"/>
                      <a:t>20,4 млн.грн.</a:t>
                    </a:r>
                  </a:p>
                </c:rich>
              </c:tx>
              <c:spPr>
                <a:solidFill>
                  <a:schemeClr val="accent2">
                    <a:lumMod val="20000"/>
                    <a:lumOff val="80000"/>
                  </a:schemeClr>
                </a:solidFill>
                <a:ln>
                  <a:noFill/>
                </a:ln>
              </c:spPr>
              <c:dLblPos val="bestFit"/>
              <c:showVal val="1"/>
              <c:showCatName val="1"/>
              <c:showPercent val="1"/>
            </c:dLbl>
            <c:dLbl>
              <c:idx val="8"/>
              <c:layout>
                <c:manualLayout>
                  <c:x val="3.5640092612411856E-2"/>
                  <c:y val="-5.1256023558807814E-4"/>
                </c:manualLayout>
              </c:layout>
              <c:tx>
                <c:rich>
                  <a:bodyPr/>
                  <a:lstStyle/>
                  <a:p>
                    <a:pPr>
                      <a:defRPr sz="900" b="0">
                        <a:latin typeface="Times New Roman" pitchFamily="18" charset="0"/>
                        <a:cs typeface="Times New Roman" pitchFamily="18" charset="0"/>
                      </a:defRPr>
                    </a:pPr>
                    <a:r>
                      <a:rPr lang="ru-RU" sz="900" b="0">
                        <a:latin typeface="Times New Roman" pitchFamily="18" charset="0"/>
                        <a:cs typeface="Times New Roman" pitchFamily="18" charset="0"/>
                      </a:rPr>
                      <a:t>м</a:t>
                    </a:r>
                    <a:r>
                      <a:rPr lang="ru-RU" b="0"/>
                      <a:t>едикаменти </a:t>
                    </a:r>
                  </a:p>
                  <a:p>
                    <a:pPr>
                      <a:defRPr sz="900" b="0">
                        <a:latin typeface="Times New Roman" pitchFamily="18" charset="0"/>
                        <a:cs typeface="Times New Roman" pitchFamily="18" charset="0"/>
                      </a:defRPr>
                    </a:pPr>
                    <a:r>
                      <a:rPr lang="ru-RU" b="0"/>
                      <a:t>14,8 млн.грн.</a:t>
                    </a:r>
                  </a:p>
                </c:rich>
              </c:tx>
              <c:spPr>
                <a:solidFill>
                  <a:schemeClr val="accent3">
                    <a:lumMod val="20000"/>
                    <a:lumOff val="80000"/>
                  </a:schemeClr>
                </a:solidFill>
                <a:ln>
                  <a:noFill/>
                </a:ln>
              </c:spPr>
              <c:dLblPos val="bestFit"/>
              <c:showVal val="1"/>
              <c:showCatName val="1"/>
              <c:showPercent val="1"/>
            </c:dLbl>
            <c:dLbl>
              <c:idx val="9"/>
              <c:layout>
                <c:manualLayout>
                  <c:x val="3.1037902789646674E-2"/>
                  <c:y val="-7.6574491343922935E-3"/>
                </c:manualLayout>
              </c:layout>
              <c:tx>
                <c:rich>
                  <a:bodyPr/>
                  <a:lstStyle/>
                  <a:p>
                    <a:pPr>
                      <a:defRPr sz="900" b="0">
                        <a:latin typeface="Times New Roman" pitchFamily="18" charset="0"/>
                        <a:cs typeface="Times New Roman" pitchFamily="18" charset="0"/>
                      </a:defRPr>
                    </a:pPr>
                    <a:r>
                      <a:rPr lang="ru-RU" sz="900" b="0">
                        <a:latin typeface="Times New Roman" pitchFamily="18" charset="0"/>
                        <a:cs typeface="Times New Roman" pitchFamily="18" charset="0"/>
                      </a:rPr>
                      <a:t>і</a:t>
                    </a:r>
                    <a:r>
                      <a:rPr lang="ru-RU" b="0"/>
                      <a:t>нші поточні видатки</a:t>
                    </a:r>
                  </a:p>
                  <a:p>
                    <a:pPr>
                      <a:defRPr sz="900" b="0">
                        <a:latin typeface="Times New Roman" pitchFamily="18" charset="0"/>
                        <a:cs typeface="Times New Roman" pitchFamily="18" charset="0"/>
                      </a:defRPr>
                    </a:pPr>
                    <a:r>
                      <a:rPr lang="ru-RU" b="0"/>
                      <a:t> 29,7 млн.грн.</a:t>
                    </a:r>
                  </a:p>
                </c:rich>
              </c:tx>
              <c:spPr>
                <a:solidFill>
                  <a:schemeClr val="accent4">
                    <a:lumMod val="20000"/>
                    <a:lumOff val="80000"/>
                  </a:schemeClr>
                </a:solidFill>
                <a:ln>
                  <a:noFill/>
                </a:ln>
              </c:spPr>
              <c:dLblPos val="bestFit"/>
              <c:showVal val="1"/>
              <c:showCatName val="1"/>
              <c:showPercent val="1"/>
            </c:dLbl>
            <c:dLbl>
              <c:idx val="10"/>
              <c:layout>
                <c:manualLayout>
                  <c:x val="2.9909495386535905E-2"/>
                  <c:y val="-1.1483803319650206E-3"/>
                </c:manualLayout>
              </c:layout>
              <c:tx>
                <c:rich>
                  <a:bodyPr/>
                  <a:lstStyle/>
                  <a:p>
                    <a:pPr>
                      <a:defRPr sz="900" b="0">
                        <a:latin typeface="Times New Roman" pitchFamily="18" charset="0"/>
                        <a:cs typeface="Times New Roman" pitchFamily="18" charset="0"/>
                      </a:defRPr>
                    </a:pPr>
                    <a:r>
                      <a:rPr lang="ru-RU" sz="900" b="0">
                        <a:latin typeface="Times New Roman" pitchFamily="18" charset="0"/>
                        <a:cs typeface="Times New Roman" pitchFamily="18" charset="0"/>
                      </a:rPr>
                      <a:t>к</a:t>
                    </a:r>
                    <a:r>
                      <a:rPr lang="ru-RU" b="0"/>
                      <a:t>апітальні видатки </a:t>
                    </a:r>
                  </a:p>
                  <a:p>
                    <a:pPr>
                      <a:defRPr sz="900" b="0">
                        <a:latin typeface="Times New Roman" pitchFamily="18" charset="0"/>
                        <a:cs typeface="Times New Roman" pitchFamily="18" charset="0"/>
                      </a:defRPr>
                    </a:pPr>
                    <a:r>
                      <a:rPr lang="ru-RU" b="0"/>
                      <a:t>15,5 млн.грн.</a:t>
                    </a:r>
                  </a:p>
                </c:rich>
              </c:tx>
              <c:spPr>
                <a:solidFill>
                  <a:schemeClr val="accent5">
                    <a:lumMod val="20000"/>
                    <a:lumOff val="80000"/>
                  </a:schemeClr>
                </a:solidFill>
                <a:ln>
                  <a:noFill/>
                </a:ln>
              </c:spPr>
              <c:dLblPos val="bestFit"/>
              <c:showVal val="1"/>
              <c:showCatName val="1"/>
              <c:showPercent val="1"/>
            </c:dLbl>
            <c:dLbl>
              <c:idx val="11"/>
              <c:layout>
                <c:manualLayout>
                  <c:x val="1.327934973820398E-2"/>
                  <c:y val="-4.3597289674412714E-3"/>
                </c:manualLayout>
              </c:layout>
              <c:tx>
                <c:rich>
                  <a:bodyPr/>
                  <a:lstStyle/>
                  <a:p>
                    <a:pPr>
                      <a:defRPr sz="900" b="1">
                        <a:latin typeface="Times New Roman" pitchFamily="18" charset="0"/>
                        <a:cs typeface="Times New Roman" pitchFamily="18" charset="0"/>
                      </a:defRPr>
                    </a:pPr>
                    <a:r>
                      <a:rPr lang="ru-RU" sz="900" b="1">
                        <a:latin typeface="Times New Roman" pitchFamily="18" charset="0"/>
                        <a:cs typeface="Times New Roman" pitchFamily="18" charset="0"/>
                      </a:rPr>
                      <a:t>В</a:t>
                    </a:r>
                    <a:r>
                      <a:rPr lang="ru-RU"/>
                      <a:t>идатки за рахунок власних</a:t>
                    </a:r>
                    <a:r>
                      <a:rPr lang="ru-RU" baseline="0"/>
                      <a:t> надходжень бюджетних установ</a:t>
                    </a:r>
                    <a:endParaRPr lang="ru-RU"/>
                  </a:p>
                  <a:p>
                    <a:pPr>
                      <a:defRPr sz="900" b="1">
                        <a:latin typeface="Times New Roman" pitchFamily="18" charset="0"/>
                        <a:cs typeface="Times New Roman" pitchFamily="18" charset="0"/>
                      </a:defRPr>
                    </a:pPr>
                    <a:r>
                      <a:rPr lang="ru-RU"/>
                      <a:t> 97,8 млн.грн.</a:t>
                    </a:r>
                  </a:p>
                  <a:p>
                    <a:pPr>
                      <a:defRPr sz="900" b="1">
                        <a:latin typeface="Times New Roman" pitchFamily="18" charset="0"/>
                        <a:cs typeface="Times New Roman" pitchFamily="18" charset="0"/>
                      </a:defRPr>
                    </a:pPr>
                    <a:r>
                      <a:rPr lang="ru-RU"/>
                      <a:t> 6%</a:t>
                    </a:r>
                  </a:p>
                </c:rich>
              </c:tx>
              <c:spPr>
                <a:solidFill>
                  <a:srgbClr val="F79646">
                    <a:lumMod val="60000"/>
                    <a:lumOff val="40000"/>
                    <a:alpha val="65000"/>
                  </a:srgbClr>
                </a:solidFill>
                <a:ln>
                  <a:noFill/>
                </a:ln>
              </c:spPr>
              <c:dLblPos val="bestFit"/>
              <c:showVal val="1"/>
              <c:showCatName val="1"/>
              <c:showPercent val="1"/>
              <c:separator>
</c:separator>
            </c:dLbl>
            <c:dLbl>
              <c:idx val="12"/>
              <c:layout>
                <c:manualLayout>
                  <c:x val="-9.0074616036719943E-2"/>
                  <c:y val="2.8632209227324242E-2"/>
                </c:manualLayout>
              </c:layout>
              <c:tx>
                <c:rich>
                  <a:bodyPr/>
                  <a:lstStyle/>
                  <a:p>
                    <a:r>
                      <a:rPr lang="ru-RU" sz="900" b="1">
                        <a:latin typeface="Times New Roman" pitchFamily="18" charset="0"/>
                        <a:cs typeface="Times New Roman" pitchFamily="18" charset="0"/>
                      </a:rPr>
                      <a:t>в</a:t>
                    </a:r>
                    <a:r>
                      <a:rPr lang="ru-RU"/>
                      <a:t>идаки</a:t>
                    </a:r>
                    <a:r>
                      <a:rPr lang="ru-RU" baseline="0"/>
                      <a:t>  за рахунок власних надходжень</a:t>
                    </a:r>
                    <a:r>
                      <a:rPr lang="ru-RU"/>
                      <a:t>;  97,84; 6%</a:t>
                    </a:r>
                  </a:p>
                </c:rich>
              </c:tx>
              <c:dLblPos val="bestFit"/>
              <c:showVal val="1"/>
              <c:showCatName val="1"/>
              <c:showPercent val="1"/>
            </c:dLbl>
            <c:spPr>
              <a:noFill/>
              <a:ln>
                <a:noFill/>
              </a:ln>
            </c:spPr>
            <c:txPr>
              <a:bodyPr/>
              <a:lstStyle/>
              <a:p>
                <a:pPr>
                  <a:defRPr sz="900" b="1">
                    <a:latin typeface="Times New Roman" pitchFamily="18" charset="0"/>
                    <a:cs typeface="Times New Roman" pitchFamily="18" charset="0"/>
                  </a:defRPr>
                </a:pPr>
                <a:endParaRPr lang="ru-RU"/>
              </a:p>
            </c:txPr>
            <c:dLblPos val="bestFit"/>
            <c:showVal val="1"/>
            <c:showCatName val="1"/>
            <c:showPercent val="1"/>
            <c:showLeaderLines val="1"/>
          </c:dLbls>
          <c:cat>
            <c:strRef>
              <c:f>'соц -культ сфера'!$A$90:$A$100</c:f>
              <c:strCache>
                <c:ptCount val="11"/>
                <c:pt idx="0">
                  <c:v>оплата праці з нарахуваннями </c:v>
                </c:pt>
                <c:pt idx="1">
                  <c:v> комунальні послуги та енергоносії</c:v>
                </c:pt>
                <c:pt idx="2">
                  <c:v>продукти харчування</c:v>
                </c:pt>
                <c:pt idx="3">
                  <c:v>медикаменти </c:v>
                </c:pt>
                <c:pt idx="4">
                  <c:v>Інші поточні видатки</c:v>
                </c:pt>
                <c:pt idx="5">
                  <c:v>видатки бюджету розвитку</c:v>
                </c:pt>
                <c:pt idx="6">
                  <c:v>оплата праці з нарахуваннями </c:v>
                </c:pt>
                <c:pt idx="7">
                  <c:v>продукти харчування</c:v>
                </c:pt>
                <c:pt idx="8">
                  <c:v>медикаменти </c:v>
                </c:pt>
                <c:pt idx="9">
                  <c:v>Інші поточні видатки</c:v>
                </c:pt>
                <c:pt idx="10">
                  <c:v>капітальні видатки </c:v>
                </c:pt>
              </c:strCache>
            </c:strRef>
          </c:cat>
          <c:val>
            <c:numRef>
              <c:f>'соц -культ сфера'!$B$90:$B$100</c:f>
              <c:numCache>
                <c:formatCode>0.0</c:formatCode>
                <c:ptCount val="11"/>
                <c:pt idx="0">
                  <c:v>1307.9026417700011</c:v>
                </c:pt>
                <c:pt idx="1">
                  <c:v>167.59585733</c:v>
                </c:pt>
                <c:pt idx="2">
                  <c:v>51.352401469999954</c:v>
                </c:pt>
                <c:pt idx="3">
                  <c:v>33.774220050000004</c:v>
                </c:pt>
                <c:pt idx="4">
                  <c:v>68.509026739999982</c:v>
                </c:pt>
                <c:pt idx="5">
                  <c:v>65.079686359999926</c:v>
                </c:pt>
                <c:pt idx="6">
                  <c:v>17.385336789999979</c:v>
                </c:pt>
                <c:pt idx="7">
                  <c:v>20.387466670000002</c:v>
                </c:pt>
                <c:pt idx="8">
                  <c:v>14.78810356</c:v>
                </c:pt>
                <c:pt idx="9">
                  <c:v>29.759176369999992</c:v>
                </c:pt>
                <c:pt idx="10">
                  <c:v>15.523610640000003</c:v>
                </c:pt>
              </c:numCache>
            </c:numRef>
          </c:val>
        </c:ser>
        <c:dLbls>
          <c:showCatName val="1"/>
          <c:showPercent val="1"/>
        </c:dLbls>
        <c:gapWidth val="100"/>
        <c:splitType val="pos"/>
        <c:splitPos val="5"/>
        <c:secondPieSize val="75"/>
        <c:serLines/>
      </c:ofPieChart>
    </c:plotArea>
    <c:plotVisOnly val="1"/>
  </c:chart>
  <c:spPr>
    <a:ln>
      <a:noFill/>
    </a:ln>
  </c:spPr>
  <c:externalData r:id="rId1"/>
</c:chartSpace>
</file>

<file path=word/drawings/drawing1.xml><?xml version="1.0" encoding="utf-8"?>
<c:userShapes xmlns:c="http://schemas.openxmlformats.org/drawingml/2006/chart">
  <cdr:relSizeAnchor xmlns:cdr="http://schemas.openxmlformats.org/drawingml/2006/chartDrawing">
    <cdr:from>
      <cdr:x>0.75833</cdr:x>
      <cdr:y>0.76254</cdr:y>
    </cdr:from>
    <cdr:to>
      <cdr:x>0.99167</cdr:x>
      <cdr:y>0.99651</cdr:y>
    </cdr:to>
    <cdr:sp macro="" textlink="">
      <cdr:nvSpPr>
        <cdr:cNvPr id="3" name="Овал 2"/>
        <cdr:cNvSpPr/>
      </cdr:nvSpPr>
      <cdr:spPr>
        <a:xfrm xmlns:a="http://schemas.openxmlformats.org/drawingml/2006/main">
          <a:off x="6067425" y="3900329"/>
          <a:ext cx="1866965" cy="1196729"/>
        </a:xfrm>
        <a:prstGeom xmlns:a="http://schemas.openxmlformats.org/drawingml/2006/main" prst="ellipse">
          <a:avLst/>
        </a:prstGeom>
        <a:noFill xmlns:a="http://schemas.openxmlformats.org/drawingml/2006/main"/>
        <a:ln xmlns:a="http://schemas.openxmlformats.org/drawingml/2006/main" w="38100">
          <a:solidFill>
            <a:schemeClr val="tx2">
              <a:lumMod val="60000"/>
              <a:lumOff val="4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ru-RU" sz="1200">
              <a:solidFill>
                <a:sysClr val="windowText" lastClr="000000"/>
              </a:solidFill>
            </a:rPr>
            <a:t>Офіційні трансферти, </a:t>
          </a:r>
          <a:r>
            <a:rPr lang="ru-RU" sz="1200" b="1">
              <a:solidFill>
                <a:sysClr val="windowText" lastClr="000000"/>
              </a:solidFill>
            </a:rPr>
            <a:t>43,0%</a:t>
          </a:r>
        </a:p>
      </cdr:txBody>
    </cdr:sp>
  </cdr:relSizeAnchor>
  <cdr:relSizeAnchor xmlns:cdr="http://schemas.openxmlformats.org/drawingml/2006/chartDrawing">
    <cdr:from>
      <cdr:x>0.84713</cdr:x>
      <cdr:y>0.44003</cdr:y>
    </cdr:from>
    <cdr:to>
      <cdr:x>0.91143</cdr:x>
      <cdr:y>0.73825</cdr:y>
    </cdr:to>
    <cdr:sp macro="" textlink="">
      <cdr:nvSpPr>
        <cdr:cNvPr id="4" name="Выгнутая вниз стрелка 3"/>
        <cdr:cNvSpPr/>
      </cdr:nvSpPr>
      <cdr:spPr>
        <a:xfrm xmlns:a="http://schemas.openxmlformats.org/drawingml/2006/main" rot="15120779">
          <a:off x="4747934" y="1561854"/>
          <a:ext cx="886693" cy="379628"/>
        </a:xfrm>
        <a:prstGeom xmlns:a="http://schemas.openxmlformats.org/drawingml/2006/main" prst="curvedUpArrow">
          <a:avLst/>
        </a:prstGeom>
        <a:solidFill xmlns:a="http://schemas.openxmlformats.org/drawingml/2006/main">
          <a:schemeClr val="tx2">
            <a:lumMod val="40000"/>
            <a:lumOff val="60000"/>
          </a:schemeClr>
        </a:solidFill>
        <a:ln xmlns:a="http://schemas.openxmlformats.org/drawingml/2006/main">
          <a:solidFill>
            <a:schemeClr val="tx2">
              <a:lumMod val="40000"/>
              <a:lumOff val="6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0.00833</cdr:x>
      <cdr:y>0.73335</cdr:y>
    </cdr:from>
    <cdr:to>
      <cdr:x>0.24405</cdr:x>
      <cdr:y>0.98186</cdr:y>
    </cdr:to>
    <cdr:sp macro="" textlink="">
      <cdr:nvSpPr>
        <cdr:cNvPr id="5" name="Овал 4"/>
        <cdr:cNvSpPr/>
      </cdr:nvSpPr>
      <cdr:spPr>
        <a:xfrm xmlns:a="http://schemas.openxmlformats.org/drawingml/2006/main">
          <a:off x="66640" y="3751016"/>
          <a:ext cx="1885985" cy="1271104"/>
        </a:xfrm>
        <a:prstGeom xmlns:a="http://schemas.openxmlformats.org/drawingml/2006/main" prst="ellipse">
          <a:avLst/>
        </a:prstGeom>
        <a:noFill xmlns:a="http://schemas.openxmlformats.org/drawingml/2006/main"/>
        <a:ln xmlns:a="http://schemas.openxmlformats.org/drawingml/2006/main" w="38100">
          <a:solidFill>
            <a:srgbClr val="F07B46"/>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ru-RU" sz="1100">
              <a:solidFill>
                <a:sysClr val="windowText" lastClr="000000"/>
              </a:solidFill>
            </a:rPr>
            <a:t>Доходи загального фонду, </a:t>
          </a:r>
          <a:r>
            <a:rPr lang="ru-RU" sz="1100" b="1">
              <a:solidFill>
                <a:sysClr val="windowText" lastClr="000000"/>
              </a:solidFill>
            </a:rPr>
            <a:t>53,8%</a:t>
          </a:r>
        </a:p>
      </cdr:txBody>
    </cdr:sp>
  </cdr:relSizeAnchor>
  <cdr:relSizeAnchor xmlns:cdr="http://schemas.openxmlformats.org/drawingml/2006/chartDrawing">
    <cdr:from>
      <cdr:x>0.1102</cdr:x>
      <cdr:y>0.42543</cdr:y>
    </cdr:from>
    <cdr:to>
      <cdr:x>0.18088</cdr:x>
      <cdr:y>0.73124</cdr:y>
    </cdr:to>
    <cdr:sp macro="" textlink="">
      <cdr:nvSpPr>
        <cdr:cNvPr id="6" name="Выгнутая вверх стрелка 5"/>
        <cdr:cNvSpPr/>
      </cdr:nvSpPr>
      <cdr:spPr>
        <a:xfrm xmlns:a="http://schemas.openxmlformats.org/drawingml/2006/main" rot="18826296">
          <a:off x="404663" y="1510914"/>
          <a:ext cx="909260" cy="417296"/>
        </a:xfrm>
        <a:prstGeom xmlns:a="http://schemas.openxmlformats.org/drawingml/2006/main" prst="curvedDownArrow">
          <a:avLst/>
        </a:prstGeom>
        <a:solidFill xmlns:a="http://schemas.openxmlformats.org/drawingml/2006/main">
          <a:srgbClr val="F07B46">
            <a:alpha val="38000"/>
          </a:srgbClr>
        </a:solidFill>
        <a:ln xmlns:a="http://schemas.openxmlformats.org/drawingml/2006/main" w="38100">
          <a:solidFill>
            <a:srgbClr val="F07B46"/>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1.89659E-7</cdr:x>
      <cdr:y>0.18597</cdr:y>
    </cdr:from>
    <cdr:to>
      <cdr:x>0.26429</cdr:x>
      <cdr:y>0.44817</cdr:y>
    </cdr:to>
    <cdr:sp macro="" textlink="">
      <cdr:nvSpPr>
        <cdr:cNvPr id="7" name="Овал 6"/>
        <cdr:cNvSpPr/>
      </cdr:nvSpPr>
      <cdr:spPr>
        <a:xfrm xmlns:a="http://schemas.openxmlformats.org/drawingml/2006/main">
          <a:off x="1" y="551603"/>
          <a:ext cx="1393500" cy="777707"/>
        </a:xfrm>
        <a:prstGeom xmlns:a="http://schemas.openxmlformats.org/drawingml/2006/main" prst="ellipse">
          <a:avLst/>
        </a:prstGeom>
        <a:noFill xmlns:a="http://schemas.openxmlformats.org/drawingml/2006/main"/>
        <a:ln xmlns:a="http://schemas.openxmlformats.org/drawingml/2006/main" w="38100">
          <a:solidFill>
            <a:srgbClr val="82BE74"/>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wrap="square">
          <a:noAutofit/>
        </a:bodyPr>
        <a:lstStyle xmlns:a="http://schemas.openxmlformats.org/drawingml/2006/main"/>
        <a:p xmlns:a="http://schemas.openxmlformats.org/drawingml/2006/main">
          <a:pPr algn="ctr"/>
          <a:r>
            <a:rPr lang="ru-RU" sz="1100">
              <a:solidFill>
                <a:sysClr val="windowText" lastClr="000000"/>
              </a:solidFill>
            </a:rPr>
            <a:t>Доходи спеціального фонду, </a:t>
          </a:r>
          <a:r>
            <a:rPr lang="ru-RU" sz="1100" b="1">
              <a:solidFill>
                <a:sysClr val="windowText" lastClr="000000"/>
              </a:solidFill>
            </a:rPr>
            <a:t>3,3%</a:t>
          </a:r>
        </a:p>
      </cdr:txBody>
    </cdr:sp>
  </cdr:relSizeAnchor>
  <cdr:relSizeAnchor xmlns:cdr="http://schemas.openxmlformats.org/drawingml/2006/chartDrawing">
    <cdr:from>
      <cdr:x>0.24909</cdr:x>
      <cdr:y>0.16346</cdr:y>
    </cdr:from>
    <cdr:to>
      <cdr:x>0.44374</cdr:x>
      <cdr:y>0.27066</cdr:y>
    </cdr:to>
    <cdr:sp macro="" textlink="">
      <cdr:nvSpPr>
        <cdr:cNvPr id="8" name="Выгнутая вверх стрелка 7"/>
        <cdr:cNvSpPr/>
      </cdr:nvSpPr>
      <cdr:spPr>
        <a:xfrm xmlns:a="http://schemas.openxmlformats.org/drawingml/2006/main" rot="321175">
          <a:off x="1992964" y="836077"/>
          <a:ext cx="1557395" cy="548319"/>
        </a:xfrm>
        <a:prstGeom xmlns:a="http://schemas.openxmlformats.org/drawingml/2006/main" prst="curvedDownArrow">
          <a:avLst/>
        </a:prstGeom>
        <a:solidFill xmlns:a="http://schemas.openxmlformats.org/drawingml/2006/main">
          <a:srgbClr val="82BE74">
            <a:alpha val="40000"/>
          </a:srgbClr>
        </a:solidFill>
        <a:ln xmlns:a="http://schemas.openxmlformats.org/drawingml/2006/main">
          <a:solidFill>
            <a:srgbClr val="82BE74"/>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0.12976</cdr:x>
      <cdr:y>0.02479</cdr:y>
    </cdr:from>
    <cdr:to>
      <cdr:x>0.9369</cdr:x>
      <cdr:y>0.22934</cdr:y>
    </cdr:to>
    <cdr:sp macro="" textlink="">
      <cdr:nvSpPr>
        <cdr:cNvPr id="9" name="TextBox 8"/>
        <cdr:cNvSpPr txBox="1"/>
      </cdr:nvSpPr>
      <cdr:spPr>
        <a:xfrm xmlns:a="http://schemas.openxmlformats.org/drawingml/2006/main">
          <a:off x="1038210" y="114283"/>
          <a:ext cx="6457927" cy="94299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200" b="1">
              <a:latin typeface="Times New Roman" pitchFamily="18" charset="0"/>
              <a:cs typeface="Times New Roman" pitchFamily="18" charset="0"/>
            </a:rPr>
            <a:t>Структура доходної частини бюджету за І</a:t>
          </a:r>
          <a:r>
            <a:rPr lang="ru-RU" sz="1200" b="1" baseline="0">
              <a:latin typeface="Times New Roman" pitchFamily="18" charset="0"/>
              <a:cs typeface="Times New Roman" pitchFamily="18" charset="0"/>
            </a:rPr>
            <a:t> півріччя</a:t>
          </a:r>
          <a:r>
            <a:rPr lang="ru-RU" sz="1200" b="1">
              <a:latin typeface="Times New Roman" pitchFamily="18" charset="0"/>
              <a:cs typeface="Times New Roman" pitchFamily="18" charset="0"/>
            </a:rPr>
            <a:t> 2017 року, млн.грн.</a:t>
          </a:r>
        </a:p>
      </cdr:txBody>
    </cdr:sp>
  </cdr:relSizeAnchor>
</c:userShapes>
</file>

<file path=word/drawings/drawing2.xml><?xml version="1.0" encoding="utf-8"?>
<c:userShapes xmlns:c="http://schemas.openxmlformats.org/drawingml/2006/chart">
  <cdr:relSizeAnchor xmlns:cdr="http://schemas.openxmlformats.org/drawingml/2006/chartDrawing">
    <cdr:from>
      <cdr:x>0.14267</cdr:x>
      <cdr:y>0.01008</cdr:y>
    </cdr:from>
    <cdr:to>
      <cdr:x>0.93316</cdr:x>
      <cdr:y>0.1159</cdr:y>
    </cdr:to>
    <cdr:sp macro="" textlink="">
      <cdr:nvSpPr>
        <cdr:cNvPr id="2" name="TextBox 1"/>
        <cdr:cNvSpPr txBox="1">
          <a:spLocks xmlns:a="http://schemas.openxmlformats.org/drawingml/2006/main"/>
        </cdr:cNvSpPr>
      </cdr:nvSpPr>
      <cdr:spPr>
        <a:xfrm xmlns:a="http://schemas.openxmlformats.org/drawingml/2006/main">
          <a:off x="873159" y="47127"/>
          <a:ext cx="4837902" cy="49473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300" b="1">
              <a:solidFill>
                <a:sysClr val="windowText" lastClr="000000"/>
              </a:solidFill>
              <a:latin typeface="Times New Roman" pitchFamily="18" charset="0"/>
              <a:cs typeface="Times New Roman" pitchFamily="18" charset="0"/>
            </a:rPr>
            <a:t>Структура доходів  загального фонду бюджету міста Запоріжжя за І півріччя 2017 року</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E640C4-AF16-403C-B011-BA278140E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5595</TotalTime>
  <Pages>9</Pages>
  <Words>2544</Words>
  <Characters>17098</Characters>
  <Application>Microsoft Office Word</Application>
  <DocSecurity>0</DocSecurity>
  <Lines>142</Lines>
  <Paragraphs>39</Paragraphs>
  <ScaleCrop>false</ScaleCrop>
  <HeadingPairs>
    <vt:vector size="2" baseType="variant">
      <vt:variant>
        <vt:lpstr>Название</vt:lpstr>
      </vt:variant>
      <vt:variant>
        <vt:i4>1</vt:i4>
      </vt:variant>
    </vt:vector>
  </HeadingPairs>
  <TitlesOfParts>
    <vt:vector size="1" baseType="lpstr">
      <vt:lpstr>Пояснювальна записка</vt:lpstr>
    </vt:vector>
  </TitlesOfParts>
  <Company/>
  <LinksUpToDate>false</LinksUpToDate>
  <CharactersWithSpaces>19603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dc:title>
  <dc:creator>Jilia20</dc:creator>
  <cp:lastModifiedBy>Логвиненко</cp:lastModifiedBy>
  <cp:revision>89</cp:revision>
  <cp:lastPrinted>2017-08-10T06:59:00Z</cp:lastPrinted>
  <dcterms:created xsi:type="dcterms:W3CDTF">2016-11-01T15:36:00Z</dcterms:created>
  <dcterms:modified xsi:type="dcterms:W3CDTF">2017-08-10T07:00:00Z</dcterms:modified>
</cp:coreProperties>
</file>