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08" w:rsidRPr="00874549" w:rsidRDefault="00345E08" w:rsidP="00675437">
      <w:pPr>
        <w:pStyle w:val="a4"/>
        <w:ind w:firstLine="708"/>
        <w:jc w:val="center"/>
        <w:rPr>
          <w:b/>
          <w:bCs/>
          <w:szCs w:val="28"/>
        </w:rPr>
      </w:pPr>
      <w:r w:rsidRPr="00874549">
        <w:rPr>
          <w:b/>
          <w:bCs/>
          <w:szCs w:val="28"/>
        </w:rPr>
        <w:t>Довідка про</w:t>
      </w:r>
      <w:r w:rsidR="00675437" w:rsidRPr="00874549">
        <w:rPr>
          <w:b/>
          <w:bCs/>
          <w:szCs w:val="28"/>
        </w:rPr>
        <w:t xml:space="preserve"> виконання бюджету</w:t>
      </w:r>
      <w:r w:rsidRPr="00874549">
        <w:rPr>
          <w:b/>
          <w:bCs/>
          <w:szCs w:val="28"/>
        </w:rPr>
        <w:t xml:space="preserve"> міста Запоріжжя</w:t>
      </w:r>
    </w:p>
    <w:p w:rsidR="00675437" w:rsidRPr="00874549" w:rsidRDefault="00675437" w:rsidP="00675437">
      <w:pPr>
        <w:pStyle w:val="a4"/>
        <w:ind w:firstLine="708"/>
        <w:jc w:val="center"/>
        <w:rPr>
          <w:b/>
          <w:bCs/>
          <w:szCs w:val="28"/>
        </w:rPr>
      </w:pPr>
      <w:r w:rsidRPr="00874549">
        <w:rPr>
          <w:b/>
          <w:bCs/>
          <w:szCs w:val="28"/>
        </w:rPr>
        <w:t xml:space="preserve">за </w:t>
      </w:r>
      <w:r w:rsidR="00DB2BBA" w:rsidRPr="00874549">
        <w:rPr>
          <w:b/>
          <w:bCs/>
          <w:szCs w:val="28"/>
        </w:rPr>
        <w:t>І</w:t>
      </w:r>
      <w:r w:rsidR="00684F72" w:rsidRPr="00874549">
        <w:rPr>
          <w:b/>
          <w:bCs/>
          <w:szCs w:val="28"/>
        </w:rPr>
        <w:t xml:space="preserve"> </w:t>
      </w:r>
      <w:r w:rsidR="00F37068" w:rsidRPr="00874549">
        <w:rPr>
          <w:b/>
          <w:bCs/>
          <w:szCs w:val="28"/>
        </w:rPr>
        <w:t xml:space="preserve">квартал </w:t>
      </w:r>
      <w:r w:rsidR="00050D58" w:rsidRPr="00874549">
        <w:rPr>
          <w:b/>
          <w:bCs/>
          <w:szCs w:val="28"/>
        </w:rPr>
        <w:t>20</w:t>
      </w:r>
      <w:r w:rsidR="00684F72" w:rsidRPr="00874549">
        <w:rPr>
          <w:b/>
          <w:bCs/>
          <w:szCs w:val="28"/>
        </w:rPr>
        <w:t>20</w:t>
      </w:r>
      <w:r w:rsidRPr="00874549">
        <w:rPr>
          <w:b/>
          <w:bCs/>
          <w:szCs w:val="28"/>
        </w:rPr>
        <w:t xml:space="preserve"> р</w:t>
      </w:r>
      <w:r w:rsidR="00FD2F5C" w:rsidRPr="00874549">
        <w:rPr>
          <w:b/>
          <w:bCs/>
          <w:szCs w:val="28"/>
        </w:rPr>
        <w:t>о</w:t>
      </w:r>
      <w:r w:rsidR="00D853F7" w:rsidRPr="00874549">
        <w:rPr>
          <w:b/>
          <w:bCs/>
          <w:szCs w:val="28"/>
        </w:rPr>
        <w:t>к</w:t>
      </w:r>
      <w:r w:rsidR="00FD2F5C" w:rsidRPr="00874549">
        <w:rPr>
          <w:b/>
          <w:bCs/>
          <w:szCs w:val="28"/>
        </w:rPr>
        <w:t>у</w:t>
      </w:r>
    </w:p>
    <w:p w:rsidR="00E60F57" w:rsidRPr="00874549" w:rsidRDefault="00E60F57" w:rsidP="00675437">
      <w:pPr>
        <w:pStyle w:val="a4"/>
        <w:ind w:firstLine="708"/>
        <w:jc w:val="center"/>
        <w:rPr>
          <w:b/>
          <w:bCs/>
          <w:szCs w:val="28"/>
        </w:rPr>
      </w:pPr>
    </w:p>
    <w:p w:rsidR="001B2700" w:rsidRPr="001B2700" w:rsidRDefault="001B2700" w:rsidP="001B2700">
      <w:pPr>
        <w:spacing w:line="264" w:lineRule="auto"/>
        <w:ind w:firstLine="708"/>
        <w:jc w:val="both"/>
        <w:rPr>
          <w:sz w:val="28"/>
          <w:szCs w:val="28"/>
          <w:lang w:val="uk-UA"/>
        </w:rPr>
      </w:pPr>
      <w:r w:rsidRPr="001B2700">
        <w:rPr>
          <w:sz w:val="28"/>
          <w:szCs w:val="28"/>
          <w:lang w:val="uk-UA"/>
        </w:rPr>
        <w:t xml:space="preserve">Обсяг доходів бюджету міста станом на 01.04.2020 року склав 1 866,2 млн.грн., в тому числі </w:t>
      </w:r>
      <w:r w:rsidR="00E60F57">
        <w:rPr>
          <w:sz w:val="28"/>
          <w:szCs w:val="28"/>
          <w:lang w:val="uk-UA"/>
        </w:rPr>
        <w:t xml:space="preserve">за </w:t>
      </w:r>
      <w:r w:rsidRPr="001B2700">
        <w:rPr>
          <w:sz w:val="28"/>
          <w:szCs w:val="28"/>
          <w:lang w:val="uk-UA"/>
        </w:rPr>
        <w:t>загальн</w:t>
      </w:r>
      <w:r w:rsidR="00E60F57">
        <w:rPr>
          <w:sz w:val="28"/>
          <w:szCs w:val="28"/>
          <w:lang w:val="uk-UA"/>
        </w:rPr>
        <w:t>им</w:t>
      </w:r>
      <w:r w:rsidRPr="001B2700">
        <w:rPr>
          <w:sz w:val="28"/>
          <w:szCs w:val="28"/>
          <w:lang w:val="uk-UA"/>
        </w:rPr>
        <w:t xml:space="preserve"> фонд</w:t>
      </w:r>
      <w:r w:rsidR="00E60F57">
        <w:rPr>
          <w:sz w:val="28"/>
          <w:szCs w:val="28"/>
          <w:lang w:val="uk-UA"/>
        </w:rPr>
        <w:t>ом</w:t>
      </w:r>
      <w:r w:rsidRPr="001B2700">
        <w:rPr>
          <w:sz w:val="28"/>
          <w:szCs w:val="28"/>
          <w:lang w:val="uk-UA"/>
        </w:rPr>
        <w:t xml:space="preserve"> – 1 451,0 млн.грн., спеціальн</w:t>
      </w:r>
      <w:r w:rsidR="00E60F57">
        <w:rPr>
          <w:sz w:val="28"/>
          <w:szCs w:val="28"/>
          <w:lang w:val="uk-UA"/>
        </w:rPr>
        <w:t>им</w:t>
      </w:r>
      <w:r w:rsidRPr="001B2700">
        <w:rPr>
          <w:sz w:val="28"/>
          <w:szCs w:val="28"/>
          <w:lang w:val="uk-UA"/>
        </w:rPr>
        <w:t xml:space="preserve"> – 61,6 млн.грн. та офіційн</w:t>
      </w:r>
      <w:r w:rsidR="00E60F57">
        <w:rPr>
          <w:sz w:val="28"/>
          <w:szCs w:val="28"/>
          <w:lang w:val="uk-UA"/>
        </w:rPr>
        <w:t>ими</w:t>
      </w:r>
      <w:r w:rsidRPr="001B2700">
        <w:rPr>
          <w:sz w:val="28"/>
          <w:szCs w:val="28"/>
          <w:lang w:val="uk-UA"/>
        </w:rPr>
        <w:t xml:space="preserve"> трансферт</w:t>
      </w:r>
      <w:r w:rsidR="00E60F57">
        <w:rPr>
          <w:sz w:val="28"/>
          <w:szCs w:val="28"/>
          <w:lang w:val="uk-UA"/>
        </w:rPr>
        <w:t>ам</w:t>
      </w:r>
      <w:r w:rsidRPr="001B2700">
        <w:rPr>
          <w:sz w:val="28"/>
          <w:szCs w:val="28"/>
          <w:lang w:val="uk-UA"/>
        </w:rPr>
        <w:t xml:space="preserve">и – 353,6 млн.грн. В порівнянні з аналогічним періодом </w:t>
      </w:r>
      <w:r w:rsidR="00E60F57">
        <w:rPr>
          <w:sz w:val="28"/>
          <w:szCs w:val="28"/>
          <w:lang w:val="uk-UA"/>
        </w:rPr>
        <w:t>минулого</w:t>
      </w:r>
      <w:r w:rsidRPr="001B2700">
        <w:rPr>
          <w:sz w:val="28"/>
          <w:szCs w:val="28"/>
          <w:lang w:val="uk-UA"/>
        </w:rPr>
        <w:t xml:space="preserve"> року власні доходи (без урахування трансфертів) збільшились на 7,9% або на 110,6 млн.грн. </w:t>
      </w:r>
    </w:p>
    <w:p w:rsidR="001B2700" w:rsidRDefault="001B2700" w:rsidP="001B2700">
      <w:pPr>
        <w:spacing w:line="264" w:lineRule="auto"/>
        <w:jc w:val="both"/>
        <w:rPr>
          <w:szCs w:val="28"/>
        </w:rPr>
      </w:pPr>
      <w:r>
        <w:rPr>
          <w:noProof/>
          <w:szCs w:val="28"/>
        </w:rPr>
        <w:drawing>
          <wp:inline distT="0" distB="0" distL="0" distR="0">
            <wp:extent cx="6089650" cy="2000250"/>
            <wp:effectExtent l="76200" t="19050" r="63500" b="19050"/>
            <wp:docPr id="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B2700" w:rsidRPr="001B2700" w:rsidRDefault="00E60F57" w:rsidP="001B2700">
      <w:pPr>
        <w:spacing w:line="264" w:lineRule="auto"/>
        <w:ind w:firstLine="708"/>
        <w:jc w:val="both"/>
        <w:rPr>
          <w:sz w:val="28"/>
          <w:szCs w:val="28"/>
          <w:lang w:val="uk-UA"/>
        </w:rPr>
      </w:pPr>
      <w:r>
        <w:rPr>
          <w:sz w:val="28"/>
          <w:szCs w:val="28"/>
          <w:lang w:val="uk-UA"/>
        </w:rPr>
        <w:t>П</w:t>
      </w:r>
      <w:r w:rsidRPr="001B2700">
        <w:rPr>
          <w:sz w:val="28"/>
          <w:szCs w:val="28"/>
          <w:lang w:val="uk-UA"/>
        </w:rPr>
        <w:t>орівнян</w:t>
      </w:r>
      <w:r>
        <w:rPr>
          <w:sz w:val="28"/>
          <w:szCs w:val="28"/>
          <w:lang w:val="uk-UA"/>
        </w:rPr>
        <w:t>о</w:t>
      </w:r>
      <w:r w:rsidRPr="001B2700">
        <w:rPr>
          <w:sz w:val="28"/>
          <w:szCs w:val="28"/>
          <w:lang w:val="uk-UA"/>
        </w:rPr>
        <w:t xml:space="preserve"> з січнем-березнем 2019 року </w:t>
      </w:r>
      <w:r>
        <w:rPr>
          <w:sz w:val="28"/>
          <w:szCs w:val="28"/>
          <w:lang w:val="uk-UA"/>
        </w:rPr>
        <w:t xml:space="preserve">обсяг доході загального фонду без урахування трансфертів з бюджетів інших рівнів </w:t>
      </w:r>
      <w:r w:rsidR="007E7A2E">
        <w:rPr>
          <w:sz w:val="28"/>
          <w:szCs w:val="28"/>
          <w:lang w:val="uk-UA"/>
        </w:rPr>
        <w:t xml:space="preserve">зріс на </w:t>
      </w:r>
      <w:r w:rsidRPr="001B2700">
        <w:rPr>
          <w:sz w:val="28"/>
          <w:szCs w:val="28"/>
          <w:lang w:val="uk-UA"/>
        </w:rPr>
        <w:t>10,0% або на 131,5 млн.грн.</w:t>
      </w:r>
      <w:r w:rsidR="007E7A2E">
        <w:rPr>
          <w:sz w:val="28"/>
          <w:szCs w:val="28"/>
          <w:lang w:val="uk-UA"/>
        </w:rPr>
        <w:t xml:space="preserve"> Однак темпи зростання нижчі за очікувані, тому п</w:t>
      </w:r>
      <w:r w:rsidR="001B2700" w:rsidRPr="001B2700">
        <w:rPr>
          <w:sz w:val="28"/>
          <w:szCs w:val="28"/>
          <w:lang w:val="uk-UA"/>
        </w:rPr>
        <w:t>лан</w:t>
      </w:r>
      <w:r w:rsidR="007E7A2E">
        <w:rPr>
          <w:sz w:val="28"/>
          <w:szCs w:val="28"/>
          <w:lang w:val="uk-UA"/>
        </w:rPr>
        <w:t>ові показники І кварталу поточного року</w:t>
      </w:r>
      <w:r w:rsidR="001B2700" w:rsidRPr="001B2700">
        <w:rPr>
          <w:sz w:val="28"/>
          <w:szCs w:val="28"/>
          <w:lang w:val="uk-UA"/>
        </w:rPr>
        <w:t xml:space="preserve"> невиконан</w:t>
      </w:r>
      <w:r w:rsidR="007E7A2E">
        <w:rPr>
          <w:sz w:val="28"/>
          <w:szCs w:val="28"/>
          <w:lang w:val="uk-UA"/>
        </w:rPr>
        <w:t>і</w:t>
      </w:r>
      <w:r w:rsidR="001B2700" w:rsidRPr="001B2700">
        <w:rPr>
          <w:sz w:val="28"/>
          <w:szCs w:val="28"/>
          <w:lang w:val="uk-UA"/>
        </w:rPr>
        <w:t xml:space="preserve"> на 1,5% або на 22,1 млн.грн. </w:t>
      </w:r>
    </w:p>
    <w:p w:rsidR="001B2700" w:rsidRPr="001B2700" w:rsidRDefault="001B2700" w:rsidP="001B2700">
      <w:pPr>
        <w:spacing w:line="264" w:lineRule="auto"/>
        <w:ind w:firstLine="708"/>
        <w:jc w:val="both"/>
        <w:rPr>
          <w:sz w:val="28"/>
          <w:szCs w:val="28"/>
          <w:lang w:val="uk-UA"/>
        </w:rPr>
      </w:pPr>
      <w:r w:rsidRPr="001B2700">
        <w:rPr>
          <w:sz w:val="28"/>
          <w:szCs w:val="28"/>
          <w:lang w:val="uk-UA"/>
        </w:rPr>
        <w:t xml:space="preserve">Найбільшим чином поповнив бюджет податок на доходи фізичних осіб (893,2 млн.грн. або 61,6% в доходах загального фонду). Порівняно з показником відповідного періоду минулого року надходження податку збільшились на 5,1% (проти врахованого при затвердженні бюджету темпі зростання на 10,4%) або на 43,6 млн.грн. </w:t>
      </w:r>
    </w:p>
    <w:p w:rsidR="001B2700" w:rsidRPr="001B2700" w:rsidRDefault="001B2700" w:rsidP="001B2700">
      <w:pPr>
        <w:spacing w:line="264" w:lineRule="auto"/>
        <w:ind w:firstLine="708"/>
        <w:jc w:val="both"/>
        <w:rPr>
          <w:sz w:val="28"/>
          <w:szCs w:val="28"/>
          <w:lang w:val="uk-UA"/>
        </w:rPr>
      </w:pPr>
      <w:r w:rsidRPr="001B2700">
        <w:rPr>
          <w:sz w:val="28"/>
          <w:szCs w:val="28"/>
          <w:lang w:val="uk-UA"/>
        </w:rPr>
        <w:t xml:space="preserve">Зниження темпів зростання та невиконання запланованого показника на 4,5% (на 42,6 млн.грн.) пояснюється складною ситуацією, що </w:t>
      </w:r>
      <w:r w:rsidR="00BB4311">
        <w:rPr>
          <w:sz w:val="28"/>
          <w:szCs w:val="28"/>
          <w:lang w:val="uk-UA"/>
        </w:rPr>
        <w:t>спостерігається</w:t>
      </w:r>
      <w:r w:rsidRPr="001B2700">
        <w:rPr>
          <w:sz w:val="28"/>
          <w:szCs w:val="28"/>
          <w:lang w:val="uk-UA"/>
        </w:rPr>
        <w:t xml:space="preserve"> на багатьох провідних підприємствах металургії та машинобудування через сучасні економічні умови, нестабільний зовнішній ринок, зменшення експорту продукції, постійне зростання вартості енергоносіїв та сировини, брак обігових коштів. На підприємствах відбувається призупинення виробництва, простої обладнання, згортання потужностей, встановлення режиму неповного робочого часу, скорочення чисельності працюючих тощо.</w:t>
      </w:r>
    </w:p>
    <w:p w:rsidR="001B2700" w:rsidRPr="001B2700" w:rsidRDefault="001B2700" w:rsidP="001B2700">
      <w:pPr>
        <w:spacing w:line="264" w:lineRule="auto"/>
        <w:ind w:firstLine="708"/>
        <w:jc w:val="both"/>
        <w:rPr>
          <w:sz w:val="28"/>
          <w:szCs w:val="28"/>
          <w:lang w:val="uk-UA"/>
        </w:rPr>
      </w:pPr>
      <w:r w:rsidRPr="001B2700">
        <w:rPr>
          <w:sz w:val="28"/>
          <w:szCs w:val="28"/>
          <w:lang w:val="uk-UA"/>
        </w:rPr>
        <w:t xml:space="preserve">Крім того, ситуація погіршилась введенням з 17 березня поточного року на території міста обмежувальних заходів у зв’язку з оголошенням в країні карантину </w:t>
      </w:r>
      <w:proofErr w:type="spellStart"/>
      <w:r w:rsidRPr="001B2700">
        <w:rPr>
          <w:sz w:val="28"/>
          <w:szCs w:val="28"/>
          <w:lang w:val="uk-UA"/>
        </w:rPr>
        <w:t>коронавірусу</w:t>
      </w:r>
      <w:proofErr w:type="spellEnd"/>
      <w:r w:rsidRPr="001B2700">
        <w:rPr>
          <w:sz w:val="28"/>
          <w:szCs w:val="28"/>
          <w:lang w:val="uk-UA"/>
        </w:rPr>
        <w:t xml:space="preserve"> СOVID 19, внаслідок яких зупинено роботу </w:t>
      </w:r>
      <w:r w:rsidR="00277A37">
        <w:rPr>
          <w:sz w:val="28"/>
          <w:szCs w:val="28"/>
          <w:lang w:val="uk-UA"/>
        </w:rPr>
        <w:t>багатьох</w:t>
      </w:r>
      <w:r w:rsidRPr="001B2700">
        <w:rPr>
          <w:sz w:val="28"/>
          <w:szCs w:val="28"/>
          <w:lang w:val="uk-UA"/>
        </w:rPr>
        <w:t xml:space="preserve"> об’єктів загального користування. Таким чином, на тлі зменшення джерел отримання доходів відбувається і зниження перерахування до бюджету податку на доходи фізичних осіб.</w:t>
      </w:r>
    </w:p>
    <w:p w:rsidR="001B2700" w:rsidRPr="005C5B62" w:rsidRDefault="001B2700" w:rsidP="001B2700">
      <w:pPr>
        <w:pStyle w:val="2"/>
        <w:spacing w:after="0" w:line="264" w:lineRule="auto"/>
        <w:ind w:left="0" w:firstLine="540"/>
        <w:jc w:val="both"/>
        <w:rPr>
          <w:sz w:val="28"/>
          <w:szCs w:val="28"/>
          <w:lang w:val="uk-UA"/>
        </w:rPr>
      </w:pPr>
      <w:r w:rsidRPr="005C5B62">
        <w:rPr>
          <w:sz w:val="28"/>
          <w:szCs w:val="28"/>
          <w:lang w:val="uk-UA"/>
        </w:rPr>
        <w:lastRenderedPageBreak/>
        <w:t>Надходження місцевих податків і зборів склали 428,7 млн.грн. або 97,8% до плану. Невиконання плану пояснюється не</w:t>
      </w:r>
      <w:r w:rsidR="00277A37">
        <w:rPr>
          <w:sz w:val="28"/>
          <w:szCs w:val="28"/>
          <w:lang w:val="uk-UA"/>
        </w:rPr>
        <w:t xml:space="preserve">доотриманням </w:t>
      </w:r>
      <w:r w:rsidRPr="005C5B62">
        <w:rPr>
          <w:sz w:val="28"/>
          <w:szCs w:val="28"/>
          <w:lang w:val="uk-UA"/>
        </w:rPr>
        <w:t>єдино</w:t>
      </w:r>
      <w:r w:rsidR="00277A37">
        <w:rPr>
          <w:sz w:val="28"/>
          <w:szCs w:val="28"/>
          <w:lang w:val="uk-UA"/>
        </w:rPr>
        <w:t>го</w:t>
      </w:r>
      <w:r w:rsidRPr="005C5B62">
        <w:rPr>
          <w:sz w:val="28"/>
          <w:szCs w:val="28"/>
          <w:lang w:val="uk-UA"/>
        </w:rPr>
        <w:t xml:space="preserve"> податку на 3,3% або на 6,6 млн.грн. та плат</w:t>
      </w:r>
      <w:r w:rsidR="00277A37">
        <w:rPr>
          <w:sz w:val="28"/>
          <w:szCs w:val="28"/>
          <w:lang w:val="uk-UA"/>
        </w:rPr>
        <w:t>и</w:t>
      </w:r>
      <w:r w:rsidRPr="005C5B62">
        <w:rPr>
          <w:sz w:val="28"/>
          <w:szCs w:val="28"/>
          <w:lang w:val="uk-UA"/>
        </w:rPr>
        <w:t xml:space="preserve"> за землю – на 1,6% або на 3,5 млн.грн.</w:t>
      </w:r>
    </w:p>
    <w:p w:rsidR="001B2700" w:rsidRPr="00301A95" w:rsidRDefault="001B2700" w:rsidP="001B2700">
      <w:pPr>
        <w:pStyle w:val="2"/>
        <w:spacing w:after="0" w:line="264" w:lineRule="auto"/>
        <w:ind w:left="0" w:firstLine="540"/>
        <w:jc w:val="both"/>
        <w:rPr>
          <w:sz w:val="28"/>
          <w:szCs w:val="28"/>
          <w:lang w:val="uk-UA"/>
        </w:rPr>
      </w:pPr>
      <w:r w:rsidRPr="005C5B62">
        <w:rPr>
          <w:sz w:val="28"/>
          <w:szCs w:val="28"/>
          <w:lang w:val="uk-UA"/>
        </w:rPr>
        <w:t>В місцевих податках і зборах 55,1% займає податок на майно – 236,3 млн.грн. В його складі найбільшим джерелом є плата за землю (222,4 млн.грн.). В порівнянні з аналогічним періодом 2019 року відбулось її зменшення на 1,9 млн.грн. в основному в частині оренди землі</w:t>
      </w:r>
      <w:r w:rsidR="00B37957">
        <w:rPr>
          <w:sz w:val="28"/>
          <w:szCs w:val="28"/>
          <w:lang w:val="uk-UA"/>
        </w:rPr>
        <w:t>, що</w:t>
      </w:r>
      <w:r w:rsidRPr="005C5B62">
        <w:rPr>
          <w:sz w:val="28"/>
          <w:szCs w:val="28"/>
          <w:lang w:val="uk-UA"/>
        </w:rPr>
        <w:t xml:space="preserve"> пояснюється зростанням податкової заборгованості по орендній платі за землю на 11,3 млн.грн. або на 7,4%.</w:t>
      </w:r>
    </w:p>
    <w:p w:rsidR="001B2700" w:rsidRDefault="001B2700" w:rsidP="001B2700">
      <w:pPr>
        <w:pStyle w:val="2"/>
        <w:spacing w:after="0" w:line="240" w:lineRule="auto"/>
        <w:ind w:left="0"/>
        <w:jc w:val="both"/>
        <w:rPr>
          <w:sz w:val="28"/>
          <w:szCs w:val="28"/>
          <w:lang w:val="uk-UA"/>
        </w:rPr>
      </w:pPr>
      <w:r>
        <w:rPr>
          <w:noProof/>
          <w:sz w:val="28"/>
          <w:szCs w:val="28"/>
        </w:rPr>
        <w:drawing>
          <wp:inline distT="0" distB="0" distL="0" distR="0">
            <wp:extent cx="6153150" cy="3962400"/>
            <wp:effectExtent l="0" t="0" r="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4311" w:rsidRDefault="00BB4311" w:rsidP="001B2700">
      <w:pPr>
        <w:pStyle w:val="2"/>
        <w:spacing w:after="0" w:line="264" w:lineRule="auto"/>
        <w:ind w:left="0" w:firstLine="540"/>
        <w:jc w:val="both"/>
        <w:rPr>
          <w:sz w:val="28"/>
          <w:szCs w:val="28"/>
          <w:lang w:val="uk-UA"/>
        </w:rPr>
      </w:pPr>
    </w:p>
    <w:p w:rsidR="001B2700" w:rsidRPr="005C5B62" w:rsidRDefault="001B2700" w:rsidP="001B2700">
      <w:pPr>
        <w:pStyle w:val="2"/>
        <w:spacing w:after="0" w:line="264" w:lineRule="auto"/>
        <w:ind w:left="0" w:firstLine="540"/>
        <w:jc w:val="both"/>
        <w:rPr>
          <w:sz w:val="28"/>
          <w:szCs w:val="28"/>
          <w:lang w:val="uk-UA"/>
        </w:rPr>
      </w:pPr>
      <w:r w:rsidRPr="005C5B62">
        <w:rPr>
          <w:sz w:val="28"/>
          <w:szCs w:val="28"/>
          <w:lang w:val="uk-UA"/>
        </w:rPr>
        <w:t xml:space="preserve">Обсяг сплати єдиного податку склав 191,8 млн.грн. За підсумками звітного кварталу план недовиконаний на 3,3% або на 6,6 млн.грн. </w:t>
      </w:r>
      <w:r w:rsidR="005268CC">
        <w:rPr>
          <w:sz w:val="28"/>
          <w:szCs w:val="28"/>
          <w:lang w:val="uk-UA"/>
        </w:rPr>
        <w:t>На виконання плану негативно позначилась з</w:t>
      </w:r>
      <w:r w:rsidRPr="005C5B62">
        <w:rPr>
          <w:sz w:val="28"/>
          <w:szCs w:val="28"/>
          <w:lang w:val="uk-UA"/>
        </w:rPr>
        <w:t>упинк</w:t>
      </w:r>
      <w:r w:rsidR="005268CC">
        <w:rPr>
          <w:sz w:val="28"/>
          <w:szCs w:val="28"/>
          <w:lang w:val="uk-UA"/>
        </w:rPr>
        <w:t>а</w:t>
      </w:r>
      <w:r w:rsidRPr="005C5B62">
        <w:rPr>
          <w:sz w:val="28"/>
          <w:szCs w:val="28"/>
          <w:lang w:val="uk-UA"/>
        </w:rPr>
        <w:t xml:space="preserve"> роботи </w:t>
      </w:r>
      <w:r w:rsidR="005268CC">
        <w:rPr>
          <w:sz w:val="28"/>
          <w:szCs w:val="28"/>
          <w:lang w:val="uk-UA"/>
        </w:rPr>
        <w:t xml:space="preserve">в рамках дії карантину </w:t>
      </w:r>
      <w:r w:rsidRPr="005C5B62">
        <w:rPr>
          <w:sz w:val="28"/>
          <w:szCs w:val="28"/>
          <w:lang w:val="uk-UA"/>
        </w:rPr>
        <w:t xml:space="preserve">об’єктів </w:t>
      </w:r>
      <w:r w:rsidR="005268CC">
        <w:rPr>
          <w:sz w:val="28"/>
          <w:szCs w:val="28"/>
          <w:lang w:val="uk-UA"/>
        </w:rPr>
        <w:t xml:space="preserve">громадського харчування, </w:t>
      </w:r>
      <w:r w:rsidRPr="005C5B62">
        <w:rPr>
          <w:sz w:val="28"/>
          <w:szCs w:val="28"/>
          <w:lang w:val="uk-UA"/>
        </w:rPr>
        <w:t>торговельно-розважальних цен</w:t>
      </w:r>
      <w:r w:rsidR="005268CC">
        <w:rPr>
          <w:sz w:val="28"/>
          <w:szCs w:val="28"/>
          <w:lang w:val="uk-UA"/>
        </w:rPr>
        <w:t>трів, частини магазинів, ринків тощо</w:t>
      </w:r>
      <w:r w:rsidRPr="005C5B62">
        <w:rPr>
          <w:sz w:val="28"/>
          <w:szCs w:val="28"/>
          <w:lang w:val="uk-UA"/>
        </w:rPr>
        <w:t xml:space="preserve">. </w:t>
      </w:r>
    </w:p>
    <w:p w:rsidR="001B2700" w:rsidRPr="00CD5CDC" w:rsidRDefault="001B2700" w:rsidP="001B2700">
      <w:pPr>
        <w:pStyle w:val="2"/>
        <w:spacing w:after="0" w:line="264" w:lineRule="auto"/>
        <w:ind w:left="0" w:firstLine="540"/>
        <w:jc w:val="both"/>
        <w:rPr>
          <w:szCs w:val="28"/>
          <w:lang w:val="uk-UA"/>
        </w:rPr>
      </w:pPr>
      <w:r w:rsidRPr="005C5B62">
        <w:rPr>
          <w:sz w:val="28"/>
          <w:szCs w:val="28"/>
          <w:lang w:val="uk-UA"/>
        </w:rPr>
        <w:t>Надходження акцизного податку склали 71,2 млн.грн., план виконаний на 100,2%. В порівнянні з січнем-березнем 2019 року його обсяг збільшився на 38,0 млн.грн. (більш ніж у 2 рази), в тому числі з пального</w:t>
      </w:r>
      <w:r w:rsidR="005268CC">
        <w:rPr>
          <w:sz w:val="28"/>
          <w:szCs w:val="28"/>
          <w:lang w:val="uk-UA"/>
        </w:rPr>
        <w:t xml:space="preserve"> -</w:t>
      </w:r>
      <w:r w:rsidRPr="005C5B62">
        <w:rPr>
          <w:sz w:val="28"/>
          <w:szCs w:val="28"/>
          <w:lang w:val="uk-UA"/>
        </w:rPr>
        <w:t xml:space="preserve"> на 28,9 млн.грн. (торік у І кварталі надходження були відсутні) та з реалізації суб’єктами господарювання роздрібної торгівлі підакцизних товарів – на 9,1 млн.грн. або на 27,3% (з реалізації алкогольних напоїв – на 4,0 млн.грн. та тютюнових виробів - на 5,1 млн.грн.).</w:t>
      </w:r>
    </w:p>
    <w:p w:rsidR="001B2700" w:rsidRPr="001B2700" w:rsidRDefault="001B2700" w:rsidP="001B2700">
      <w:pPr>
        <w:spacing w:line="264" w:lineRule="auto"/>
        <w:ind w:firstLine="540"/>
        <w:jc w:val="both"/>
        <w:rPr>
          <w:sz w:val="28"/>
          <w:szCs w:val="28"/>
          <w:lang w:val="uk-UA"/>
        </w:rPr>
      </w:pPr>
      <w:r w:rsidRPr="001B2700">
        <w:rPr>
          <w:sz w:val="28"/>
          <w:szCs w:val="28"/>
          <w:lang w:val="uk-UA"/>
        </w:rPr>
        <w:t>Плати за надання інших адміністративних послуг надійшло в розмірі</w:t>
      </w:r>
      <w:r w:rsidR="00E60F57">
        <w:rPr>
          <w:sz w:val="28"/>
          <w:szCs w:val="28"/>
          <w:lang w:val="uk-UA"/>
        </w:rPr>
        <w:t xml:space="preserve"> 8,5 млн.грн. (107,3% до плану), що на </w:t>
      </w:r>
      <w:r w:rsidRPr="001B2700">
        <w:rPr>
          <w:sz w:val="28"/>
          <w:szCs w:val="28"/>
          <w:lang w:val="uk-UA"/>
        </w:rPr>
        <w:t>0,3 млн.грн. або на 3,9%</w:t>
      </w:r>
      <w:r w:rsidR="00E60F57">
        <w:rPr>
          <w:sz w:val="28"/>
          <w:szCs w:val="28"/>
          <w:lang w:val="uk-UA"/>
        </w:rPr>
        <w:t xml:space="preserve"> </w:t>
      </w:r>
      <w:r w:rsidR="0086461C">
        <w:rPr>
          <w:sz w:val="28"/>
          <w:szCs w:val="28"/>
          <w:lang w:val="uk-UA"/>
        </w:rPr>
        <w:t xml:space="preserve">більше </w:t>
      </w:r>
      <w:r w:rsidR="00E60F57">
        <w:rPr>
          <w:sz w:val="28"/>
          <w:szCs w:val="28"/>
          <w:lang w:val="uk-UA"/>
        </w:rPr>
        <w:lastRenderedPageBreak/>
        <w:t>відповідн</w:t>
      </w:r>
      <w:r w:rsidR="0086461C">
        <w:rPr>
          <w:sz w:val="28"/>
          <w:szCs w:val="28"/>
          <w:lang w:val="uk-UA"/>
        </w:rPr>
        <w:t>ого</w:t>
      </w:r>
      <w:r w:rsidR="00E60F57">
        <w:rPr>
          <w:sz w:val="28"/>
          <w:szCs w:val="28"/>
          <w:lang w:val="uk-UA"/>
        </w:rPr>
        <w:t xml:space="preserve"> минулорічн</w:t>
      </w:r>
      <w:r w:rsidR="0086461C">
        <w:rPr>
          <w:sz w:val="28"/>
          <w:szCs w:val="28"/>
          <w:lang w:val="uk-UA"/>
        </w:rPr>
        <w:t>ого</w:t>
      </w:r>
      <w:r w:rsidR="00E60F57">
        <w:rPr>
          <w:sz w:val="28"/>
          <w:szCs w:val="28"/>
          <w:lang w:val="uk-UA"/>
        </w:rPr>
        <w:t xml:space="preserve"> показник</w:t>
      </w:r>
      <w:r w:rsidR="0086461C">
        <w:rPr>
          <w:sz w:val="28"/>
          <w:szCs w:val="28"/>
          <w:lang w:val="uk-UA"/>
        </w:rPr>
        <w:t>а</w:t>
      </w:r>
      <w:r w:rsidR="00E60F57">
        <w:rPr>
          <w:sz w:val="28"/>
          <w:szCs w:val="28"/>
          <w:lang w:val="uk-UA"/>
        </w:rPr>
        <w:t xml:space="preserve">. Зазначене </w:t>
      </w:r>
      <w:r w:rsidRPr="001B2700">
        <w:rPr>
          <w:sz w:val="28"/>
          <w:szCs w:val="28"/>
          <w:lang w:val="uk-UA"/>
        </w:rPr>
        <w:t xml:space="preserve">пов’язане зі зменшенням обсягу надання платних послуг населенню через введення </w:t>
      </w:r>
      <w:r w:rsidR="00EF39EA">
        <w:rPr>
          <w:sz w:val="28"/>
          <w:szCs w:val="28"/>
          <w:lang w:val="uk-UA"/>
        </w:rPr>
        <w:t xml:space="preserve">обмежувальних </w:t>
      </w:r>
      <w:proofErr w:type="spellStart"/>
      <w:r w:rsidR="00EF39EA">
        <w:rPr>
          <w:sz w:val="28"/>
          <w:szCs w:val="28"/>
          <w:lang w:val="uk-UA"/>
        </w:rPr>
        <w:t>протиепідеміологічних</w:t>
      </w:r>
      <w:proofErr w:type="spellEnd"/>
      <w:r w:rsidR="00EF39EA">
        <w:rPr>
          <w:sz w:val="28"/>
          <w:szCs w:val="28"/>
          <w:lang w:val="uk-UA"/>
        </w:rPr>
        <w:t xml:space="preserve"> заходів</w:t>
      </w:r>
      <w:r w:rsidRPr="001B2700">
        <w:rPr>
          <w:sz w:val="28"/>
          <w:szCs w:val="28"/>
          <w:lang w:val="uk-UA"/>
        </w:rPr>
        <w:t>.</w:t>
      </w:r>
    </w:p>
    <w:p w:rsidR="001B2700" w:rsidRPr="005C5B62" w:rsidRDefault="001B2700" w:rsidP="001B2700">
      <w:pPr>
        <w:pStyle w:val="a4"/>
        <w:spacing w:line="264" w:lineRule="auto"/>
        <w:ind w:firstLine="540"/>
        <w:rPr>
          <w:szCs w:val="28"/>
        </w:rPr>
      </w:pPr>
      <w:r w:rsidRPr="005C5B62">
        <w:rPr>
          <w:szCs w:val="28"/>
        </w:rPr>
        <w:t>Крім того, до бюджету надійшло податку на прибуток підприємств комунальної власності та частини чистого прибутку, що вилучається до бюджету, в сумі 37,3 млн.грн. та 1,3 млн.грн. відповідно, орендної плати за користування майном комунальної власності – 4,9 млн.грн., адміністративного збору за проведення державної реєстрації юридичних осіб, фізичних осіб – підприємств та громадських формувань – 0,7 млн.грн., адміністративного збору за державну реєстрацію речових прав на нерухоме майно та їх обтяжень – 0,4 млн.грн. та інших податків, зборів і обов’язкових платежів на загальну суму 4,8 млн.грн.</w:t>
      </w:r>
    </w:p>
    <w:p w:rsidR="001B2700" w:rsidRPr="005C5B62" w:rsidRDefault="001B2700" w:rsidP="001B2700">
      <w:pPr>
        <w:pStyle w:val="2"/>
        <w:spacing w:after="0" w:line="264" w:lineRule="auto"/>
        <w:ind w:left="0" w:firstLine="540"/>
        <w:jc w:val="both"/>
        <w:rPr>
          <w:sz w:val="28"/>
          <w:szCs w:val="28"/>
          <w:lang w:val="uk-UA"/>
        </w:rPr>
      </w:pPr>
      <w:r w:rsidRPr="005C5B62">
        <w:rPr>
          <w:sz w:val="28"/>
          <w:szCs w:val="28"/>
          <w:lang w:val="uk-UA"/>
        </w:rPr>
        <w:t xml:space="preserve">В порівнянні з </w:t>
      </w:r>
      <w:r w:rsidR="00683CDF">
        <w:rPr>
          <w:sz w:val="28"/>
          <w:szCs w:val="28"/>
          <w:lang w:val="uk-UA"/>
        </w:rPr>
        <w:t xml:space="preserve">минулорічними </w:t>
      </w:r>
      <w:r w:rsidRPr="005C5B62">
        <w:rPr>
          <w:sz w:val="28"/>
          <w:szCs w:val="28"/>
          <w:lang w:val="uk-UA"/>
        </w:rPr>
        <w:t>надходженнями І квартал</w:t>
      </w:r>
      <w:r w:rsidR="00683CDF">
        <w:rPr>
          <w:sz w:val="28"/>
          <w:szCs w:val="28"/>
          <w:lang w:val="uk-UA"/>
        </w:rPr>
        <w:t>у</w:t>
      </w:r>
      <w:r w:rsidRPr="005C5B62">
        <w:rPr>
          <w:sz w:val="28"/>
          <w:szCs w:val="28"/>
          <w:lang w:val="uk-UA"/>
        </w:rPr>
        <w:t xml:space="preserve"> </w:t>
      </w:r>
      <w:r w:rsidR="00EF39EA">
        <w:rPr>
          <w:sz w:val="28"/>
          <w:szCs w:val="28"/>
          <w:lang w:val="uk-UA"/>
        </w:rPr>
        <w:t>доходи спеціального фонду з</w:t>
      </w:r>
      <w:r w:rsidRPr="005C5B62">
        <w:rPr>
          <w:sz w:val="28"/>
          <w:szCs w:val="28"/>
          <w:lang w:val="uk-UA"/>
        </w:rPr>
        <w:t>менш</w:t>
      </w:r>
      <w:r w:rsidR="00EF39EA">
        <w:rPr>
          <w:sz w:val="28"/>
          <w:szCs w:val="28"/>
          <w:lang w:val="uk-UA"/>
        </w:rPr>
        <w:t xml:space="preserve">ились </w:t>
      </w:r>
      <w:r w:rsidRPr="005C5B62">
        <w:rPr>
          <w:sz w:val="28"/>
          <w:szCs w:val="28"/>
          <w:lang w:val="uk-UA"/>
        </w:rPr>
        <w:t>на 20,9 млн.грн. або на 25,3%, в тому числі значн</w:t>
      </w:r>
      <w:r w:rsidR="00EA26F6">
        <w:rPr>
          <w:sz w:val="28"/>
          <w:szCs w:val="28"/>
          <w:lang w:val="uk-UA"/>
        </w:rPr>
        <w:t xml:space="preserve">о за </w:t>
      </w:r>
      <w:r w:rsidRPr="005C5B62">
        <w:rPr>
          <w:sz w:val="28"/>
          <w:szCs w:val="28"/>
          <w:lang w:val="uk-UA"/>
        </w:rPr>
        <w:t>власни</w:t>
      </w:r>
      <w:r w:rsidR="00EA26F6">
        <w:rPr>
          <w:sz w:val="28"/>
          <w:szCs w:val="28"/>
          <w:lang w:val="uk-UA"/>
        </w:rPr>
        <w:t xml:space="preserve">ми </w:t>
      </w:r>
      <w:r w:rsidRPr="005C5B62">
        <w:rPr>
          <w:sz w:val="28"/>
          <w:szCs w:val="28"/>
          <w:lang w:val="uk-UA"/>
        </w:rPr>
        <w:t>надходжен</w:t>
      </w:r>
      <w:r w:rsidR="00EA26F6">
        <w:rPr>
          <w:sz w:val="28"/>
          <w:szCs w:val="28"/>
          <w:lang w:val="uk-UA"/>
        </w:rPr>
        <w:t>нями</w:t>
      </w:r>
      <w:r w:rsidRPr="005C5B62">
        <w:rPr>
          <w:sz w:val="28"/>
          <w:szCs w:val="28"/>
          <w:lang w:val="uk-UA"/>
        </w:rPr>
        <w:t xml:space="preserve"> бюджетних установ </w:t>
      </w:r>
      <w:r w:rsidR="00EA26F6">
        <w:rPr>
          <w:sz w:val="28"/>
          <w:szCs w:val="28"/>
          <w:lang w:val="uk-UA"/>
        </w:rPr>
        <w:t xml:space="preserve">- </w:t>
      </w:r>
      <w:r w:rsidRPr="005C5B62">
        <w:rPr>
          <w:sz w:val="28"/>
          <w:szCs w:val="28"/>
          <w:lang w:val="uk-UA"/>
        </w:rPr>
        <w:t>на 27,9 млн.грн.</w:t>
      </w:r>
      <w:r w:rsidR="00EA26F6">
        <w:rPr>
          <w:sz w:val="28"/>
          <w:szCs w:val="28"/>
          <w:lang w:val="uk-UA"/>
        </w:rPr>
        <w:t>, щ</w:t>
      </w:r>
      <w:r w:rsidR="00766232">
        <w:rPr>
          <w:sz w:val="28"/>
          <w:szCs w:val="28"/>
          <w:lang w:val="uk-UA"/>
        </w:rPr>
        <w:t>о</w:t>
      </w:r>
      <w:r w:rsidR="00EA26F6">
        <w:rPr>
          <w:sz w:val="28"/>
          <w:szCs w:val="28"/>
          <w:lang w:val="uk-UA"/>
        </w:rPr>
        <w:t xml:space="preserve"> пов’язано зі зміною </w:t>
      </w:r>
      <w:r w:rsidR="00766232">
        <w:rPr>
          <w:sz w:val="28"/>
          <w:szCs w:val="28"/>
          <w:lang w:val="uk-UA"/>
        </w:rPr>
        <w:t>організаційно-правової форми закладів охорони здоров’я в рамках реформування галузі;</w:t>
      </w:r>
      <w:r w:rsidRPr="005C5B62">
        <w:rPr>
          <w:sz w:val="28"/>
          <w:szCs w:val="28"/>
          <w:lang w:val="uk-UA"/>
        </w:rPr>
        <w:t xml:space="preserve"> коштів від продажу землі - на 7,1 млн.грн. та коштів пайової участі у розвитку інфраструктури міста – на 2,0 млн.грн. Поряд з цим, збільшились надходження коштів від відчуження майна комунальної власності на 16,9 млн.грн.</w:t>
      </w:r>
    </w:p>
    <w:p w:rsidR="001B2700" w:rsidRDefault="001B2700" w:rsidP="001B2700">
      <w:pPr>
        <w:spacing w:line="264" w:lineRule="auto"/>
        <w:jc w:val="both"/>
        <w:rPr>
          <w:szCs w:val="28"/>
          <w:lang w:val="uk-UA"/>
        </w:rPr>
      </w:pPr>
      <w:r>
        <w:rPr>
          <w:noProof/>
          <w:szCs w:val="28"/>
        </w:rPr>
        <w:drawing>
          <wp:inline distT="0" distB="0" distL="0" distR="0">
            <wp:extent cx="6013450" cy="3619500"/>
            <wp:effectExtent l="0" t="0" r="0"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6232" w:rsidRPr="00766232" w:rsidRDefault="00766232" w:rsidP="001B2700">
      <w:pPr>
        <w:spacing w:line="264" w:lineRule="auto"/>
        <w:jc w:val="both"/>
        <w:rPr>
          <w:szCs w:val="28"/>
          <w:lang w:val="uk-UA"/>
        </w:rPr>
      </w:pPr>
    </w:p>
    <w:p w:rsidR="001B2700" w:rsidRPr="001B2700" w:rsidRDefault="001B2700" w:rsidP="001B2700">
      <w:pPr>
        <w:pStyle w:val="2"/>
        <w:spacing w:after="0" w:line="264" w:lineRule="auto"/>
        <w:ind w:left="0" w:firstLine="709"/>
        <w:jc w:val="both"/>
        <w:rPr>
          <w:sz w:val="28"/>
          <w:szCs w:val="28"/>
          <w:lang w:val="uk-UA"/>
        </w:rPr>
      </w:pPr>
      <w:r w:rsidRPr="001B2700">
        <w:rPr>
          <w:sz w:val="28"/>
          <w:szCs w:val="28"/>
          <w:lang w:val="uk-UA"/>
        </w:rPr>
        <w:t xml:space="preserve">Бюджет розвитку за звітний період поповнився на 19,3 млн.грн., в тому числі коштами від відчуження майна комунальної власності – на 18,9 млн.грн. та пайової участі у розвитку інфраструктури – на 0,4 млн.грн.  </w:t>
      </w:r>
    </w:p>
    <w:p w:rsidR="001B2700" w:rsidRPr="005C5B62" w:rsidRDefault="00766232" w:rsidP="001B2700">
      <w:pPr>
        <w:pStyle w:val="2"/>
        <w:spacing w:after="0" w:line="264" w:lineRule="auto"/>
        <w:ind w:left="0" w:firstLine="709"/>
        <w:jc w:val="both"/>
        <w:rPr>
          <w:sz w:val="28"/>
          <w:szCs w:val="28"/>
          <w:lang w:val="uk-UA"/>
        </w:rPr>
      </w:pPr>
      <w:r>
        <w:rPr>
          <w:sz w:val="28"/>
          <w:szCs w:val="28"/>
          <w:lang w:val="uk-UA"/>
        </w:rPr>
        <w:lastRenderedPageBreak/>
        <w:t>Д</w:t>
      </w:r>
      <w:r w:rsidR="001B2700" w:rsidRPr="005C5B62">
        <w:rPr>
          <w:sz w:val="28"/>
          <w:szCs w:val="28"/>
          <w:lang w:val="uk-UA"/>
        </w:rPr>
        <w:t xml:space="preserve">о бюджету міста надійшло офіційних трансфертів </w:t>
      </w:r>
      <w:r>
        <w:rPr>
          <w:sz w:val="28"/>
          <w:szCs w:val="28"/>
          <w:lang w:val="uk-UA"/>
        </w:rPr>
        <w:t xml:space="preserve">з бюджетів інших рівнів </w:t>
      </w:r>
      <w:r w:rsidR="001B2700" w:rsidRPr="005C5B62">
        <w:rPr>
          <w:sz w:val="28"/>
          <w:szCs w:val="28"/>
          <w:lang w:val="uk-UA"/>
        </w:rPr>
        <w:t>на загальну суму 353,6 млн.грн., в тому числі:</w:t>
      </w:r>
    </w:p>
    <w:p w:rsidR="001B2700" w:rsidRPr="005C5B62" w:rsidRDefault="001B2700" w:rsidP="001B2700">
      <w:pPr>
        <w:pStyle w:val="2"/>
        <w:numPr>
          <w:ilvl w:val="0"/>
          <w:numId w:val="17"/>
        </w:numPr>
        <w:spacing w:after="0" w:line="264" w:lineRule="auto"/>
        <w:ind w:left="0" w:firstLine="709"/>
        <w:jc w:val="both"/>
        <w:rPr>
          <w:sz w:val="28"/>
          <w:szCs w:val="28"/>
          <w:lang w:val="uk-UA"/>
        </w:rPr>
      </w:pPr>
      <w:r w:rsidRPr="005C5B62">
        <w:rPr>
          <w:sz w:val="28"/>
          <w:szCs w:val="28"/>
          <w:lang w:val="uk-UA"/>
        </w:rPr>
        <w:t>освітньої субвенції – 194,6 млн.грн.;</w:t>
      </w:r>
    </w:p>
    <w:p w:rsidR="001B2700" w:rsidRPr="005C5B62" w:rsidRDefault="001B2700" w:rsidP="001B2700">
      <w:pPr>
        <w:pStyle w:val="2"/>
        <w:numPr>
          <w:ilvl w:val="0"/>
          <w:numId w:val="17"/>
        </w:numPr>
        <w:spacing w:after="0" w:line="264" w:lineRule="auto"/>
        <w:ind w:left="0" w:firstLine="709"/>
        <w:jc w:val="both"/>
        <w:rPr>
          <w:sz w:val="28"/>
          <w:szCs w:val="28"/>
          <w:lang w:val="uk-UA"/>
        </w:rPr>
      </w:pPr>
      <w:r w:rsidRPr="005C5B62">
        <w:rPr>
          <w:sz w:val="28"/>
          <w:szCs w:val="28"/>
          <w:lang w:val="uk-UA"/>
        </w:rPr>
        <w:t>медичної субвенції – 148,6 млн.грн.;</w:t>
      </w:r>
    </w:p>
    <w:p w:rsidR="001B2700" w:rsidRPr="005C5B62" w:rsidRDefault="001B2700" w:rsidP="001B2700">
      <w:pPr>
        <w:pStyle w:val="2"/>
        <w:numPr>
          <w:ilvl w:val="0"/>
          <w:numId w:val="17"/>
        </w:numPr>
        <w:spacing w:after="0" w:line="264" w:lineRule="auto"/>
        <w:ind w:left="0" w:firstLine="709"/>
        <w:jc w:val="both"/>
        <w:rPr>
          <w:sz w:val="28"/>
          <w:szCs w:val="28"/>
          <w:lang w:val="uk-UA"/>
        </w:rPr>
      </w:pPr>
      <w:r w:rsidRPr="005C5B62">
        <w:rPr>
          <w:sz w:val="28"/>
          <w:szCs w:val="28"/>
          <w:lang w:val="uk-UA"/>
        </w:rPr>
        <w:t>субвенцій на виконання окремих заходів та програм у сфері освіти і охорони здоров’я – 7,5 млн.грн.;</w:t>
      </w:r>
    </w:p>
    <w:p w:rsidR="00057BFF" w:rsidRPr="001B2700" w:rsidRDefault="001B2700" w:rsidP="00684F72">
      <w:pPr>
        <w:pStyle w:val="2"/>
        <w:numPr>
          <w:ilvl w:val="0"/>
          <w:numId w:val="17"/>
        </w:numPr>
        <w:spacing w:after="0" w:line="264" w:lineRule="auto"/>
        <w:ind w:left="0" w:firstLine="709"/>
        <w:jc w:val="both"/>
        <w:rPr>
          <w:sz w:val="28"/>
          <w:szCs w:val="28"/>
          <w:lang w:val="uk-UA"/>
        </w:rPr>
      </w:pPr>
      <w:r w:rsidRPr="005C5B62">
        <w:rPr>
          <w:sz w:val="28"/>
          <w:szCs w:val="28"/>
          <w:lang w:val="uk-UA"/>
        </w:rPr>
        <w:t>додаткової дотації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 2,9 млн.грн.</w:t>
      </w:r>
    </w:p>
    <w:p w:rsidR="0048361D" w:rsidRPr="00684F72" w:rsidRDefault="00612A5A" w:rsidP="00555DCF">
      <w:pPr>
        <w:ind w:firstLine="708"/>
        <w:jc w:val="both"/>
        <w:rPr>
          <w:rFonts w:eastAsia="Calibri"/>
          <w:color w:val="000000" w:themeColor="text1"/>
          <w:sz w:val="28"/>
          <w:szCs w:val="28"/>
          <w:lang w:val="uk-UA"/>
        </w:rPr>
      </w:pPr>
      <w:r w:rsidRPr="00684F72">
        <w:rPr>
          <w:rFonts w:eastAsia="Calibri"/>
          <w:color w:val="000000" w:themeColor="text1"/>
          <w:sz w:val="28"/>
          <w:szCs w:val="28"/>
          <w:lang w:val="uk-UA"/>
        </w:rPr>
        <w:t xml:space="preserve">Видатки бюджету </w:t>
      </w:r>
      <w:r w:rsidR="00B75A0B" w:rsidRPr="00684F72">
        <w:rPr>
          <w:rFonts w:eastAsia="Calibri"/>
          <w:color w:val="000000" w:themeColor="text1"/>
          <w:sz w:val="28"/>
          <w:szCs w:val="28"/>
          <w:lang w:val="uk-UA"/>
        </w:rPr>
        <w:t>міста проведені</w:t>
      </w:r>
      <w:r w:rsidR="00F37068" w:rsidRPr="00684F72">
        <w:rPr>
          <w:rFonts w:eastAsia="Calibri"/>
          <w:color w:val="000000" w:themeColor="text1"/>
          <w:sz w:val="28"/>
          <w:szCs w:val="28"/>
          <w:lang w:val="uk-UA"/>
        </w:rPr>
        <w:t xml:space="preserve"> в обсязі </w:t>
      </w:r>
      <w:r w:rsidR="00D858A9" w:rsidRPr="00684F72">
        <w:rPr>
          <w:rFonts w:eastAsia="Calibri"/>
          <w:color w:val="000000" w:themeColor="text1"/>
          <w:sz w:val="28"/>
          <w:szCs w:val="28"/>
          <w:lang w:val="uk-UA"/>
        </w:rPr>
        <w:t>1</w:t>
      </w:r>
      <w:r w:rsidR="00B75A0B" w:rsidRPr="00684F72">
        <w:rPr>
          <w:rFonts w:eastAsia="Calibri"/>
          <w:color w:val="000000" w:themeColor="text1"/>
          <w:sz w:val="28"/>
          <w:szCs w:val="28"/>
          <w:lang w:val="uk-UA"/>
        </w:rPr>
        <w:t> </w:t>
      </w:r>
      <w:r w:rsidR="00684F72" w:rsidRPr="00684F72">
        <w:rPr>
          <w:rFonts w:eastAsia="Calibri"/>
          <w:color w:val="000000" w:themeColor="text1"/>
          <w:sz w:val="28"/>
          <w:szCs w:val="28"/>
          <w:lang w:val="uk-UA"/>
        </w:rPr>
        <w:t>794</w:t>
      </w:r>
      <w:r w:rsidR="00F37068" w:rsidRPr="00684F72">
        <w:rPr>
          <w:rFonts w:eastAsia="Calibri"/>
          <w:color w:val="000000" w:themeColor="text1"/>
          <w:sz w:val="28"/>
          <w:szCs w:val="28"/>
          <w:lang w:val="uk-UA"/>
        </w:rPr>
        <w:t>,</w:t>
      </w:r>
      <w:r w:rsidR="00684F72" w:rsidRPr="00684F72">
        <w:rPr>
          <w:rFonts w:eastAsia="Calibri"/>
          <w:color w:val="000000" w:themeColor="text1"/>
          <w:sz w:val="28"/>
          <w:szCs w:val="28"/>
          <w:lang w:val="uk-UA"/>
        </w:rPr>
        <w:t>2</w:t>
      </w:r>
      <w:r w:rsidR="00B75A0B" w:rsidRPr="00684F72">
        <w:rPr>
          <w:rFonts w:eastAsia="Calibri"/>
          <w:color w:val="000000" w:themeColor="text1"/>
          <w:sz w:val="28"/>
          <w:szCs w:val="28"/>
          <w:lang w:val="uk-UA"/>
        </w:rPr>
        <w:t> </w:t>
      </w:r>
      <w:r w:rsidRPr="00684F72">
        <w:rPr>
          <w:rFonts w:eastAsia="Calibri"/>
          <w:color w:val="000000" w:themeColor="text1"/>
          <w:sz w:val="28"/>
          <w:szCs w:val="28"/>
          <w:lang w:val="uk-UA"/>
        </w:rPr>
        <w:t>млн.грн., в тому чис</w:t>
      </w:r>
      <w:r w:rsidR="00F37068" w:rsidRPr="00684F72">
        <w:rPr>
          <w:rFonts w:eastAsia="Calibri"/>
          <w:color w:val="000000" w:themeColor="text1"/>
          <w:sz w:val="28"/>
          <w:szCs w:val="28"/>
          <w:lang w:val="uk-UA"/>
        </w:rPr>
        <w:t xml:space="preserve">лі </w:t>
      </w:r>
      <w:r w:rsidR="00B75A0B" w:rsidRPr="00684F72">
        <w:rPr>
          <w:color w:val="000000" w:themeColor="text1"/>
          <w:sz w:val="28"/>
          <w:szCs w:val="28"/>
          <w:lang w:val="uk-UA"/>
        </w:rPr>
        <w:t>за</w:t>
      </w:r>
      <w:r w:rsidR="00F37068" w:rsidRPr="00684F72">
        <w:rPr>
          <w:color w:val="000000" w:themeColor="text1"/>
          <w:sz w:val="28"/>
          <w:szCs w:val="28"/>
          <w:lang w:val="uk-UA"/>
        </w:rPr>
        <w:t xml:space="preserve"> загальн</w:t>
      </w:r>
      <w:r w:rsidR="00B75A0B" w:rsidRPr="00684F72">
        <w:rPr>
          <w:color w:val="000000" w:themeColor="text1"/>
          <w:sz w:val="28"/>
          <w:szCs w:val="28"/>
          <w:lang w:val="uk-UA"/>
        </w:rPr>
        <w:t>и</w:t>
      </w:r>
      <w:r w:rsidR="00F37068" w:rsidRPr="00684F72">
        <w:rPr>
          <w:color w:val="000000" w:themeColor="text1"/>
          <w:sz w:val="28"/>
          <w:szCs w:val="28"/>
          <w:lang w:val="uk-UA"/>
        </w:rPr>
        <w:t>м фонд</w:t>
      </w:r>
      <w:r w:rsidR="00B75A0B" w:rsidRPr="00684F72">
        <w:rPr>
          <w:color w:val="000000" w:themeColor="text1"/>
          <w:sz w:val="28"/>
          <w:szCs w:val="28"/>
          <w:lang w:val="uk-UA"/>
        </w:rPr>
        <w:t>ом</w:t>
      </w:r>
      <w:r w:rsidR="00F37068" w:rsidRPr="00684F72">
        <w:rPr>
          <w:color w:val="000000" w:themeColor="text1"/>
          <w:sz w:val="28"/>
          <w:szCs w:val="28"/>
          <w:lang w:val="uk-UA"/>
        </w:rPr>
        <w:t xml:space="preserve"> – 1 </w:t>
      </w:r>
      <w:r w:rsidR="00684F72" w:rsidRPr="00684F72">
        <w:rPr>
          <w:color w:val="000000" w:themeColor="text1"/>
          <w:sz w:val="28"/>
          <w:szCs w:val="28"/>
          <w:lang w:val="uk-UA"/>
        </w:rPr>
        <w:t>577</w:t>
      </w:r>
      <w:r w:rsidR="00F37068" w:rsidRPr="00684F72">
        <w:rPr>
          <w:color w:val="000000" w:themeColor="text1"/>
          <w:sz w:val="28"/>
          <w:szCs w:val="28"/>
          <w:lang w:val="uk-UA"/>
        </w:rPr>
        <w:t>,</w:t>
      </w:r>
      <w:r w:rsidR="00684F72" w:rsidRPr="00684F72">
        <w:rPr>
          <w:color w:val="000000" w:themeColor="text1"/>
          <w:sz w:val="28"/>
          <w:szCs w:val="28"/>
          <w:lang w:val="uk-UA"/>
        </w:rPr>
        <w:t>0</w:t>
      </w:r>
      <w:r w:rsidR="00F37068" w:rsidRPr="00684F72">
        <w:rPr>
          <w:color w:val="000000" w:themeColor="text1"/>
          <w:sz w:val="28"/>
          <w:szCs w:val="28"/>
          <w:lang w:val="uk-UA"/>
        </w:rPr>
        <w:t> млн.грн. або 9</w:t>
      </w:r>
      <w:r w:rsidR="00684F72" w:rsidRPr="00684F72">
        <w:rPr>
          <w:color w:val="000000" w:themeColor="text1"/>
          <w:sz w:val="28"/>
          <w:szCs w:val="28"/>
          <w:lang w:val="uk-UA"/>
        </w:rPr>
        <w:t>3</w:t>
      </w:r>
      <w:r w:rsidR="00F37068" w:rsidRPr="00684F72">
        <w:rPr>
          <w:color w:val="000000" w:themeColor="text1"/>
          <w:sz w:val="28"/>
          <w:szCs w:val="28"/>
          <w:lang w:val="uk-UA"/>
        </w:rPr>
        <w:t>,</w:t>
      </w:r>
      <w:r w:rsidR="00684F72" w:rsidRPr="00684F72">
        <w:rPr>
          <w:color w:val="000000" w:themeColor="text1"/>
          <w:sz w:val="28"/>
          <w:szCs w:val="28"/>
          <w:lang w:val="uk-UA"/>
        </w:rPr>
        <w:t>6</w:t>
      </w:r>
      <w:r w:rsidRPr="00684F72">
        <w:rPr>
          <w:color w:val="000000" w:themeColor="text1"/>
          <w:sz w:val="28"/>
          <w:szCs w:val="28"/>
          <w:lang w:val="uk-UA"/>
        </w:rPr>
        <w:t>% планових показників на відповідний періо</w:t>
      </w:r>
      <w:r w:rsidR="00F37068" w:rsidRPr="00684F72">
        <w:rPr>
          <w:color w:val="000000" w:themeColor="text1"/>
          <w:sz w:val="28"/>
          <w:szCs w:val="28"/>
          <w:lang w:val="uk-UA"/>
        </w:rPr>
        <w:t xml:space="preserve">д, </w:t>
      </w:r>
      <w:r w:rsidR="00B75A0B" w:rsidRPr="00684F72">
        <w:rPr>
          <w:color w:val="000000" w:themeColor="text1"/>
          <w:sz w:val="28"/>
          <w:szCs w:val="28"/>
          <w:lang w:val="uk-UA"/>
        </w:rPr>
        <w:t>за</w:t>
      </w:r>
      <w:r w:rsidR="00F37068" w:rsidRPr="00684F72">
        <w:rPr>
          <w:color w:val="000000" w:themeColor="text1"/>
          <w:sz w:val="28"/>
          <w:szCs w:val="28"/>
          <w:lang w:val="uk-UA"/>
        </w:rPr>
        <w:t xml:space="preserve"> спе</w:t>
      </w:r>
      <w:bookmarkStart w:id="0" w:name="_GoBack"/>
      <w:bookmarkEnd w:id="0"/>
      <w:r w:rsidR="00F37068" w:rsidRPr="00684F72">
        <w:rPr>
          <w:color w:val="000000" w:themeColor="text1"/>
          <w:sz w:val="28"/>
          <w:szCs w:val="28"/>
          <w:lang w:val="uk-UA"/>
        </w:rPr>
        <w:t>ціальн</w:t>
      </w:r>
      <w:r w:rsidR="00B75A0B" w:rsidRPr="00684F72">
        <w:rPr>
          <w:color w:val="000000" w:themeColor="text1"/>
          <w:sz w:val="28"/>
          <w:szCs w:val="28"/>
          <w:lang w:val="uk-UA"/>
        </w:rPr>
        <w:t>им</w:t>
      </w:r>
      <w:r w:rsidR="00F37068" w:rsidRPr="00684F72">
        <w:rPr>
          <w:color w:val="000000" w:themeColor="text1"/>
          <w:sz w:val="28"/>
          <w:szCs w:val="28"/>
          <w:lang w:val="uk-UA"/>
        </w:rPr>
        <w:t xml:space="preserve"> фонд</w:t>
      </w:r>
      <w:r w:rsidR="00B75A0B" w:rsidRPr="00684F72">
        <w:rPr>
          <w:color w:val="000000" w:themeColor="text1"/>
          <w:sz w:val="28"/>
          <w:szCs w:val="28"/>
          <w:lang w:val="uk-UA"/>
        </w:rPr>
        <w:t>ом</w:t>
      </w:r>
      <w:r w:rsidR="00F37068" w:rsidRPr="00684F72">
        <w:rPr>
          <w:color w:val="000000" w:themeColor="text1"/>
          <w:sz w:val="28"/>
          <w:szCs w:val="28"/>
          <w:lang w:val="uk-UA"/>
        </w:rPr>
        <w:t xml:space="preserve"> – </w:t>
      </w:r>
      <w:r w:rsidR="00684F72" w:rsidRPr="00684F72">
        <w:rPr>
          <w:color w:val="000000" w:themeColor="text1"/>
          <w:sz w:val="28"/>
          <w:szCs w:val="28"/>
          <w:lang w:val="uk-UA"/>
        </w:rPr>
        <w:t>217</w:t>
      </w:r>
      <w:r w:rsidR="00F37068" w:rsidRPr="00684F72">
        <w:rPr>
          <w:color w:val="000000" w:themeColor="text1"/>
          <w:sz w:val="28"/>
          <w:szCs w:val="28"/>
          <w:lang w:val="uk-UA"/>
        </w:rPr>
        <w:t>,</w:t>
      </w:r>
      <w:r w:rsidR="00684F72" w:rsidRPr="00684F72">
        <w:rPr>
          <w:color w:val="000000" w:themeColor="text1"/>
          <w:sz w:val="28"/>
          <w:szCs w:val="28"/>
          <w:lang w:val="uk-UA"/>
        </w:rPr>
        <w:t>2</w:t>
      </w:r>
      <w:r w:rsidRPr="00684F72">
        <w:rPr>
          <w:color w:val="000000" w:themeColor="text1"/>
          <w:sz w:val="28"/>
          <w:szCs w:val="28"/>
          <w:lang w:val="uk-UA"/>
        </w:rPr>
        <w:t xml:space="preserve"> млн.грн., з яких </w:t>
      </w:r>
      <w:r w:rsidR="00F37068" w:rsidRPr="00684F72">
        <w:rPr>
          <w:color w:val="000000" w:themeColor="text1"/>
          <w:sz w:val="28"/>
          <w:szCs w:val="28"/>
          <w:lang w:val="uk-UA"/>
        </w:rPr>
        <w:t>видатки бюджету розвитку</w:t>
      </w:r>
      <w:r w:rsidR="00F37068" w:rsidRPr="00684F72">
        <w:rPr>
          <w:rFonts w:eastAsia="Calibri"/>
          <w:color w:val="000000" w:themeColor="text1"/>
          <w:sz w:val="28"/>
          <w:szCs w:val="28"/>
          <w:lang w:val="uk-UA"/>
        </w:rPr>
        <w:t xml:space="preserve"> – </w:t>
      </w:r>
      <w:r w:rsidR="00684F72" w:rsidRPr="00684F72">
        <w:rPr>
          <w:rFonts w:eastAsia="Calibri"/>
          <w:color w:val="000000" w:themeColor="text1"/>
          <w:sz w:val="28"/>
          <w:szCs w:val="28"/>
          <w:lang w:val="uk-UA"/>
        </w:rPr>
        <w:t>181</w:t>
      </w:r>
      <w:r w:rsidR="00F37068" w:rsidRPr="00684F72">
        <w:rPr>
          <w:rFonts w:eastAsia="Calibri"/>
          <w:color w:val="000000" w:themeColor="text1"/>
          <w:sz w:val="28"/>
          <w:szCs w:val="28"/>
          <w:lang w:val="uk-UA"/>
        </w:rPr>
        <w:t>,</w:t>
      </w:r>
      <w:r w:rsidR="00684F72" w:rsidRPr="00684F72">
        <w:rPr>
          <w:rFonts w:eastAsia="Calibri"/>
          <w:color w:val="000000" w:themeColor="text1"/>
          <w:sz w:val="28"/>
          <w:szCs w:val="28"/>
          <w:lang w:val="uk-UA"/>
        </w:rPr>
        <w:t>2</w:t>
      </w:r>
      <w:r w:rsidR="00F37068" w:rsidRPr="00684F72">
        <w:rPr>
          <w:rFonts w:eastAsia="Calibri"/>
          <w:color w:val="000000" w:themeColor="text1"/>
          <w:sz w:val="28"/>
          <w:szCs w:val="28"/>
          <w:lang w:val="uk-UA"/>
        </w:rPr>
        <w:t xml:space="preserve"> млн.грн., що становить </w:t>
      </w:r>
      <w:r w:rsidR="00684F72" w:rsidRPr="00684F72">
        <w:rPr>
          <w:rFonts w:eastAsia="Calibri"/>
          <w:color w:val="000000" w:themeColor="text1"/>
          <w:sz w:val="28"/>
          <w:szCs w:val="28"/>
          <w:lang w:val="uk-UA"/>
        </w:rPr>
        <w:t>64</w:t>
      </w:r>
      <w:r w:rsidR="00F37068" w:rsidRPr="00684F72">
        <w:rPr>
          <w:rFonts w:eastAsia="Calibri"/>
          <w:color w:val="000000" w:themeColor="text1"/>
          <w:sz w:val="28"/>
          <w:szCs w:val="28"/>
          <w:lang w:val="uk-UA"/>
        </w:rPr>
        <w:t>,</w:t>
      </w:r>
      <w:r w:rsidR="00684F72" w:rsidRPr="00684F72">
        <w:rPr>
          <w:rFonts w:eastAsia="Calibri"/>
          <w:color w:val="000000" w:themeColor="text1"/>
          <w:sz w:val="28"/>
          <w:szCs w:val="28"/>
          <w:lang w:val="uk-UA"/>
        </w:rPr>
        <w:t>7</w:t>
      </w:r>
      <w:r w:rsidRPr="00684F72">
        <w:rPr>
          <w:rFonts w:eastAsia="Calibri"/>
          <w:color w:val="000000" w:themeColor="text1"/>
          <w:sz w:val="28"/>
          <w:szCs w:val="28"/>
          <w:lang w:val="uk-UA"/>
        </w:rPr>
        <w:t>% планових показників на відповідний період. До державного бюджету перерахован</w:t>
      </w:r>
      <w:r w:rsidR="00F37068" w:rsidRPr="00684F72">
        <w:rPr>
          <w:rFonts w:eastAsia="Calibri"/>
          <w:color w:val="000000" w:themeColor="text1"/>
          <w:sz w:val="28"/>
          <w:szCs w:val="28"/>
          <w:lang w:val="uk-UA"/>
        </w:rPr>
        <w:t xml:space="preserve">о реверсної дотації в сумі </w:t>
      </w:r>
      <w:r w:rsidR="00684F72" w:rsidRPr="00684F72">
        <w:rPr>
          <w:rFonts w:eastAsia="Calibri"/>
          <w:color w:val="000000" w:themeColor="text1"/>
          <w:sz w:val="28"/>
          <w:szCs w:val="28"/>
          <w:lang w:val="uk-UA"/>
        </w:rPr>
        <w:t>119</w:t>
      </w:r>
      <w:r w:rsidR="00F37068" w:rsidRPr="00684F72">
        <w:rPr>
          <w:rFonts w:eastAsia="Calibri"/>
          <w:color w:val="000000" w:themeColor="text1"/>
          <w:sz w:val="28"/>
          <w:szCs w:val="28"/>
          <w:lang w:val="uk-UA"/>
        </w:rPr>
        <w:t>,</w:t>
      </w:r>
      <w:r w:rsidR="00684F72" w:rsidRPr="00684F72">
        <w:rPr>
          <w:rFonts w:eastAsia="Calibri"/>
          <w:color w:val="000000" w:themeColor="text1"/>
          <w:sz w:val="28"/>
          <w:szCs w:val="28"/>
          <w:lang w:val="uk-UA"/>
        </w:rPr>
        <w:t>4</w:t>
      </w:r>
      <w:r w:rsidRPr="00684F72">
        <w:rPr>
          <w:rFonts w:eastAsia="Calibri"/>
          <w:color w:val="000000" w:themeColor="text1"/>
          <w:sz w:val="28"/>
          <w:szCs w:val="28"/>
          <w:lang w:val="uk-UA"/>
        </w:rPr>
        <w:t> млн.грн., що дорівнює плановим показникам.</w:t>
      </w:r>
    </w:p>
    <w:p w:rsidR="00612A5A" w:rsidRPr="008C4787" w:rsidRDefault="00904452" w:rsidP="00612A5A">
      <w:pPr>
        <w:ind w:firstLine="708"/>
        <w:jc w:val="both"/>
        <w:rPr>
          <w:color w:val="000000" w:themeColor="text1"/>
          <w:sz w:val="28"/>
          <w:szCs w:val="28"/>
          <w:lang w:val="uk-UA"/>
        </w:rPr>
      </w:pPr>
      <w:r w:rsidRPr="008C4787">
        <w:rPr>
          <w:color w:val="000000" w:themeColor="text1"/>
          <w:sz w:val="28"/>
          <w:szCs w:val="28"/>
          <w:lang w:val="uk-UA"/>
        </w:rPr>
        <w:t>Майже</w:t>
      </w:r>
      <w:r w:rsidR="002633AF" w:rsidRPr="008C4787">
        <w:rPr>
          <w:color w:val="000000" w:themeColor="text1"/>
          <w:sz w:val="28"/>
          <w:szCs w:val="28"/>
          <w:lang w:val="uk-UA"/>
        </w:rPr>
        <w:t xml:space="preserve"> 69</w:t>
      </w:r>
      <w:r w:rsidR="00612A5A" w:rsidRPr="008C4787">
        <w:rPr>
          <w:color w:val="000000" w:themeColor="text1"/>
          <w:sz w:val="28"/>
          <w:szCs w:val="28"/>
          <w:lang w:val="uk-UA"/>
        </w:rPr>
        <w:t xml:space="preserve">,0% загального обсягу витрат склали захищені статті видатків, на які спрямовано </w:t>
      </w:r>
      <w:r w:rsidR="00872DD0" w:rsidRPr="008C4787">
        <w:rPr>
          <w:color w:val="000000" w:themeColor="text1"/>
          <w:sz w:val="28"/>
          <w:szCs w:val="28"/>
          <w:lang w:val="uk-UA"/>
        </w:rPr>
        <w:t>1 </w:t>
      </w:r>
      <w:r w:rsidR="002633AF" w:rsidRPr="008C4787">
        <w:rPr>
          <w:color w:val="000000" w:themeColor="text1"/>
          <w:sz w:val="28"/>
          <w:szCs w:val="28"/>
          <w:lang w:val="uk-UA"/>
        </w:rPr>
        <w:t>234</w:t>
      </w:r>
      <w:r w:rsidR="00872DD0" w:rsidRPr="008C4787">
        <w:rPr>
          <w:color w:val="000000" w:themeColor="text1"/>
          <w:sz w:val="28"/>
          <w:szCs w:val="28"/>
          <w:lang w:val="uk-UA"/>
        </w:rPr>
        <w:t>,</w:t>
      </w:r>
      <w:r w:rsidR="007A1574" w:rsidRPr="008C4787">
        <w:rPr>
          <w:color w:val="000000" w:themeColor="text1"/>
          <w:sz w:val="28"/>
          <w:szCs w:val="28"/>
          <w:lang w:val="uk-UA"/>
        </w:rPr>
        <w:t>7</w:t>
      </w:r>
      <w:r w:rsidR="00612A5A" w:rsidRPr="008C4787">
        <w:rPr>
          <w:color w:val="000000" w:themeColor="text1"/>
          <w:sz w:val="28"/>
          <w:szCs w:val="28"/>
          <w:lang w:val="uk-UA"/>
        </w:rPr>
        <w:t> млн.грн. Виплата заробітної плати здійснювалась своєчасно та в повному обсязі, заборгованість перед працівниками бюджетних установ відсутня.</w:t>
      </w:r>
    </w:p>
    <w:p w:rsidR="00CF2428" w:rsidRPr="008C4787" w:rsidRDefault="00CF2428" w:rsidP="00612A5A">
      <w:pPr>
        <w:ind w:firstLine="708"/>
        <w:jc w:val="both"/>
        <w:rPr>
          <w:color w:val="000000" w:themeColor="text1"/>
          <w:sz w:val="28"/>
          <w:szCs w:val="28"/>
          <w:lang w:val="uk-UA"/>
        </w:rPr>
      </w:pPr>
    </w:p>
    <w:p w:rsidR="00612A5A" w:rsidRPr="00766232" w:rsidRDefault="00612A5A" w:rsidP="00612A5A">
      <w:pPr>
        <w:ind w:firstLine="709"/>
        <w:jc w:val="center"/>
        <w:rPr>
          <w:b/>
          <w:sz w:val="28"/>
          <w:szCs w:val="28"/>
          <w:lang w:val="uk-UA"/>
        </w:rPr>
      </w:pPr>
      <w:r w:rsidRPr="00766232">
        <w:rPr>
          <w:b/>
          <w:sz w:val="28"/>
          <w:szCs w:val="28"/>
          <w:lang w:val="uk-UA"/>
        </w:rPr>
        <w:t xml:space="preserve">Структура видатків бюджету міста за функціональною ознакою </w:t>
      </w:r>
    </w:p>
    <w:p w:rsidR="00612A5A" w:rsidRPr="00766232" w:rsidRDefault="00612A5A" w:rsidP="00612A5A">
      <w:pPr>
        <w:ind w:firstLine="709"/>
        <w:jc w:val="center"/>
        <w:rPr>
          <w:b/>
          <w:sz w:val="28"/>
          <w:szCs w:val="28"/>
          <w:lang w:val="uk-UA"/>
        </w:rPr>
      </w:pPr>
      <w:r w:rsidRPr="00766232">
        <w:rPr>
          <w:b/>
          <w:sz w:val="28"/>
          <w:szCs w:val="28"/>
          <w:lang w:val="uk-UA"/>
        </w:rPr>
        <w:t xml:space="preserve">за І </w:t>
      </w:r>
      <w:r w:rsidR="00872DD0" w:rsidRPr="00766232">
        <w:rPr>
          <w:b/>
          <w:sz w:val="28"/>
          <w:szCs w:val="28"/>
          <w:lang w:val="uk-UA"/>
        </w:rPr>
        <w:t>квартал 20</w:t>
      </w:r>
      <w:r w:rsidR="00AD5BC2" w:rsidRPr="00766232">
        <w:rPr>
          <w:b/>
          <w:sz w:val="28"/>
          <w:szCs w:val="28"/>
          <w:lang w:val="uk-UA"/>
        </w:rPr>
        <w:t>20</w:t>
      </w:r>
      <w:r w:rsidRPr="00766232">
        <w:rPr>
          <w:b/>
          <w:sz w:val="28"/>
          <w:szCs w:val="28"/>
          <w:lang w:val="uk-UA"/>
        </w:rPr>
        <w:t xml:space="preserve"> року</w:t>
      </w:r>
    </w:p>
    <w:p w:rsidR="00C901DE" w:rsidRPr="002633AF" w:rsidRDefault="00C901DE" w:rsidP="00612A5A">
      <w:pPr>
        <w:ind w:firstLine="709"/>
        <w:jc w:val="center"/>
        <w:rPr>
          <w:b/>
          <w:i/>
          <w:color w:val="404040" w:themeColor="text1" w:themeTint="BF"/>
          <w:sz w:val="16"/>
          <w:szCs w:val="16"/>
          <w:lang w:val="uk-UA"/>
        </w:rPr>
      </w:pPr>
    </w:p>
    <w:p w:rsidR="00C901DE" w:rsidRPr="00DA767B" w:rsidRDefault="003069BE" w:rsidP="00C901DE">
      <w:pPr>
        <w:jc w:val="center"/>
        <w:rPr>
          <w:b/>
          <w:i/>
          <w:color w:val="FF0000"/>
          <w:sz w:val="26"/>
          <w:szCs w:val="26"/>
          <w:lang w:val="uk-UA"/>
        </w:rPr>
      </w:pPr>
      <w:r w:rsidRPr="003069BE">
        <w:rPr>
          <w:b/>
          <w:i/>
          <w:noProof/>
          <w:color w:val="FF0000"/>
          <w:sz w:val="26"/>
          <w:szCs w:val="26"/>
        </w:rPr>
        <w:drawing>
          <wp:inline distT="0" distB="0" distL="0" distR="0">
            <wp:extent cx="5975350" cy="4076700"/>
            <wp:effectExtent l="57150" t="19050" r="444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3A60" w:rsidRPr="008C4787" w:rsidRDefault="00D33A60" w:rsidP="00612A5A">
      <w:pPr>
        <w:pStyle w:val="justifyfull"/>
        <w:spacing w:before="0" w:beforeAutospacing="0" w:after="0" w:afterAutospacing="0"/>
        <w:ind w:firstLine="708"/>
        <w:jc w:val="both"/>
        <w:rPr>
          <w:rFonts w:eastAsia="Calibri"/>
          <w:sz w:val="28"/>
          <w:szCs w:val="28"/>
          <w:lang w:val="uk-UA"/>
        </w:rPr>
      </w:pPr>
    </w:p>
    <w:p w:rsidR="00612A5A" w:rsidRPr="008C4787" w:rsidRDefault="00612A5A" w:rsidP="00612A5A">
      <w:pPr>
        <w:pStyle w:val="justifyfull"/>
        <w:spacing w:before="0" w:beforeAutospacing="0" w:after="0" w:afterAutospacing="0"/>
        <w:ind w:firstLine="708"/>
        <w:jc w:val="both"/>
        <w:rPr>
          <w:rFonts w:eastAsia="Calibri"/>
          <w:sz w:val="28"/>
          <w:szCs w:val="28"/>
          <w:lang w:val="uk-UA"/>
        </w:rPr>
      </w:pPr>
      <w:r w:rsidRPr="008C4787">
        <w:rPr>
          <w:rFonts w:eastAsia="Calibri"/>
          <w:sz w:val="28"/>
          <w:szCs w:val="28"/>
          <w:lang w:val="uk-UA"/>
        </w:rPr>
        <w:t>Видатки проведені за наступними основними напрямками:</w:t>
      </w:r>
    </w:p>
    <w:p w:rsidR="00F27115" w:rsidRPr="008C4787" w:rsidRDefault="00612A5A" w:rsidP="00F27115">
      <w:pPr>
        <w:pStyle w:val="justifyfull"/>
        <w:numPr>
          <w:ilvl w:val="0"/>
          <w:numId w:val="15"/>
        </w:numPr>
        <w:spacing w:before="0" w:beforeAutospacing="0" w:after="0" w:afterAutospacing="0"/>
        <w:ind w:left="0" w:firstLine="708"/>
        <w:jc w:val="both"/>
        <w:rPr>
          <w:rFonts w:eastAsia="Calibri"/>
          <w:sz w:val="28"/>
          <w:szCs w:val="28"/>
          <w:lang w:val="uk-UA"/>
        </w:rPr>
      </w:pPr>
      <w:r w:rsidRPr="008C4787">
        <w:rPr>
          <w:rFonts w:eastAsia="Calibri"/>
          <w:sz w:val="28"/>
          <w:szCs w:val="28"/>
          <w:lang w:val="uk-UA"/>
        </w:rPr>
        <w:lastRenderedPageBreak/>
        <w:t xml:space="preserve">На реалізацію міських програм соціального </w:t>
      </w:r>
      <w:r w:rsidR="003202A3" w:rsidRPr="008C4787">
        <w:rPr>
          <w:rFonts w:eastAsia="Calibri"/>
          <w:sz w:val="28"/>
          <w:szCs w:val="28"/>
          <w:lang w:val="uk-UA"/>
        </w:rPr>
        <w:t xml:space="preserve">захисту витрачено </w:t>
      </w:r>
      <w:r w:rsidR="0078377D" w:rsidRPr="008C4787">
        <w:rPr>
          <w:rFonts w:eastAsia="Calibri"/>
          <w:sz w:val="28"/>
          <w:szCs w:val="28"/>
          <w:lang w:val="uk-UA"/>
        </w:rPr>
        <w:t>19,9</w:t>
      </w:r>
      <w:r w:rsidR="00872DD0" w:rsidRPr="008C4787">
        <w:rPr>
          <w:rFonts w:eastAsia="Calibri"/>
          <w:sz w:val="28"/>
          <w:szCs w:val="28"/>
          <w:lang w:val="uk-UA"/>
        </w:rPr>
        <w:t xml:space="preserve"> млн.грн. або </w:t>
      </w:r>
      <w:r w:rsidR="00875D28" w:rsidRPr="008C4787">
        <w:rPr>
          <w:rFonts w:eastAsia="Calibri"/>
          <w:sz w:val="28"/>
          <w:szCs w:val="28"/>
          <w:lang w:val="uk-UA"/>
        </w:rPr>
        <w:t>9</w:t>
      </w:r>
      <w:r w:rsidR="009F652D" w:rsidRPr="008C4787">
        <w:rPr>
          <w:rFonts w:eastAsia="Calibri"/>
          <w:sz w:val="28"/>
          <w:szCs w:val="28"/>
          <w:lang w:val="uk-UA"/>
        </w:rPr>
        <w:t>4,</w:t>
      </w:r>
      <w:r w:rsidR="00875D28" w:rsidRPr="008C4787">
        <w:rPr>
          <w:rFonts w:eastAsia="Calibri"/>
          <w:sz w:val="28"/>
          <w:szCs w:val="28"/>
          <w:lang w:val="uk-UA"/>
        </w:rPr>
        <w:t>2</w:t>
      </w:r>
      <w:r w:rsidRPr="008C4787">
        <w:rPr>
          <w:rFonts w:eastAsia="Calibri"/>
          <w:sz w:val="28"/>
          <w:szCs w:val="28"/>
          <w:lang w:val="uk-UA"/>
        </w:rPr>
        <w:t>% до плану на звітний період</w:t>
      </w:r>
      <w:r w:rsidR="00683CDF">
        <w:rPr>
          <w:rFonts w:eastAsia="Calibri"/>
          <w:sz w:val="28"/>
          <w:szCs w:val="28"/>
          <w:lang w:val="uk-UA"/>
        </w:rPr>
        <w:t>.</w:t>
      </w:r>
    </w:p>
    <w:p w:rsidR="00CB58B7" w:rsidRPr="00307F5E" w:rsidRDefault="00CB58B7" w:rsidP="00CB58B7">
      <w:pPr>
        <w:pStyle w:val="justifyfull"/>
        <w:spacing w:before="0" w:beforeAutospacing="0" w:after="0" w:afterAutospacing="0"/>
        <w:ind w:firstLine="709"/>
        <w:jc w:val="both"/>
        <w:rPr>
          <w:rFonts w:eastAsia="Calibri"/>
          <w:sz w:val="28"/>
          <w:szCs w:val="28"/>
          <w:lang w:val="uk-UA"/>
        </w:rPr>
      </w:pPr>
      <w:r w:rsidRPr="008C4787">
        <w:rPr>
          <w:rFonts w:eastAsia="Calibri"/>
          <w:sz w:val="28"/>
          <w:szCs w:val="28"/>
          <w:lang w:val="uk-UA"/>
        </w:rPr>
        <w:t>На надання пільг на послуги зв’язку та</w:t>
      </w:r>
      <w:r w:rsidRPr="00307F5E">
        <w:rPr>
          <w:rFonts w:eastAsia="Calibri"/>
          <w:sz w:val="28"/>
          <w:szCs w:val="28"/>
          <w:lang w:val="uk-UA"/>
        </w:rPr>
        <w:t xml:space="preserve"> інших, передбачених законодавством пільг, спрямовано 0,7 млн.грн. Цими пільгами скористалось 1,5 </w:t>
      </w:r>
      <w:proofErr w:type="spellStart"/>
      <w:r w:rsidRPr="00307F5E">
        <w:rPr>
          <w:rFonts w:eastAsia="Calibri"/>
          <w:sz w:val="28"/>
          <w:szCs w:val="28"/>
          <w:lang w:val="uk-UA"/>
        </w:rPr>
        <w:t>тис.чол</w:t>
      </w:r>
      <w:proofErr w:type="spellEnd"/>
      <w:r w:rsidRPr="00307F5E">
        <w:rPr>
          <w:rFonts w:eastAsia="Calibri"/>
          <w:sz w:val="28"/>
          <w:szCs w:val="28"/>
          <w:lang w:val="uk-UA"/>
        </w:rPr>
        <w:t>. На компенсацію пільгового перевезення окремих категорій громадян різними видами транспорту використано 1,1 млн.грн. Також 664 багатодітні родини скористались правом безкоштовного проїзду одного з батьків в трамваях, тролейбусах та автобусах ЗКПМЕ «</w:t>
      </w:r>
      <w:proofErr w:type="spellStart"/>
      <w:r w:rsidRPr="00307F5E">
        <w:rPr>
          <w:rFonts w:eastAsia="Calibri"/>
          <w:sz w:val="28"/>
          <w:szCs w:val="28"/>
          <w:lang w:val="uk-UA"/>
        </w:rPr>
        <w:t>Запоріжелектротранс</w:t>
      </w:r>
      <w:proofErr w:type="spellEnd"/>
      <w:r w:rsidRPr="00307F5E">
        <w:rPr>
          <w:rFonts w:eastAsia="Calibri"/>
          <w:sz w:val="28"/>
          <w:szCs w:val="28"/>
          <w:lang w:val="uk-UA"/>
        </w:rPr>
        <w:t>» на суму 0,7 млн.грн.</w:t>
      </w:r>
    </w:p>
    <w:p w:rsidR="00CB58B7" w:rsidRPr="00CB58B7" w:rsidRDefault="00CB58B7" w:rsidP="00CB58B7">
      <w:pPr>
        <w:pStyle w:val="justifyfull"/>
        <w:spacing w:before="0" w:beforeAutospacing="0" w:after="0" w:afterAutospacing="0"/>
        <w:ind w:firstLine="709"/>
        <w:jc w:val="both"/>
        <w:rPr>
          <w:rFonts w:eastAsia="Calibri"/>
          <w:sz w:val="28"/>
          <w:szCs w:val="28"/>
          <w:lang w:val="uk-UA"/>
        </w:rPr>
      </w:pPr>
      <w:r w:rsidRPr="00307F5E">
        <w:rPr>
          <w:rFonts w:eastAsia="Calibri"/>
          <w:sz w:val="28"/>
          <w:szCs w:val="28"/>
          <w:lang w:val="uk-UA"/>
        </w:rPr>
        <w:t>На підтримку ветеранських організацій міста витрачено 0,4 млн.грн. Виплати грошової компенсації фізичним особам, які надають соціальні послуги громадянам похилого віку, інвалідам, хворим, які не здатні до самообслуговування та потребують сторонньої допомоги, проведені в сумі</w:t>
      </w:r>
      <w:r>
        <w:rPr>
          <w:rFonts w:eastAsia="Calibri"/>
          <w:sz w:val="28"/>
          <w:szCs w:val="28"/>
          <w:lang w:val="uk-UA"/>
        </w:rPr>
        <w:t xml:space="preserve"> </w:t>
      </w:r>
      <w:r w:rsidRPr="00307F5E">
        <w:rPr>
          <w:rFonts w:eastAsia="Calibri"/>
          <w:sz w:val="28"/>
          <w:szCs w:val="28"/>
          <w:lang w:val="uk-UA"/>
        </w:rPr>
        <w:t>1,2 млн.</w:t>
      </w:r>
      <w:r>
        <w:rPr>
          <w:rFonts w:eastAsia="Calibri"/>
          <w:sz w:val="28"/>
          <w:szCs w:val="28"/>
          <w:lang w:val="uk-UA"/>
        </w:rPr>
        <w:t>грн.</w:t>
      </w:r>
      <w:r w:rsidRPr="00FD645C">
        <w:rPr>
          <w:rFonts w:eastAsia="Calibri"/>
          <w:sz w:val="28"/>
          <w:szCs w:val="28"/>
          <w:lang w:val="uk-UA"/>
        </w:rPr>
        <w:t xml:space="preserve"> </w:t>
      </w:r>
      <w:r w:rsidRPr="00CB58B7">
        <w:rPr>
          <w:rFonts w:eastAsia="Calibri"/>
          <w:sz w:val="28"/>
          <w:szCs w:val="28"/>
          <w:lang w:val="uk-UA"/>
        </w:rPr>
        <w:t>На організацію та проведення громадських робіт витрачено 0,3 млн.грн.</w:t>
      </w:r>
    </w:p>
    <w:p w:rsidR="00CB58B7" w:rsidRPr="00875D28" w:rsidRDefault="00870FDB" w:rsidP="00875D28">
      <w:pPr>
        <w:pStyle w:val="justifyfull"/>
        <w:spacing w:before="0" w:beforeAutospacing="0" w:after="0" w:afterAutospacing="0"/>
        <w:ind w:firstLine="708"/>
        <w:jc w:val="both"/>
        <w:rPr>
          <w:rFonts w:eastAsia="Calibri"/>
          <w:sz w:val="28"/>
          <w:szCs w:val="28"/>
          <w:lang w:val="uk-UA"/>
        </w:rPr>
      </w:pPr>
      <w:r w:rsidRPr="00612DF7">
        <w:rPr>
          <w:rFonts w:eastAsia="Calibri"/>
          <w:sz w:val="28"/>
          <w:szCs w:val="28"/>
          <w:lang w:val="uk-UA"/>
        </w:rPr>
        <w:t xml:space="preserve">Інші видатки на соціальний захист населенню склали </w:t>
      </w:r>
      <w:r w:rsidR="006B608B" w:rsidRPr="00612DF7">
        <w:rPr>
          <w:rFonts w:eastAsia="Calibri"/>
          <w:sz w:val="28"/>
          <w:szCs w:val="28"/>
          <w:lang w:val="uk-UA"/>
        </w:rPr>
        <w:t>15,</w:t>
      </w:r>
      <w:r w:rsidR="00CB58B7" w:rsidRPr="00612DF7">
        <w:rPr>
          <w:rFonts w:eastAsia="Calibri"/>
          <w:sz w:val="28"/>
          <w:szCs w:val="28"/>
          <w:lang w:val="uk-UA"/>
        </w:rPr>
        <w:t>6</w:t>
      </w:r>
      <w:r w:rsidRPr="00612DF7">
        <w:rPr>
          <w:rFonts w:eastAsia="Calibri"/>
          <w:sz w:val="28"/>
          <w:szCs w:val="28"/>
          <w:lang w:val="uk-UA"/>
        </w:rPr>
        <w:t> млн.грн.</w:t>
      </w:r>
      <w:r w:rsidRPr="00DA767B">
        <w:rPr>
          <w:rFonts w:eastAsia="Calibri"/>
          <w:color w:val="FF0000"/>
          <w:sz w:val="28"/>
          <w:szCs w:val="28"/>
          <w:lang w:val="uk-UA"/>
        </w:rPr>
        <w:t xml:space="preserve"> </w:t>
      </w:r>
      <w:r w:rsidR="00CB58B7" w:rsidRPr="00DF65D3">
        <w:rPr>
          <w:rFonts w:eastAsia="Calibri"/>
          <w:sz w:val="28"/>
          <w:szCs w:val="28"/>
          <w:lang w:val="uk-UA"/>
        </w:rPr>
        <w:t xml:space="preserve">В рамках Міської комплексної програми соціального захисту населення матеріальну допомогу отримали </w:t>
      </w:r>
      <w:r w:rsidR="00CB58B7" w:rsidRPr="00307F5E">
        <w:rPr>
          <w:rFonts w:eastAsia="Calibri"/>
          <w:sz w:val="28"/>
          <w:szCs w:val="28"/>
          <w:lang w:val="uk-UA"/>
        </w:rPr>
        <w:t>понад 4,9 тис. громадян міста, за рахунок коштів депутатського фонду бюджету міста надано підтримку 2,2 тис. мешканців.</w:t>
      </w:r>
    </w:p>
    <w:p w:rsidR="0084173F" w:rsidRPr="00612DF7" w:rsidRDefault="00612A5A" w:rsidP="002E673B">
      <w:pPr>
        <w:pStyle w:val="justifyfull"/>
        <w:numPr>
          <w:ilvl w:val="0"/>
          <w:numId w:val="15"/>
        </w:numPr>
        <w:spacing w:before="0" w:beforeAutospacing="0" w:after="0" w:afterAutospacing="0"/>
        <w:ind w:left="0" w:firstLine="993"/>
        <w:jc w:val="both"/>
        <w:rPr>
          <w:rFonts w:eastAsia="Calibri"/>
          <w:sz w:val="28"/>
          <w:szCs w:val="28"/>
          <w:lang w:val="uk-UA"/>
        </w:rPr>
      </w:pPr>
      <w:r w:rsidRPr="00612DF7">
        <w:rPr>
          <w:rFonts w:eastAsia="Calibri"/>
          <w:sz w:val="28"/>
          <w:szCs w:val="28"/>
          <w:lang w:val="uk-UA"/>
        </w:rPr>
        <w:t>На забезпечення функціонування та розвиток установ соціально-к</w:t>
      </w:r>
      <w:r w:rsidR="009C208F" w:rsidRPr="00612DF7">
        <w:rPr>
          <w:rFonts w:eastAsia="Calibri"/>
          <w:sz w:val="28"/>
          <w:szCs w:val="28"/>
          <w:lang w:val="uk-UA"/>
        </w:rPr>
        <w:t xml:space="preserve">ультурної сфери спрямовано </w:t>
      </w:r>
      <w:r w:rsidR="00C12921" w:rsidRPr="00612DF7">
        <w:rPr>
          <w:rFonts w:eastAsia="Calibri"/>
          <w:sz w:val="28"/>
          <w:szCs w:val="28"/>
          <w:lang w:val="uk-UA"/>
        </w:rPr>
        <w:t>9</w:t>
      </w:r>
      <w:r w:rsidR="00D04677" w:rsidRPr="00612DF7">
        <w:rPr>
          <w:rFonts w:eastAsia="Calibri"/>
          <w:sz w:val="28"/>
          <w:szCs w:val="28"/>
          <w:lang w:val="uk-UA"/>
        </w:rPr>
        <w:t>35</w:t>
      </w:r>
      <w:r w:rsidR="00C12921" w:rsidRPr="00612DF7">
        <w:rPr>
          <w:rFonts w:eastAsia="Calibri"/>
          <w:sz w:val="28"/>
          <w:szCs w:val="28"/>
          <w:lang w:val="uk-UA"/>
        </w:rPr>
        <w:t>,</w:t>
      </w:r>
      <w:r w:rsidR="00D04677" w:rsidRPr="00612DF7">
        <w:rPr>
          <w:rFonts w:eastAsia="Calibri"/>
          <w:sz w:val="28"/>
          <w:szCs w:val="28"/>
          <w:lang w:val="uk-UA"/>
        </w:rPr>
        <w:t>7</w:t>
      </w:r>
      <w:r w:rsidR="00FD645C" w:rsidRPr="00612DF7">
        <w:rPr>
          <w:rFonts w:eastAsia="Calibri"/>
          <w:sz w:val="28"/>
          <w:szCs w:val="28"/>
          <w:lang w:val="uk-UA"/>
        </w:rPr>
        <w:t> </w:t>
      </w:r>
      <w:r w:rsidR="009C208F" w:rsidRPr="00612DF7">
        <w:rPr>
          <w:rFonts w:eastAsia="Calibri"/>
          <w:sz w:val="28"/>
          <w:szCs w:val="28"/>
          <w:lang w:val="uk-UA"/>
        </w:rPr>
        <w:t xml:space="preserve">млн.грн., що становить </w:t>
      </w:r>
      <w:r w:rsidR="00D04677" w:rsidRPr="00612DF7">
        <w:rPr>
          <w:rFonts w:eastAsia="Calibri"/>
          <w:sz w:val="28"/>
          <w:szCs w:val="28"/>
          <w:lang w:val="uk-UA"/>
        </w:rPr>
        <w:t>52</w:t>
      </w:r>
      <w:r w:rsidR="00C12921" w:rsidRPr="00612DF7">
        <w:rPr>
          <w:rFonts w:eastAsia="Calibri"/>
          <w:sz w:val="28"/>
          <w:szCs w:val="28"/>
          <w:lang w:val="uk-UA"/>
        </w:rPr>
        <w:t>,</w:t>
      </w:r>
      <w:r w:rsidR="00D04677" w:rsidRPr="00612DF7">
        <w:rPr>
          <w:rFonts w:eastAsia="Calibri"/>
          <w:sz w:val="28"/>
          <w:szCs w:val="28"/>
          <w:lang w:val="uk-UA"/>
        </w:rPr>
        <w:t>2</w:t>
      </w:r>
      <w:r w:rsidRPr="00612DF7">
        <w:rPr>
          <w:rFonts w:eastAsia="Calibri"/>
          <w:sz w:val="28"/>
          <w:szCs w:val="28"/>
          <w:lang w:val="uk-UA"/>
        </w:rPr>
        <w:t xml:space="preserve">% загального обсягу витрат бюджету міста, </w:t>
      </w:r>
      <w:r w:rsidR="009C208F" w:rsidRPr="00612DF7">
        <w:rPr>
          <w:rFonts w:eastAsia="Calibri"/>
          <w:sz w:val="28"/>
          <w:szCs w:val="28"/>
          <w:lang w:val="uk-UA"/>
        </w:rPr>
        <w:t xml:space="preserve">в тому числі на освіту – </w:t>
      </w:r>
      <w:r w:rsidR="00C12921" w:rsidRPr="00612DF7">
        <w:rPr>
          <w:rFonts w:eastAsia="Calibri"/>
          <w:sz w:val="28"/>
          <w:szCs w:val="28"/>
          <w:lang w:val="uk-UA"/>
        </w:rPr>
        <w:t>62</w:t>
      </w:r>
      <w:r w:rsidR="00F27115" w:rsidRPr="00612DF7">
        <w:rPr>
          <w:rFonts w:eastAsia="Calibri"/>
          <w:sz w:val="28"/>
          <w:szCs w:val="28"/>
          <w:lang w:val="uk-UA"/>
        </w:rPr>
        <w:t>2</w:t>
      </w:r>
      <w:r w:rsidR="00C12921" w:rsidRPr="00612DF7">
        <w:rPr>
          <w:rFonts w:eastAsia="Calibri"/>
          <w:sz w:val="28"/>
          <w:szCs w:val="28"/>
          <w:lang w:val="uk-UA"/>
        </w:rPr>
        <w:t>,</w:t>
      </w:r>
      <w:r w:rsidR="00F27115" w:rsidRPr="00612DF7">
        <w:rPr>
          <w:rFonts w:eastAsia="Calibri"/>
          <w:sz w:val="28"/>
          <w:szCs w:val="28"/>
          <w:lang w:val="uk-UA"/>
        </w:rPr>
        <w:t>9</w:t>
      </w:r>
      <w:r w:rsidR="00FD645C" w:rsidRPr="00612DF7">
        <w:rPr>
          <w:rFonts w:eastAsia="Calibri"/>
          <w:sz w:val="28"/>
          <w:szCs w:val="28"/>
          <w:lang w:val="uk-UA"/>
        </w:rPr>
        <w:t> </w:t>
      </w:r>
      <w:r w:rsidRPr="00612DF7">
        <w:rPr>
          <w:rFonts w:eastAsia="Calibri"/>
          <w:sz w:val="28"/>
          <w:szCs w:val="28"/>
          <w:lang w:val="uk-UA"/>
        </w:rPr>
        <w:t>млн.грн.</w:t>
      </w:r>
      <w:r w:rsidR="00D85376" w:rsidRPr="00612DF7">
        <w:rPr>
          <w:rFonts w:eastAsia="Calibri"/>
          <w:sz w:val="28"/>
          <w:szCs w:val="28"/>
          <w:lang w:val="uk-UA"/>
        </w:rPr>
        <w:t xml:space="preserve"> (за рахунок освітньої субвен</w:t>
      </w:r>
      <w:r w:rsidR="009C208F" w:rsidRPr="00612DF7">
        <w:rPr>
          <w:rFonts w:eastAsia="Calibri"/>
          <w:sz w:val="28"/>
          <w:szCs w:val="28"/>
          <w:lang w:val="uk-UA"/>
        </w:rPr>
        <w:t xml:space="preserve">ції – </w:t>
      </w:r>
      <w:r w:rsidR="00C12921" w:rsidRPr="00612DF7">
        <w:rPr>
          <w:rFonts w:eastAsia="Calibri"/>
          <w:sz w:val="28"/>
          <w:szCs w:val="28"/>
          <w:lang w:val="uk-UA"/>
        </w:rPr>
        <w:t>1</w:t>
      </w:r>
      <w:r w:rsidR="00F27115" w:rsidRPr="00612DF7">
        <w:rPr>
          <w:rFonts w:eastAsia="Calibri"/>
          <w:sz w:val="28"/>
          <w:szCs w:val="28"/>
          <w:lang w:val="uk-UA"/>
        </w:rPr>
        <w:t>97</w:t>
      </w:r>
      <w:r w:rsidR="00C12921" w:rsidRPr="00612DF7">
        <w:rPr>
          <w:rFonts w:eastAsia="Calibri"/>
          <w:sz w:val="28"/>
          <w:szCs w:val="28"/>
          <w:lang w:val="uk-UA"/>
        </w:rPr>
        <w:t>,</w:t>
      </w:r>
      <w:r w:rsidR="00F27115" w:rsidRPr="00612DF7">
        <w:rPr>
          <w:rFonts w:eastAsia="Calibri"/>
          <w:sz w:val="28"/>
          <w:szCs w:val="28"/>
          <w:lang w:val="uk-UA"/>
        </w:rPr>
        <w:t>2</w:t>
      </w:r>
      <w:r w:rsidR="00D85376" w:rsidRPr="00612DF7">
        <w:rPr>
          <w:rFonts w:eastAsia="Calibri"/>
          <w:sz w:val="28"/>
          <w:szCs w:val="28"/>
          <w:lang w:val="uk-UA"/>
        </w:rPr>
        <w:t> млн.грн.)</w:t>
      </w:r>
      <w:r w:rsidR="009C208F" w:rsidRPr="00612DF7">
        <w:rPr>
          <w:rFonts w:eastAsia="Calibri"/>
          <w:sz w:val="28"/>
          <w:szCs w:val="28"/>
          <w:lang w:val="uk-UA"/>
        </w:rPr>
        <w:t xml:space="preserve">, охорону здоров'я – </w:t>
      </w:r>
      <w:r w:rsidR="00C12921" w:rsidRPr="00612DF7">
        <w:rPr>
          <w:rFonts w:eastAsia="Calibri"/>
          <w:sz w:val="28"/>
          <w:szCs w:val="28"/>
          <w:lang w:val="uk-UA"/>
        </w:rPr>
        <w:t>2</w:t>
      </w:r>
      <w:r w:rsidR="00D04677" w:rsidRPr="00612DF7">
        <w:rPr>
          <w:rFonts w:eastAsia="Calibri"/>
          <w:sz w:val="28"/>
          <w:szCs w:val="28"/>
          <w:lang w:val="uk-UA"/>
        </w:rPr>
        <w:t>53</w:t>
      </w:r>
      <w:r w:rsidR="00C12921" w:rsidRPr="00612DF7">
        <w:rPr>
          <w:rFonts w:eastAsia="Calibri"/>
          <w:sz w:val="28"/>
          <w:szCs w:val="28"/>
          <w:lang w:val="uk-UA"/>
        </w:rPr>
        <w:t>,7</w:t>
      </w:r>
      <w:r w:rsidRPr="00612DF7">
        <w:rPr>
          <w:rFonts w:eastAsia="Calibri"/>
          <w:sz w:val="28"/>
          <w:szCs w:val="28"/>
          <w:lang w:val="uk-UA"/>
        </w:rPr>
        <w:t> млн.грн.</w:t>
      </w:r>
      <w:r w:rsidR="00D85376" w:rsidRPr="00612DF7">
        <w:rPr>
          <w:rFonts w:eastAsia="Calibri"/>
          <w:sz w:val="28"/>
          <w:szCs w:val="28"/>
          <w:lang w:val="uk-UA"/>
        </w:rPr>
        <w:t xml:space="preserve"> (за рахунок </w:t>
      </w:r>
      <w:r w:rsidR="00FD645C" w:rsidRPr="00612DF7">
        <w:rPr>
          <w:rFonts w:eastAsia="Calibri"/>
          <w:sz w:val="28"/>
          <w:szCs w:val="28"/>
          <w:lang w:val="uk-UA"/>
        </w:rPr>
        <w:t xml:space="preserve">медичної та інших </w:t>
      </w:r>
      <w:r w:rsidR="00D85376" w:rsidRPr="00612DF7">
        <w:rPr>
          <w:rFonts w:eastAsia="Calibri"/>
          <w:sz w:val="28"/>
          <w:szCs w:val="28"/>
          <w:lang w:val="uk-UA"/>
        </w:rPr>
        <w:t>субвенці</w:t>
      </w:r>
      <w:r w:rsidR="00FD645C" w:rsidRPr="00612DF7">
        <w:rPr>
          <w:rFonts w:eastAsia="Calibri"/>
          <w:sz w:val="28"/>
          <w:szCs w:val="28"/>
          <w:lang w:val="uk-UA"/>
        </w:rPr>
        <w:t>й</w:t>
      </w:r>
      <w:r w:rsidR="009C208F" w:rsidRPr="00612DF7">
        <w:rPr>
          <w:rFonts w:eastAsia="Calibri"/>
          <w:sz w:val="28"/>
          <w:szCs w:val="28"/>
          <w:lang w:val="uk-UA"/>
        </w:rPr>
        <w:t xml:space="preserve"> – </w:t>
      </w:r>
      <w:r w:rsidR="00C12921" w:rsidRPr="00612DF7">
        <w:rPr>
          <w:rFonts w:eastAsia="Calibri"/>
          <w:sz w:val="28"/>
          <w:szCs w:val="28"/>
          <w:lang w:val="uk-UA"/>
        </w:rPr>
        <w:t>1</w:t>
      </w:r>
      <w:r w:rsidR="00D04677" w:rsidRPr="00612DF7">
        <w:rPr>
          <w:rFonts w:eastAsia="Calibri"/>
          <w:sz w:val="28"/>
          <w:szCs w:val="28"/>
          <w:lang w:val="uk-UA"/>
        </w:rPr>
        <w:t>53</w:t>
      </w:r>
      <w:r w:rsidR="00C12921" w:rsidRPr="00612DF7">
        <w:rPr>
          <w:rFonts w:eastAsia="Calibri"/>
          <w:sz w:val="28"/>
          <w:szCs w:val="28"/>
          <w:lang w:val="uk-UA"/>
        </w:rPr>
        <w:t>,</w:t>
      </w:r>
      <w:r w:rsidR="00D04677" w:rsidRPr="00612DF7">
        <w:rPr>
          <w:rFonts w:eastAsia="Calibri"/>
          <w:sz w:val="28"/>
          <w:szCs w:val="28"/>
          <w:lang w:val="uk-UA"/>
        </w:rPr>
        <w:t>8</w:t>
      </w:r>
      <w:r w:rsidR="00D85376" w:rsidRPr="00612DF7">
        <w:rPr>
          <w:rFonts w:eastAsia="Calibri"/>
          <w:sz w:val="28"/>
          <w:szCs w:val="28"/>
          <w:lang w:val="uk-UA"/>
        </w:rPr>
        <w:t> тис.грн.)</w:t>
      </w:r>
      <w:r w:rsidR="009C208F" w:rsidRPr="00612DF7">
        <w:rPr>
          <w:rFonts w:eastAsia="Calibri"/>
          <w:sz w:val="28"/>
          <w:szCs w:val="28"/>
          <w:lang w:val="uk-UA"/>
        </w:rPr>
        <w:t xml:space="preserve">, культуру – </w:t>
      </w:r>
      <w:r w:rsidR="00C12921" w:rsidRPr="00612DF7">
        <w:rPr>
          <w:rFonts w:eastAsia="Calibri"/>
          <w:sz w:val="28"/>
          <w:szCs w:val="28"/>
          <w:lang w:val="uk-UA"/>
        </w:rPr>
        <w:t>1</w:t>
      </w:r>
      <w:r w:rsidR="00D04677" w:rsidRPr="00612DF7">
        <w:rPr>
          <w:rFonts w:eastAsia="Calibri"/>
          <w:sz w:val="28"/>
          <w:szCs w:val="28"/>
          <w:lang w:val="uk-UA"/>
        </w:rPr>
        <w:t>8</w:t>
      </w:r>
      <w:r w:rsidR="00C12921" w:rsidRPr="00612DF7">
        <w:rPr>
          <w:rFonts w:eastAsia="Calibri"/>
          <w:sz w:val="28"/>
          <w:szCs w:val="28"/>
          <w:lang w:val="uk-UA"/>
        </w:rPr>
        <w:t>,</w:t>
      </w:r>
      <w:r w:rsidR="00D04677" w:rsidRPr="00612DF7">
        <w:rPr>
          <w:rFonts w:eastAsia="Calibri"/>
          <w:sz w:val="28"/>
          <w:szCs w:val="28"/>
          <w:lang w:val="uk-UA"/>
        </w:rPr>
        <w:t>1</w:t>
      </w:r>
      <w:r w:rsidRPr="00612DF7">
        <w:rPr>
          <w:rFonts w:eastAsia="Calibri"/>
          <w:sz w:val="28"/>
          <w:szCs w:val="28"/>
          <w:lang w:val="uk-UA"/>
        </w:rPr>
        <w:t> млн.грн.,</w:t>
      </w:r>
      <w:r w:rsidR="009C208F" w:rsidRPr="00612DF7">
        <w:rPr>
          <w:rFonts w:eastAsia="Calibri"/>
          <w:sz w:val="28"/>
          <w:szCs w:val="28"/>
          <w:lang w:val="uk-UA"/>
        </w:rPr>
        <w:t xml:space="preserve"> фізичну культуру і спорт – </w:t>
      </w:r>
      <w:r w:rsidR="00C12921" w:rsidRPr="00612DF7">
        <w:rPr>
          <w:rFonts w:eastAsia="Calibri"/>
          <w:sz w:val="28"/>
          <w:szCs w:val="28"/>
          <w:lang w:val="uk-UA"/>
        </w:rPr>
        <w:t>2</w:t>
      </w:r>
      <w:r w:rsidR="00D04677" w:rsidRPr="00612DF7">
        <w:rPr>
          <w:rFonts w:eastAsia="Calibri"/>
          <w:sz w:val="28"/>
          <w:szCs w:val="28"/>
          <w:lang w:val="uk-UA"/>
        </w:rPr>
        <w:t>6</w:t>
      </w:r>
      <w:r w:rsidR="00C12921" w:rsidRPr="00612DF7">
        <w:rPr>
          <w:rFonts w:eastAsia="Calibri"/>
          <w:sz w:val="28"/>
          <w:szCs w:val="28"/>
          <w:lang w:val="uk-UA"/>
        </w:rPr>
        <w:t>,</w:t>
      </w:r>
      <w:r w:rsidR="00D04677" w:rsidRPr="00612DF7">
        <w:rPr>
          <w:rFonts w:eastAsia="Calibri"/>
          <w:sz w:val="28"/>
          <w:szCs w:val="28"/>
          <w:lang w:val="uk-UA"/>
        </w:rPr>
        <w:t>7</w:t>
      </w:r>
      <w:r w:rsidRPr="00612DF7">
        <w:rPr>
          <w:rFonts w:eastAsia="Calibri"/>
          <w:sz w:val="28"/>
          <w:szCs w:val="28"/>
          <w:lang w:val="uk-UA"/>
        </w:rPr>
        <w:t xml:space="preserve"> млн.грн., установи соціального захисту – </w:t>
      </w:r>
      <w:r w:rsidR="00C12921" w:rsidRPr="00612DF7">
        <w:rPr>
          <w:rFonts w:eastAsia="Calibri"/>
          <w:sz w:val="28"/>
          <w:szCs w:val="28"/>
          <w:lang w:val="uk-UA"/>
        </w:rPr>
        <w:t>1</w:t>
      </w:r>
      <w:r w:rsidR="00D04677" w:rsidRPr="00612DF7">
        <w:rPr>
          <w:rFonts w:eastAsia="Calibri"/>
          <w:sz w:val="28"/>
          <w:szCs w:val="28"/>
          <w:lang w:val="uk-UA"/>
        </w:rPr>
        <w:t>4</w:t>
      </w:r>
      <w:r w:rsidR="00C12921" w:rsidRPr="00612DF7">
        <w:rPr>
          <w:rFonts w:eastAsia="Calibri"/>
          <w:sz w:val="28"/>
          <w:szCs w:val="28"/>
          <w:lang w:val="uk-UA"/>
        </w:rPr>
        <w:t>,</w:t>
      </w:r>
      <w:r w:rsidR="00D04677" w:rsidRPr="00612DF7">
        <w:rPr>
          <w:rFonts w:eastAsia="Calibri"/>
          <w:sz w:val="28"/>
          <w:szCs w:val="28"/>
          <w:lang w:val="uk-UA"/>
        </w:rPr>
        <w:t>3</w:t>
      </w:r>
      <w:r w:rsidRPr="00612DF7">
        <w:rPr>
          <w:rFonts w:eastAsia="Calibri"/>
          <w:sz w:val="28"/>
          <w:szCs w:val="28"/>
          <w:lang w:val="uk-UA"/>
        </w:rPr>
        <w:t xml:space="preserve"> млн.грн. </w:t>
      </w:r>
    </w:p>
    <w:p w:rsidR="001501D9" w:rsidRPr="00612DF7" w:rsidRDefault="001501D9" w:rsidP="00612DF7">
      <w:pPr>
        <w:pStyle w:val="justifyfull"/>
        <w:spacing w:before="0" w:beforeAutospacing="0" w:after="0" w:afterAutospacing="0"/>
        <w:ind w:firstLine="708"/>
        <w:jc w:val="both"/>
        <w:rPr>
          <w:rFonts w:eastAsia="Calibri"/>
          <w:sz w:val="28"/>
          <w:szCs w:val="28"/>
          <w:lang w:val="uk-UA"/>
        </w:rPr>
      </w:pPr>
      <w:r w:rsidRPr="00612DF7">
        <w:rPr>
          <w:rFonts w:eastAsia="Calibri"/>
          <w:sz w:val="28"/>
          <w:szCs w:val="28"/>
          <w:lang w:val="uk-UA"/>
        </w:rPr>
        <w:t xml:space="preserve">Поточні видатки загального фонду бюджету на утримання установ склали </w:t>
      </w:r>
      <w:r w:rsidR="00D04677" w:rsidRPr="00612DF7">
        <w:rPr>
          <w:rFonts w:eastAsia="Calibri"/>
          <w:sz w:val="28"/>
          <w:szCs w:val="28"/>
          <w:lang w:val="uk-UA"/>
        </w:rPr>
        <w:t>896</w:t>
      </w:r>
      <w:r w:rsidR="00555DCF" w:rsidRPr="00612DF7">
        <w:rPr>
          <w:rFonts w:eastAsia="Calibri"/>
          <w:sz w:val="28"/>
          <w:szCs w:val="28"/>
          <w:lang w:val="uk-UA"/>
        </w:rPr>
        <w:t>,</w:t>
      </w:r>
      <w:r w:rsidR="00D04677" w:rsidRPr="00612DF7">
        <w:rPr>
          <w:rFonts w:eastAsia="Calibri"/>
          <w:sz w:val="28"/>
          <w:szCs w:val="28"/>
          <w:lang w:val="uk-UA"/>
        </w:rPr>
        <w:t>9</w:t>
      </w:r>
      <w:r w:rsidR="001C17EE" w:rsidRPr="00612DF7">
        <w:rPr>
          <w:rFonts w:eastAsia="Calibri"/>
          <w:sz w:val="28"/>
          <w:szCs w:val="28"/>
          <w:lang w:val="uk-UA"/>
        </w:rPr>
        <w:t> млн.грн., з яких найбільшу частку займають витрати на оплату</w:t>
      </w:r>
      <w:r w:rsidR="005C789B" w:rsidRPr="00612DF7">
        <w:rPr>
          <w:rFonts w:eastAsia="Calibri"/>
          <w:sz w:val="28"/>
          <w:szCs w:val="28"/>
          <w:lang w:val="uk-UA"/>
        </w:rPr>
        <w:t xml:space="preserve"> праці з нарахуваннями – </w:t>
      </w:r>
      <w:r w:rsidR="00875D28" w:rsidRPr="00612DF7">
        <w:rPr>
          <w:rFonts w:eastAsia="Calibri"/>
          <w:sz w:val="28"/>
          <w:szCs w:val="28"/>
          <w:lang w:val="uk-UA"/>
        </w:rPr>
        <w:t>763</w:t>
      </w:r>
      <w:r w:rsidR="00397EE0" w:rsidRPr="00612DF7">
        <w:rPr>
          <w:rFonts w:eastAsia="Calibri"/>
          <w:sz w:val="28"/>
          <w:szCs w:val="28"/>
          <w:lang w:val="uk-UA"/>
        </w:rPr>
        <w:t>,</w:t>
      </w:r>
      <w:r w:rsidR="00875D28" w:rsidRPr="00612DF7">
        <w:rPr>
          <w:rFonts w:eastAsia="Calibri"/>
          <w:sz w:val="28"/>
          <w:szCs w:val="28"/>
          <w:lang w:val="uk-UA"/>
        </w:rPr>
        <w:t>9</w:t>
      </w:r>
      <w:r w:rsidR="00397EE0" w:rsidRPr="00612DF7">
        <w:rPr>
          <w:rFonts w:eastAsia="Calibri"/>
          <w:sz w:val="28"/>
          <w:szCs w:val="28"/>
          <w:lang w:val="uk-UA"/>
        </w:rPr>
        <w:t> </w:t>
      </w:r>
      <w:r w:rsidR="001C17EE" w:rsidRPr="00612DF7">
        <w:rPr>
          <w:rFonts w:eastAsia="Calibri"/>
          <w:sz w:val="28"/>
          <w:szCs w:val="28"/>
          <w:lang w:val="uk-UA"/>
        </w:rPr>
        <w:t>млн.грн. та проведення розрахунків за спожиті комуналь</w:t>
      </w:r>
      <w:r w:rsidR="005C789B" w:rsidRPr="00612DF7">
        <w:rPr>
          <w:rFonts w:eastAsia="Calibri"/>
          <w:sz w:val="28"/>
          <w:szCs w:val="28"/>
          <w:lang w:val="uk-UA"/>
        </w:rPr>
        <w:t xml:space="preserve">ні послуги та енергоносії – </w:t>
      </w:r>
      <w:r w:rsidR="00875D28" w:rsidRPr="00612DF7">
        <w:rPr>
          <w:rFonts w:eastAsia="Calibri"/>
          <w:sz w:val="28"/>
          <w:szCs w:val="28"/>
          <w:lang w:val="uk-UA"/>
        </w:rPr>
        <w:t>56</w:t>
      </w:r>
      <w:r w:rsidR="00551750" w:rsidRPr="00612DF7">
        <w:rPr>
          <w:rFonts w:eastAsia="Calibri"/>
          <w:sz w:val="28"/>
          <w:szCs w:val="28"/>
          <w:lang w:val="uk-UA"/>
        </w:rPr>
        <w:t>,</w:t>
      </w:r>
      <w:r w:rsidR="00875D28" w:rsidRPr="00612DF7">
        <w:rPr>
          <w:rFonts w:eastAsia="Calibri"/>
          <w:sz w:val="28"/>
          <w:szCs w:val="28"/>
          <w:lang w:val="uk-UA"/>
        </w:rPr>
        <w:t>7</w:t>
      </w:r>
      <w:r w:rsidR="001C17EE" w:rsidRPr="00612DF7">
        <w:rPr>
          <w:rFonts w:eastAsia="Calibri"/>
          <w:sz w:val="28"/>
          <w:szCs w:val="28"/>
          <w:lang w:val="uk-UA"/>
        </w:rPr>
        <w:t>млн.грн.</w:t>
      </w:r>
    </w:p>
    <w:p w:rsidR="003C5CE0" w:rsidRPr="00612DF7" w:rsidRDefault="003C5CE0" w:rsidP="00612DF7">
      <w:pPr>
        <w:pStyle w:val="justifyfull"/>
        <w:spacing w:before="0" w:beforeAutospacing="0" w:after="0" w:afterAutospacing="0"/>
        <w:ind w:firstLine="708"/>
        <w:jc w:val="both"/>
        <w:rPr>
          <w:rFonts w:eastAsia="Calibri"/>
          <w:sz w:val="28"/>
          <w:szCs w:val="28"/>
          <w:lang w:val="uk-UA"/>
        </w:rPr>
      </w:pPr>
      <w:r w:rsidRPr="00612DF7">
        <w:rPr>
          <w:rFonts w:eastAsia="Calibri"/>
          <w:sz w:val="28"/>
          <w:szCs w:val="28"/>
          <w:lang w:val="uk-UA"/>
        </w:rPr>
        <w:t xml:space="preserve">Видатки капітального характеру за рахунок надходжень бюджету розвитку </w:t>
      </w:r>
      <w:r w:rsidR="00710A66" w:rsidRPr="00612DF7">
        <w:rPr>
          <w:rFonts w:eastAsia="Calibri"/>
          <w:sz w:val="28"/>
          <w:szCs w:val="28"/>
          <w:lang w:val="uk-UA"/>
        </w:rPr>
        <w:t>проведені в сумі</w:t>
      </w:r>
      <w:r w:rsidR="0037648E" w:rsidRPr="00612DF7">
        <w:rPr>
          <w:rFonts w:eastAsia="Calibri"/>
          <w:sz w:val="28"/>
          <w:szCs w:val="28"/>
          <w:lang w:val="uk-UA"/>
        </w:rPr>
        <w:t xml:space="preserve"> </w:t>
      </w:r>
      <w:r w:rsidR="00D04677" w:rsidRPr="00612DF7">
        <w:rPr>
          <w:rFonts w:eastAsia="Calibri"/>
          <w:sz w:val="28"/>
          <w:szCs w:val="28"/>
          <w:lang w:val="uk-UA"/>
        </w:rPr>
        <w:t>8</w:t>
      </w:r>
      <w:r w:rsidR="00691BC5" w:rsidRPr="00612DF7">
        <w:rPr>
          <w:rFonts w:eastAsia="Calibri"/>
          <w:sz w:val="28"/>
          <w:szCs w:val="28"/>
          <w:lang w:val="uk-UA"/>
        </w:rPr>
        <w:t>,</w:t>
      </w:r>
      <w:r w:rsidR="00D04677" w:rsidRPr="00612DF7">
        <w:rPr>
          <w:rFonts w:eastAsia="Calibri"/>
          <w:sz w:val="28"/>
          <w:szCs w:val="28"/>
          <w:lang w:val="uk-UA"/>
        </w:rPr>
        <w:t>9</w:t>
      </w:r>
      <w:r w:rsidRPr="00612DF7">
        <w:rPr>
          <w:rFonts w:eastAsia="Calibri"/>
          <w:sz w:val="28"/>
          <w:szCs w:val="28"/>
          <w:lang w:val="uk-UA"/>
        </w:rPr>
        <w:t xml:space="preserve"> млн.грн., що становить </w:t>
      </w:r>
      <w:r w:rsidR="00875D28" w:rsidRPr="00612DF7">
        <w:rPr>
          <w:rFonts w:eastAsia="Calibri"/>
          <w:sz w:val="28"/>
          <w:szCs w:val="28"/>
          <w:lang w:val="uk-UA"/>
        </w:rPr>
        <w:t>1</w:t>
      </w:r>
      <w:r w:rsidR="00691BC5" w:rsidRPr="00612DF7">
        <w:rPr>
          <w:rFonts w:eastAsia="Calibri"/>
          <w:sz w:val="28"/>
          <w:szCs w:val="28"/>
          <w:lang w:val="uk-UA"/>
        </w:rPr>
        <w:t>2,</w:t>
      </w:r>
      <w:r w:rsidR="00875D28" w:rsidRPr="00612DF7">
        <w:rPr>
          <w:rFonts w:eastAsia="Calibri"/>
          <w:sz w:val="28"/>
          <w:szCs w:val="28"/>
          <w:lang w:val="uk-UA"/>
        </w:rPr>
        <w:t>4</w:t>
      </w:r>
      <w:r w:rsidRPr="00612DF7">
        <w:rPr>
          <w:rFonts w:eastAsia="Calibri"/>
          <w:sz w:val="28"/>
          <w:szCs w:val="28"/>
          <w:lang w:val="uk-UA"/>
        </w:rPr>
        <w:t>% планових показників.</w:t>
      </w:r>
      <w:r w:rsidR="003D0E58" w:rsidRPr="00612DF7">
        <w:rPr>
          <w:rFonts w:eastAsia="Calibri"/>
          <w:sz w:val="28"/>
          <w:szCs w:val="28"/>
          <w:lang w:val="uk-UA"/>
        </w:rPr>
        <w:t xml:space="preserve"> В розрізі галузей соціально-культурної сфери кошти бюджету розвитку використані на:</w:t>
      </w:r>
    </w:p>
    <w:p w:rsidR="00551750" w:rsidRPr="00DD27ED" w:rsidRDefault="00551750" w:rsidP="003D0E58">
      <w:pPr>
        <w:pStyle w:val="justifyfull"/>
        <w:numPr>
          <w:ilvl w:val="0"/>
          <w:numId w:val="17"/>
        </w:numPr>
        <w:spacing w:before="0" w:beforeAutospacing="0" w:after="0" w:afterAutospacing="0"/>
        <w:ind w:left="0" w:firstLine="709"/>
        <w:jc w:val="both"/>
        <w:rPr>
          <w:rFonts w:eastAsia="Calibri"/>
          <w:sz w:val="28"/>
          <w:szCs w:val="28"/>
          <w:lang w:val="uk-UA"/>
        </w:rPr>
      </w:pPr>
      <w:r w:rsidRPr="002F62FD">
        <w:rPr>
          <w:rFonts w:eastAsia="Calibri"/>
          <w:sz w:val="28"/>
          <w:szCs w:val="28"/>
          <w:lang w:val="uk-UA"/>
        </w:rPr>
        <w:t xml:space="preserve">охорону здоров’я - </w:t>
      </w:r>
      <w:r w:rsidR="00963462" w:rsidRPr="002F62FD">
        <w:rPr>
          <w:rFonts w:eastAsia="Calibri"/>
          <w:sz w:val="28"/>
          <w:szCs w:val="28"/>
          <w:lang w:val="uk-UA"/>
        </w:rPr>
        <w:t>5</w:t>
      </w:r>
      <w:r w:rsidRPr="002F62FD">
        <w:rPr>
          <w:rFonts w:eastAsia="Calibri"/>
          <w:sz w:val="28"/>
          <w:szCs w:val="28"/>
          <w:lang w:val="uk-UA"/>
        </w:rPr>
        <w:t>,6 млн.</w:t>
      </w:r>
      <w:r w:rsidR="002F62FD" w:rsidRPr="002F62FD">
        <w:rPr>
          <w:rFonts w:eastAsia="Calibri"/>
          <w:sz w:val="28"/>
          <w:szCs w:val="28"/>
          <w:lang w:val="uk-UA"/>
        </w:rPr>
        <w:t xml:space="preserve">грн., в тому числі на </w:t>
      </w:r>
      <w:r w:rsidRPr="002F62FD">
        <w:rPr>
          <w:rFonts w:eastAsia="Calibri"/>
          <w:sz w:val="28"/>
          <w:szCs w:val="28"/>
          <w:lang w:val="uk-UA"/>
        </w:rPr>
        <w:t xml:space="preserve">капітальні ремонти – </w:t>
      </w:r>
      <w:r w:rsidR="00811702" w:rsidRPr="002F62FD">
        <w:rPr>
          <w:rFonts w:eastAsia="Calibri"/>
          <w:sz w:val="28"/>
          <w:szCs w:val="28"/>
          <w:lang w:val="uk-UA"/>
        </w:rPr>
        <w:t>0</w:t>
      </w:r>
      <w:r w:rsidR="0037701F" w:rsidRPr="00D94088">
        <w:rPr>
          <w:rFonts w:eastAsia="Calibri"/>
          <w:sz w:val="28"/>
          <w:szCs w:val="28"/>
          <w:lang w:val="uk-UA"/>
        </w:rPr>
        <w:t>,</w:t>
      </w:r>
      <w:r w:rsidR="00811702" w:rsidRPr="002F62FD">
        <w:rPr>
          <w:rFonts w:eastAsia="Calibri"/>
          <w:sz w:val="28"/>
          <w:szCs w:val="28"/>
          <w:lang w:val="uk-UA"/>
        </w:rPr>
        <w:t>8</w:t>
      </w:r>
      <w:r w:rsidRPr="002F62FD">
        <w:rPr>
          <w:rFonts w:eastAsia="Calibri"/>
          <w:sz w:val="28"/>
          <w:szCs w:val="28"/>
          <w:lang w:val="uk-UA"/>
        </w:rPr>
        <w:t xml:space="preserve"> млн.грн., будівництво і реконструкцію – </w:t>
      </w:r>
      <w:r w:rsidR="00811702" w:rsidRPr="002F62FD">
        <w:rPr>
          <w:rFonts w:eastAsia="Calibri"/>
          <w:sz w:val="28"/>
          <w:szCs w:val="28"/>
          <w:lang w:val="uk-UA"/>
        </w:rPr>
        <w:t>4</w:t>
      </w:r>
      <w:r w:rsidRPr="002F62FD">
        <w:rPr>
          <w:rFonts w:eastAsia="Calibri"/>
          <w:sz w:val="28"/>
          <w:szCs w:val="28"/>
          <w:lang w:val="uk-UA"/>
        </w:rPr>
        <w:t>,</w:t>
      </w:r>
      <w:r w:rsidR="00811702" w:rsidRPr="002F62FD">
        <w:rPr>
          <w:rFonts w:eastAsia="Calibri"/>
          <w:sz w:val="28"/>
          <w:szCs w:val="28"/>
          <w:lang w:val="uk-UA"/>
        </w:rPr>
        <w:t>8</w:t>
      </w:r>
      <w:r w:rsidRPr="002F62FD">
        <w:rPr>
          <w:rFonts w:eastAsia="Calibri"/>
          <w:sz w:val="28"/>
          <w:szCs w:val="28"/>
          <w:lang w:val="uk-UA"/>
        </w:rPr>
        <w:t> млн.грн.</w:t>
      </w:r>
      <w:r w:rsidRPr="00811702">
        <w:rPr>
          <w:rFonts w:eastAsia="Calibri"/>
          <w:color w:val="0070C0"/>
          <w:sz w:val="28"/>
          <w:szCs w:val="28"/>
          <w:lang w:val="uk-UA"/>
        </w:rPr>
        <w:t xml:space="preserve"> </w:t>
      </w:r>
      <w:r w:rsidR="00683CDF">
        <w:rPr>
          <w:rFonts w:eastAsia="Calibri"/>
          <w:sz w:val="28"/>
          <w:szCs w:val="28"/>
          <w:lang w:val="uk-UA"/>
        </w:rPr>
        <w:t>Проводились</w:t>
      </w:r>
      <w:r w:rsidRPr="00DD27ED">
        <w:rPr>
          <w:rFonts w:eastAsia="Calibri"/>
          <w:sz w:val="28"/>
          <w:szCs w:val="28"/>
          <w:lang w:val="uk-UA"/>
        </w:rPr>
        <w:t xml:space="preserve"> роботи з капітального ремонту у </w:t>
      </w:r>
      <w:r w:rsidR="00811702" w:rsidRPr="00DD27ED">
        <w:rPr>
          <w:rFonts w:eastAsia="Calibri"/>
          <w:sz w:val="28"/>
          <w:szCs w:val="28"/>
          <w:lang w:val="uk-UA"/>
        </w:rPr>
        <w:t>2</w:t>
      </w:r>
      <w:r w:rsidRPr="00DD27ED">
        <w:rPr>
          <w:rFonts w:eastAsia="Calibri"/>
          <w:sz w:val="28"/>
          <w:szCs w:val="28"/>
          <w:lang w:val="uk-UA"/>
        </w:rPr>
        <w:t xml:space="preserve">-х лікувально-профілактичних закладах та реконструкції у </w:t>
      </w:r>
      <w:r w:rsidR="00D94088" w:rsidRPr="00D94088">
        <w:rPr>
          <w:rFonts w:eastAsia="Calibri"/>
          <w:sz w:val="28"/>
          <w:szCs w:val="28"/>
          <w:lang w:val="uk-UA"/>
        </w:rPr>
        <w:t xml:space="preserve">будівлі </w:t>
      </w:r>
      <w:proofErr w:type="spellStart"/>
      <w:r w:rsidR="00D94088">
        <w:rPr>
          <w:rFonts w:eastAsia="Calibri"/>
          <w:sz w:val="28"/>
          <w:szCs w:val="28"/>
          <w:lang w:val="uk-UA"/>
        </w:rPr>
        <w:t>КЗ</w:t>
      </w:r>
      <w:proofErr w:type="spellEnd"/>
      <w:r w:rsidR="00D94088" w:rsidRPr="00D94088">
        <w:rPr>
          <w:rFonts w:eastAsia="Calibri"/>
          <w:sz w:val="28"/>
          <w:szCs w:val="28"/>
          <w:lang w:val="uk-UA"/>
        </w:rPr>
        <w:t xml:space="preserve"> "ЗЦПМСД №5" по </w:t>
      </w:r>
      <w:proofErr w:type="spellStart"/>
      <w:r w:rsidR="00D94088" w:rsidRPr="00D94088">
        <w:rPr>
          <w:rFonts w:eastAsia="Calibri"/>
          <w:sz w:val="28"/>
          <w:szCs w:val="28"/>
          <w:lang w:val="uk-UA"/>
        </w:rPr>
        <w:t>вул.Запорозького</w:t>
      </w:r>
      <w:proofErr w:type="spellEnd"/>
      <w:r w:rsidR="00D94088" w:rsidRPr="00D94088">
        <w:rPr>
          <w:rFonts w:eastAsia="Calibri"/>
          <w:sz w:val="28"/>
          <w:szCs w:val="28"/>
          <w:lang w:val="uk-UA"/>
        </w:rPr>
        <w:t xml:space="preserve"> Козацтва, 25 та прибудови до житлової будівлі під амбул</w:t>
      </w:r>
      <w:r w:rsidR="00D94088">
        <w:rPr>
          <w:rFonts w:eastAsia="Calibri"/>
          <w:sz w:val="28"/>
          <w:szCs w:val="28"/>
          <w:lang w:val="uk-UA"/>
        </w:rPr>
        <w:t xml:space="preserve">аторію сімейного лікаря по </w:t>
      </w:r>
      <w:proofErr w:type="spellStart"/>
      <w:r w:rsidR="00D94088">
        <w:rPr>
          <w:rFonts w:eastAsia="Calibri"/>
          <w:sz w:val="28"/>
          <w:szCs w:val="28"/>
          <w:lang w:val="uk-UA"/>
        </w:rPr>
        <w:t>вул.Дорошенко</w:t>
      </w:r>
      <w:proofErr w:type="spellEnd"/>
      <w:r w:rsidR="00D94088">
        <w:rPr>
          <w:rFonts w:eastAsia="Calibri"/>
          <w:sz w:val="28"/>
          <w:szCs w:val="28"/>
          <w:lang w:val="uk-UA"/>
        </w:rPr>
        <w:t>,</w:t>
      </w:r>
      <w:r w:rsidR="00D94088" w:rsidRPr="00D94088">
        <w:rPr>
          <w:rFonts w:eastAsia="Calibri"/>
          <w:sz w:val="28"/>
          <w:szCs w:val="28"/>
          <w:lang w:val="uk-UA"/>
        </w:rPr>
        <w:t>3</w:t>
      </w:r>
      <w:r w:rsidRPr="00DD27ED">
        <w:rPr>
          <w:rFonts w:eastAsia="Calibri"/>
          <w:sz w:val="28"/>
          <w:szCs w:val="28"/>
          <w:lang w:val="uk-UA"/>
        </w:rPr>
        <w:t>;</w:t>
      </w:r>
    </w:p>
    <w:p w:rsidR="0063723C" w:rsidRPr="00DD27ED" w:rsidRDefault="00551750" w:rsidP="003D0E58">
      <w:pPr>
        <w:pStyle w:val="justifyfull"/>
        <w:numPr>
          <w:ilvl w:val="0"/>
          <w:numId w:val="17"/>
        </w:numPr>
        <w:spacing w:before="0" w:beforeAutospacing="0" w:after="0" w:afterAutospacing="0"/>
        <w:ind w:left="0" w:firstLine="709"/>
        <w:jc w:val="both"/>
        <w:rPr>
          <w:rFonts w:eastAsia="Calibri"/>
          <w:sz w:val="28"/>
          <w:szCs w:val="28"/>
          <w:lang w:val="uk-UA"/>
        </w:rPr>
      </w:pPr>
      <w:r w:rsidRPr="00DD27ED">
        <w:rPr>
          <w:rFonts w:eastAsia="Calibri"/>
          <w:sz w:val="28"/>
          <w:szCs w:val="28"/>
          <w:lang w:val="uk-UA"/>
        </w:rPr>
        <w:t xml:space="preserve">освіту - 1,8 млн.грн., в тому числі на </w:t>
      </w:r>
      <w:r w:rsidR="00AE060D" w:rsidRPr="00DD27ED">
        <w:rPr>
          <w:rFonts w:eastAsia="Calibri"/>
          <w:sz w:val="28"/>
          <w:szCs w:val="28"/>
          <w:lang w:val="uk-UA"/>
        </w:rPr>
        <w:t xml:space="preserve">продовження </w:t>
      </w:r>
      <w:proofErr w:type="spellStart"/>
      <w:r w:rsidR="0037701F" w:rsidRPr="00DD27ED">
        <w:rPr>
          <w:rFonts w:eastAsia="Calibri"/>
          <w:sz w:val="28"/>
          <w:szCs w:val="28"/>
        </w:rPr>
        <w:t>виконання</w:t>
      </w:r>
      <w:proofErr w:type="spellEnd"/>
      <w:r w:rsidR="0037701F" w:rsidRPr="00DD27ED">
        <w:rPr>
          <w:rFonts w:eastAsia="Calibri"/>
          <w:sz w:val="28"/>
          <w:szCs w:val="28"/>
        </w:rPr>
        <w:t xml:space="preserve"> </w:t>
      </w:r>
      <w:r w:rsidRPr="00DD27ED">
        <w:rPr>
          <w:rFonts w:eastAsia="Calibri"/>
          <w:sz w:val="28"/>
          <w:szCs w:val="28"/>
          <w:lang w:val="uk-UA"/>
        </w:rPr>
        <w:t>роб</w:t>
      </w:r>
      <w:r w:rsidR="00AE060D" w:rsidRPr="00DD27ED">
        <w:rPr>
          <w:rFonts w:eastAsia="Calibri"/>
          <w:sz w:val="28"/>
          <w:szCs w:val="28"/>
          <w:lang w:val="uk-UA"/>
        </w:rPr>
        <w:t>і</w:t>
      </w:r>
      <w:r w:rsidRPr="00DD27ED">
        <w:rPr>
          <w:rFonts w:eastAsia="Calibri"/>
          <w:sz w:val="28"/>
          <w:szCs w:val="28"/>
          <w:lang w:val="uk-UA"/>
        </w:rPr>
        <w:t xml:space="preserve">т з капітального ремонту </w:t>
      </w:r>
      <w:r w:rsidRPr="00DD27ED">
        <w:rPr>
          <w:rFonts w:eastAsia="Calibri"/>
          <w:sz w:val="28"/>
          <w:szCs w:val="28"/>
        </w:rPr>
        <w:t>З</w:t>
      </w:r>
      <w:r w:rsidR="000E5949" w:rsidRPr="00DD27ED">
        <w:rPr>
          <w:rFonts w:eastAsia="Calibri"/>
          <w:sz w:val="28"/>
          <w:szCs w:val="28"/>
        </w:rPr>
        <w:t>ОШ</w:t>
      </w:r>
      <w:r w:rsidRPr="00DD27ED">
        <w:rPr>
          <w:rFonts w:eastAsia="Calibri"/>
          <w:sz w:val="28"/>
          <w:szCs w:val="28"/>
        </w:rPr>
        <w:t xml:space="preserve"> №</w:t>
      </w:r>
      <w:r w:rsidR="000E5949" w:rsidRPr="00DD27ED">
        <w:rPr>
          <w:rFonts w:eastAsia="Calibri"/>
          <w:sz w:val="28"/>
          <w:szCs w:val="28"/>
        </w:rPr>
        <w:t xml:space="preserve">69 та </w:t>
      </w:r>
      <w:proofErr w:type="spellStart"/>
      <w:r w:rsidR="000E5949" w:rsidRPr="00DD27ED">
        <w:rPr>
          <w:rFonts w:eastAsia="Calibri"/>
          <w:sz w:val="28"/>
          <w:szCs w:val="28"/>
        </w:rPr>
        <w:t>реконструкц</w:t>
      </w:r>
      <w:r w:rsidR="000E5949" w:rsidRPr="00DD27ED">
        <w:rPr>
          <w:rFonts w:eastAsia="Calibri"/>
          <w:sz w:val="28"/>
          <w:szCs w:val="28"/>
          <w:lang w:val="uk-UA"/>
        </w:rPr>
        <w:t>ії</w:t>
      </w:r>
      <w:proofErr w:type="spellEnd"/>
      <w:r w:rsidR="000E5949" w:rsidRPr="00DD27ED">
        <w:rPr>
          <w:rFonts w:eastAsia="Calibri"/>
          <w:sz w:val="28"/>
          <w:szCs w:val="28"/>
        </w:rPr>
        <w:t xml:space="preserve"> </w:t>
      </w:r>
      <w:r w:rsidR="000E5949" w:rsidRPr="00DD27ED">
        <w:rPr>
          <w:rFonts w:eastAsia="Calibri"/>
          <w:sz w:val="28"/>
          <w:szCs w:val="28"/>
          <w:lang w:val="uk-UA"/>
        </w:rPr>
        <w:t>ДНЗ №220</w:t>
      </w:r>
      <w:r w:rsidRPr="00DD27ED">
        <w:rPr>
          <w:rFonts w:eastAsia="Calibri"/>
          <w:sz w:val="28"/>
          <w:szCs w:val="28"/>
          <w:lang w:val="uk-UA"/>
        </w:rPr>
        <w:t>;</w:t>
      </w:r>
    </w:p>
    <w:p w:rsidR="0037701F" w:rsidRPr="00DD27ED" w:rsidRDefault="00551750" w:rsidP="00DD27ED">
      <w:pPr>
        <w:pStyle w:val="justifyfull"/>
        <w:numPr>
          <w:ilvl w:val="0"/>
          <w:numId w:val="17"/>
        </w:numPr>
        <w:shd w:val="clear" w:color="auto" w:fill="FFFFFF" w:themeFill="background1"/>
        <w:spacing w:before="0" w:beforeAutospacing="0" w:after="0" w:afterAutospacing="0"/>
        <w:ind w:left="0" w:firstLine="709"/>
        <w:jc w:val="both"/>
        <w:rPr>
          <w:rFonts w:eastAsia="Calibri"/>
          <w:sz w:val="28"/>
          <w:szCs w:val="28"/>
          <w:lang w:val="uk-UA"/>
        </w:rPr>
      </w:pPr>
      <w:r w:rsidRPr="00DD27ED">
        <w:rPr>
          <w:rFonts w:eastAsia="Calibri"/>
          <w:sz w:val="28"/>
          <w:szCs w:val="28"/>
          <w:lang w:val="uk-UA"/>
        </w:rPr>
        <w:lastRenderedPageBreak/>
        <w:t>культуру і мистецтво</w:t>
      </w:r>
      <w:r w:rsidR="00E076B3" w:rsidRPr="00DD27ED">
        <w:rPr>
          <w:rFonts w:eastAsia="Calibri"/>
          <w:sz w:val="28"/>
          <w:szCs w:val="28"/>
          <w:lang w:val="uk-UA"/>
        </w:rPr>
        <w:t xml:space="preserve"> – 1,4</w:t>
      </w:r>
      <w:r w:rsidR="002320A8" w:rsidRPr="00DD27ED">
        <w:rPr>
          <w:rFonts w:eastAsia="Calibri"/>
          <w:sz w:val="28"/>
          <w:szCs w:val="28"/>
          <w:lang w:val="uk-UA"/>
        </w:rPr>
        <w:t> </w:t>
      </w:r>
      <w:r w:rsidR="00E076B3" w:rsidRPr="00DD27ED">
        <w:rPr>
          <w:rFonts w:eastAsia="Calibri"/>
          <w:sz w:val="28"/>
          <w:szCs w:val="28"/>
          <w:lang w:val="uk-UA"/>
        </w:rPr>
        <w:t>млн.грн.</w:t>
      </w:r>
      <w:r w:rsidR="00DD27ED">
        <w:rPr>
          <w:rFonts w:eastAsia="Calibri"/>
          <w:sz w:val="28"/>
          <w:szCs w:val="28"/>
          <w:lang w:val="uk-UA"/>
        </w:rPr>
        <w:t xml:space="preserve"> (профінансовані </w:t>
      </w:r>
      <w:r w:rsidR="0037701F" w:rsidRPr="00DD27ED">
        <w:rPr>
          <w:rFonts w:eastAsia="Calibri"/>
          <w:sz w:val="28"/>
          <w:szCs w:val="28"/>
          <w:lang w:val="uk-UA"/>
        </w:rPr>
        <w:t>роботи</w:t>
      </w:r>
      <w:r w:rsidR="0024797F" w:rsidRPr="00DD27ED">
        <w:rPr>
          <w:rFonts w:eastAsia="Calibri"/>
          <w:sz w:val="28"/>
          <w:szCs w:val="28"/>
          <w:lang w:val="uk-UA"/>
        </w:rPr>
        <w:t xml:space="preserve"> з капітального ремонту глядацької зали, фасадів будівлі та елементів благоустрою ПК "</w:t>
      </w:r>
      <w:proofErr w:type="spellStart"/>
      <w:r w:rsidR="0024797F" w:rsidRPr="00DD27ED">
        <w:rPr>
          <w:rFonts w:eastAsia="Calibri"/>
          <w:sz w:val="28"/>
          <w:szCs w:val="28"/>
          <w:lang w:val="uk-UA"/>
        </w:rPr>
        <w:t>Хортицький</w:t>
      </w:r>
      <w:proofErr w:type="spellEnd"/>
      <w:r w:rsidR="0024797F" w:rsidRPr="00DD27ED">
        <w:rPr>
          <w:rFonts w:eastAsia="Calibri"/>
          <w:sz w:val="28"/>
          <w:szCs w:val="28"/>
          <w:lang w:val="uk-UA"/>
        </w:rPr>
        <w:t>"</w:t>
      </w:r>
      <w:r w:rsidR="00DD27ED">
        <w:rPr>
          <w:rFonts w:eastAsia="Calibri"/>
          <w:sz w:val="28"/>
          <w:szCs w:val="28"/>
          <w:lang w:val="uk-UA"/>
        </w:rPr>
        <w:t>)</w:t>
      </w:r>
      <w:r w:rsidR="0037701F" w:rsidRPr="00DD27ED">
        <w:rPr>
          <w:rFonts w:eastAsia="Calibri"/>
          <w:sz w:val="28"/>
          <w:szCs w:val="28"/>
          <w:lang w:val="uk-UA"/>
        </w:rPr>
        <w:t>;</w:t>
      </w:r>
    </w:p>
    <w:p w:rsidR="00F3253A" w:rsidRPr="00DD27ED" w:rsidRDefault="00DB590E" w:rsidP="00F3253A">
      <w:pPr>
        <w:pStyle w:val="justifyfull"/>
        <w:numPr>
          <w:ilvl w:val="0"/>
          <w:numId w:val="17"/>
        </w:numPr>
        <w:shd w:val="clear" w:color="auto" w:fill="FFFFFF" w:themeFill="background1"/>
        <w:spacing w:before="0" w:beforeAutospacing="0" w:after="0" w:afterAutospacing="0"/>
        <w:ind w:left="0" w:firstLine="709"/>
        <w:jc w:val="both"/>
        <w:rPr>
          <w:rFonts w:eastAsia="Calibri"/>
          <w:sz w:val="28"/>
          <w:szCs w:val="28"/>
          <w:lang w:val="uk-UA"/>
        </w:rPr>
      </w:pPr>
      <w:r w:rsidRPr="00DD27ED">
        <w:rPr>
          <w:rFonts w:eastAsia="Calibri"/>
          <w:sz w:val="28"/>
          <w:szCs w:val="28"/>
          <w:lang w:val="uk-UA"/>
        </w:rPr>
        <w:t>фізичну культуру і спорт</w:t>
      </w:r>
      <w:r w:rsidR="00551750" w:rsidRPr="00DD27ED">
        <w:rPr>
          <w:rFonts w:eastAsia="Calibri"/>
          <w:sz w:val="28"/>
          <w:szCs w:val="28"/>
          <w:lang w:val="uk-UA"/>
        </w:rPr>
        <w:t xml:space="preserve"> – 0,</w:t>
      </w:r>
      <w:r w:rsidR="00770DA5" w:rsidRPr="00DD27ED">
        <w:rPr>
          <w:rFonts w:eastAsia="Calibri"/>
          <w:sz w:val="28"/>
          <w:szCs w:val="28"/>
          <w:lang w:val="uk-UA"/>
        </w:rPr>
        <w:t>1</w:t>
      </w:r>
      <w:r w:rsidRPr="00DD27ED">
        <w:rPr>
          <w:rFonts w:eastAsia="Calibri"/>
          <w:sz w:val="28"/>
          <w:szCs w:val="28"/>
          <w:lang w:val="uk-UA"/>
        </w:rPr>
        <w:t> млн.грн.</w:t>
      </w:r>
    </w:p>
    <w:p w:rsidR="00E562CB" w:rsidRPr="007F2BF5" w:rsidRDefault="00E562CB" w:rsidP="00E562CB">
      <w:pPr>
        <w:pStyle w:val="justifyfull"/>
        <w:numPr>
          <w:ilvl w:val="0"/>
          <w:numId w:val="15"/>
        </w:numPr>
        <w:spacing w:before="0" w:beforeAutospacing="0" w:after="0" w:afterAutospacing="0"/>
        <w:ind w:left="0" w:firstLine="709"/>
        <w:jc w:val="both"/>
        <w:rPr>
          <w:rFonts w:eastAsia="Calibri"/>
          <w:sz w:val="28"/>
          <w:szCs w:val="28"/>
          <w:lang w:val="uk-UA"/>
        </w:rPr>
      </w:pPr>
      <w:r w:rsidRPr="007F2BF5">
        <w:rPr>
          <w:rFonts w:eastAsia="Calibri"/>
          <w:sz w:val="28"/>
          <w:szCs w:val="28"/>
          <w:lang w:val="uk-UA"/>
        </w:rPr>
        <w:t xml:space="preserve">Видатки на житлово-комунальне та дорожнє господарство склали 381,0 млн.грн., планові показники відповідного періоду виконані на </w:t>
      </w:r>
      <w:r w:rsidRPr="00E562CB">
        <w:rPr>
          <w:rFonts w:eastAsia="Calibri"/>
          <w:sz w:val="28"/>
          <w:szCs w:val="28"/>
          <w:lang w:val="uk-UA"/>
        </w:rPr>
        <w:t>91,7%</w:t>
      </w:r>
      <w:r w:rsidRPr="007F2BF5">
        <w:rPr>
          <w:rFonts w:eastAsia="Calibri"/>
          <w:sz w:val="28"/>
          <w:szCs w:val="28"/>
          <w:lang w:val="uk-UA"/>
        </w:rPr>
        <w:t>. Кошти спрямовані на реалізацію заходів наступних програм:</w:t>
      </w:r>
    </w:p>
    <w:p w:rsidR="00E562CB" w:rsidRPr="005366F6" w:rsidRDefault="00E562CB" w:rsidP="00E562CB">
      <w:pPr>
        <w:ind w:firstLine="709"/>
        <w:jc w:val="both"/>
        <w:rPr>
          <w:sz w:val="28"/>
          <w:szCs w:val="28"/>
          <w:lang w:val="uk-UA"/>
        </w:rPr>
      </w:pPr>
      <w:r w:rsidRPr="007F2BF5">
        <w:rPr>
          <w:rFonts w:eastAsia="Calibri"/>
          <w:sz w:val="28"/>
          <w:szCs w:val="28"/>
          <w:lang w:val="uk-UA"/>
        </w:rPr>
        <w:t xml:space="preserve">- </w:t>
      </w:r>
      <w:r w:rsidRPr="005366F6">
        <w:rPr>
          <w:i/>
          <w:sz w:val="28"/>
          <w:szCs w:val="28"/>
          <w:lang w:val="uk-UA"/>
        </w:rPr>
        <w:t xml:space="preserve">Програма розвитку та утримання житлово-комунального господарства (з урахуванням коштів депутатського фонду) </w:t>
      </w:r>
      <w:r w:rsidRPr="005366F6">
        <w:rPr>
          <w:sz w:val="28"/>
          <w:szCs w:val="28"/>
          <w:lang w:val="uk-UA"/>
        </w:rPr>
        <w:t xml:space="preserve">– </w:t>
      </w:r>
      <w:r w:rsidRPr="005366F6">
        <w:rPr>
          <w:rFonts w:eastAsia="Calibri"/>
          <w:sz w:val="28"/>
          <w:szCs w:val="28"/>
          <w:lang w:val="uk-UA"/>
        </w:rPr>
        <w:t>236,8 </w:t>
      </w:r>
      <w:r w:rsidRPr="005366F6">
        <w:rPr>
          <w:sz w:val="28"/>
          <w:szCs w:val="28"/>
          <w:lang w:val="uk-UA"/>
        </w:rPr>
        <w:t>млн.грн. або 94,4</w:t>
      </w:r>
      <w:r>
        <w:rPr>
          <w:sz w:val="28"/>
          <w:szCs w:val="28"/>
          <w:lang w:val="uk-UA"/>
        </w:rPr>
        <w:t xml:space="preserve">% до </w:t>
      </w:r>
      <w:r w:rsidRPr="005366F6">
        <w:rPr>
          <w:sz w:val="28"/>
          <w:szCs w:val="28"/>
          <w:lang w:val="uk-UA"/>
        </w:rPr>
        <w:t>планових видатків на відповідний період</w:t>
      </w:r>
      <w:r w:rsidRPr="005366F6">
        <w:rPr>
          <w:rFonts w:eastAsia="Calibri"/>
          <w:sz w:val="28"/>
          <w:szCs w:val="28"/>
          <w:lang w:val="uk-UA"/>
        </w:rPr>
        <w:t xml:space="preserve">, з яких на: </w:t>
      </w:r>
      <w:r w:rsidRPr="005366F6">
        <w:rPr>
          <w:sz w:val="28"/>
          <w:szCs w:val="28"/>
          <w:lang w:val="uk-UA"/>
        </w:rPr>
        <w:t xml:space="preserve">фінансову підтримку комунальних підприємств галузі – 193,5 млн.грн.; проведення капітального ремонту житлового фонду міста – 16,2 млн.грн.; сплату лізингових платежів за умовами договорів, укладених у 2019 та 2020 роках на придбання спеціалізованої техніки для </w:t>
      </w:r>
      <w:proofErr w:type="spellStart"/>
      <w:r w:rsidRPr="005366F6">
        <w:rPr>
          <w:sz w:val="28"/>
          <w:szCs w:val="28"/>
          <w:lang w:val="uk-UA"/>
        </w:rPr>
        <w:t>КП</w:t>
      </w:r>
      <w:proofErr w:type="spellEnd"/>
      <w:r w:rsidRPr="005366F6">
        <w:rPr>
          <w:sz w:val="28"/>
          <w:szCs w:val="28"/>
          <w:lang w:val="uk-UA"/>
        </w:rPr>
        <w:t xml:space="preserve"> «Водоканал» та Концерну «Міські т</w:t>
      </w:r>
      <w:r>
        <w:rPr>
          <w:sz w:val="28"/>
          <w:szCs w:val="28"/>
          <w:lang w:val="uk-UA"/>
        </w:rPr>
        <w:t>еплові мережі» - 10,4</w:t>
      </w:r>
      <w:r>
        <w:rPr>
          <w:sz w:val="28"/>
          <w:szCs w:val="28"/>
          <w:lang w:val="en-US"/>
        </w:rPr>
        <w:t> </w:t>
      </w:r>
      <w:r>
        <w:rPr>
          <w:sz w:val="28"/>
          <w:szCs w:val="28"/>
          <w:lang w:val="uk-UA"/>
        </w:rPr>
        <w:t>млн.грн.;</w:t>
      </w:r>
      <w:r w:rsidRPr="005366F6">
        <w:rPr>
          <w:sz w:val="28"/>
          <w:szCs w:val="28"/>
          <w:lang w:val="uk-UA"/>
        </w:rPr>
        <w:t xml:space="preserve"> забезпечення надійного та безперебійного функціонування ліфтового господарства – </w:t>
      </w:r>
      <w:r>
        <w:rPr>
          <w:sz w:val="28"/>
          <w:szCs w:val="28"/>
          <w:lang w:val="uk-UA"/>
        </w:rPr>
        <w:t>8,1</w:t>
      </w:r>
      <w:r>
        <w:rPr>
          <w:sz w:val="28"/>
          <w:szCs w:val="28"/>
          <w:lang w:val="en-US"/>
        </w:rPr>
        <w:t> </w:t>
      </w:r>
      <w:r w:rsidRPr="005366F6">
        <w:rPr>
          <w:sz w:val="28"/>
          <w:szCs w:val="28"/>
          <w:lang w:val="uk-UA"/>
        </w:rPr>
        <w:t>млн.грн.; утримання прибудинкових територій - 6,8</w:t>
      </w:r>
      <w:r>
        <w:rPr>
          <w:sz w:val="28"/>
          <w:szCs w:val="28"/>
          <w:lang w:val="en-US"/>
        </w:rPr>
        <w:t> </w:t>
      </w:r>
      <w:r w:rsidRPr="005366F6">
        <w:rPr>
          <w:sz w:val="28"/>
          <w:szCs w:val="28"/>
          <w:lang w:val="uk-UA"/>
        </w:rPr>
        <w:t>млн.грн.; реконструкцію об’єктів житлового господарства – 1,8</w:t>
      </w:r>
      <w:r>
        <w:rPr>
          <w:sz w:val="28"/>
          <w:szCs w:val="28"/>
          <w:lang w:val="en-US"/>
        </w:rPr>
        <w:t> </w:t>
      </w:r>
      <w:r w:rsidRPr="005366F6">
        <w:rPr>
          <w:sz w:val="28"/>
          <w:szCs w:val="28"/>
          <w:lang w:val="uk-UA"/>
        </w:rPr>
        <w:t>млн.грн.</w:t>
      </w:r>
    </w:p>
    <w:p w:rsidR="00E562CB" w:rsidRPr="005366F6" w:rsidRDefault="00E562CB" w:rsidP="00E562CB">
      <w:pPr>
        <w:pStyle w:val="2"/>
        <w:spacing w:after="0" w:line="240" w:lineRule="auto"/>
        <w:ind w:left="0" w:firstLine="709"/>
        <w:jc w:val="both"/>
        <w:rPr>
          <w:sz w:val="28"/>
          <w:szCs w:val="28"/>
          <w:lang w:val="uk-UA"/>
        </w:rPr>
      </w:pPr>
      <w:r w:rsidRPr="005366F6">
        <w:rPr>
          <w:sz w:val="28"/>
          <w:szCs w:val="28"/>
          <w:lang w:val="uk-UA"/>
        </w:rPr>
        <w:t xml:space="preserve">Продовжено </w:t>
      </w:r>
      <w:proofErr w:type="spellStart"/>
      <w:r w:rsidRPr="005366F6">
        <w:rPr>
          <w:sz w:val="28"/>
          <w:szCs w:val="28"/>
        </w:rPr>
        <w:t>ремонтно-будівельні</w:t>
      </w:r>
      <w:proofErr w:type="spellEnd"/>
      <w:r w:rsidRPr="005366F6">
        <w:rPr>
          <w:sz w:val="28"/>
          <w:szCs w:val="28"/>
        </w:rPr>
        <w:t xml:space="preserve"> </w:t>
      </w:r>
      <w:r w:rsidRPr="005366F6">
        <w:rPr>
          <w:sz w:val="28"/>
          <w:szCs w:val="28"/>
          <w:lang w:val="uk-UA"/>
        </w:rPr>
        <w:t xml:space="preserve">роботи, які направлені на поліпшення </w:t>
      </w:r>
      <w:proofErr w:type="spellStart"/>
      <w:r w:rsidRPr="005366F6">
        <w:rPr>
          <w:sz w:val="28"/>
          <w:szCs w:val="28"/>
        </w:rPr>
        <w:t>експлуатаційних</w:t>
      </w:r>
      <w:proofErr w:type="spellEnd"/>
      <w:r w:rsidRPr="005366F6">
        <w:rPr>
          <w:sz w:val="28"/>
          <w:szCs w:val="28"/>
        </w:rPr>
        <w:t xml:space="preserve"> </w:t>
      </w:r>
      <w:proofErr w:type="spellStart"/>
      <w:r w:rsidRPr="005366F6">
        <w:rPr>
          <w:sz w:val="28"/>
          <w:szCs w:val="28"/>
        </w:rPr>
        <w:t>показників</w:t>
      </w:r>
      <w:proofErr w:type="spellEnd"/>
      <w:r w:rsidRPr="005366F6">
        <w:rPr>
          <w:sz w:val="28"/>
          <w:szCs w:val="28"/>
          <w:lang w:val="uk-UA"/>
        </w:rPr>
        <w:t xml:space="preserve"> житлового фонду міста. На звітну дату завершено роботи з вибіркового капітального ремонту 36-ти об’єктів, 10-ти об’єктів ліфтового господарства та виконано</w:t>
      </w:r>
      <w:r w:rsidRPr="005366F6">
        <w:rPr>
          <w:sz w:val="28"/>
          <w:szCs w:val="28"/>
        </w:rPr>
        <w:t xml:space="preserve"> </w:t>
      </w:r>
      <w:r w:rsidRPr="005366F6">
        <w:rPr>
          <w:sz w:val="28"/>
          <w:szCs w:val="28"/>
          <w:lang w:val="uk-UA"/>
        </w:rPr>
        <w:t>капітальний ремонт покрівлі</w:t>
      </w:r>
      <w:r w:rsidRPr="005366F6">
        <w:rPr>
          <w:sz w:val="28"/>
          <w:szCs w:val="28"/>
        </w:rPr>
        <w:t xml:space="preserve"> </w:t>
      </w:r>
      <w:r w:rsidRPr="005366F6">
        <w:rPr>
          <w:sz w:val="28"/>
          <w:szCs w:val="28"/>
          <w:lang w:val="uk-UA"/>
        </w:rPr>
        <w:t xml:space="preserve">3-х об’єктів. Також, проведено </w:t>
      </w:r>
      <w:proofErr w:type="spellStart"/>
      <w:r w:rsidRPr="005366F6">
        <w:rPr>
          <w:sz w:val="28"/>
          <w:szCs w:val="28"/>
        </w:rPr>
        <w:t>моніторинг</w:t>
      </w:r>
      <w:proofErr w:type="spellEnd"/>
      <w:r w:rsidRPr="005366F6">
        <w:rPr>
          <w:sz w:val="28"/>
          <w:szCs w:val="28"/>
        </w:rPr>
        <w:t xml:space="preserve"> за </w:t>
      </w:r>
      <w:proofErr w:type="spellStart"/>
      <w:r w:rsidRPr="005366F6">
        <w:rPr>
          <w:sz w:val="28"/>
          <w:szCs w:val="28"/>
        </w:rPr>
        <w:t>деформаціями</w:t>
      </w:r>
      <w:proofErr w:type="spellEnd"/>
      <w:r w:rsidRPr="005366F6">
        <w:rPr>
          <w:sz w:val="28"/>
          <w:szCs w:val="28"/>
        </w:rPr>
        <w:t xml:space="preserve"> </w:t>
      </w:r>
      <w:r w:rsidRPr="005366F6">
        <w:rPr>
          <w:sz w:val="28"/>
          <w:szCs w:val="28"/>
          <w:lang w:val="uk-UA"/>
        </w:rPr>
        <w:t xml:space="preserve">5 житлових будинків. Роботи з капітального ремонту житлового фонду міста тривають. </w:t>
      </w:r>
    </w:p>
    <w:p w:rsidR="00E562CB" w:rsidRPr="005366F6" w:rsidRDefault="00E562CB" w:rsidP="00E562CB">
      <w:pPr>
        <w:shd w:val="clear" w:color="auto" w:fill="FFFFFF"/>
        <w:ind w:firstLine="709"/>
        <w:jc w:val="both"/>
        <w:rPr>
          <w:sz w:val="28"/>
          <w:szCs w:val="28"/>
          <w:lang w:val="uk-UA"/>
        </w:rPr>
      </w:pPr>
      <w:r w:rsidRPr="005366F6">
        <w:rPr>
          <w:kern w:val="2"/>
          <w:sz w:val="28"/>
          <w:szCs w:val="28"/>
          <w:lang w:val="uk-UA" w:eastAsia="ar-SA"/>
        </w:rPr>
        <w:t xml:space="preserve">В рамках реалізації проєкту проведення капітальних ремонтів спільного майна багатоквартирних будинків на умовах </w:t>
      </w:r>
      <w:proofErr w:type="spellStart"/>
      <w:r w:rsidRPr="005366F6">
        <w:rPr>
          <w:kern w:val="2"/>
          <w:sz w:val="28"/>
          <w:szCs w:val="28"/>
          <w:lang w:val="uk-UA" w:eastAsia="ar-SA"/>
        </w:rPr>
        <w:t>співфінансування</w:t>
      </w:r>
      <w:proofErr w:type="spellEnd"/>
      <w:r w:rsidRPr="005366F6">
        <w:rPr>
          <w:kern w:val="2"/>
          <w:sz w:val="28"/>
          <w:szCs w:val="28"/>
          <w:lang w:val="uk-UA" w:eastAsia="ar-SA"/>
        </w:rPr>
        <w:t xml:space="preserve"> </w:t>
      </w:r>
      <w:r w:rsidRPr="005366F6">
        <w:rPr>
          <w:sz w:val="28"/>
          <w:szCs w:val="28"/>
          <w:lang w:val="uk-UA"/>
        </w:rPr>
        <w:t>завершено роботи на 7 об’єктах, ще на 6</w:t>
      </w:r>
      <w:r w:rsidR="00874549">
        <w:rPr>
          <w:sz w:val="28"/>
          <w:szCs w:val="28"/>
          <w:lang w:val="uk-UA"/>
        </w:rPr>
        <w:t>-ти</w:t>
      </w:r>
      <w:r w:rsidRPr="005366F6">
        <w:rPr>
          <w:sz w:val="28"/>
          <w:szCs w:val="28"/>
          <w:lang w:val="uk-UA"/>
        </w:rPr>
        <w:t xml:space="preserve"> ведуться роботи.</w:t>
      </w:r>
    </w:p>
    <w:p w:rsidR="00E562CB" w:rsidRPr="005366F6" w:rsidRDefault="00E562CB" w:rsidP="00E562CB">
      <w:pPr>
        <w:ind w:firstLine="709"/>
        <w:jc w:val="both"/>
        <w:rPr>
          <w:sz w:val="28"/>
          <w:szCs w:val="28"/>
          <w:lang w:val="uk-UA"/>
        </w:rPr>
      </w:pPr>
      <w:r w:rsidRPr="005366F6">
        <w:rPr>
          <w:sz w:val="28"/>
          <w:szCs w:val="28"/>
          <w:lang w:val="uk-UA"/>
        </w:rPr>
        <w:t xml:space="preserve">Видатки на будівництво та реконструкцію об’єктів житлово-комунального та </w:t>
      </w:r>
      <w:proofErr w:type="spellStart"/>
      <w:r w:rsidRPr="005366F6">
        <w:rPr>
          <w:sz w:val="28"/>
          <w:szCs w:val="28"/>
          <w:lang w:val="uk-UA"/>
        </w:rPr>
        <w:t>каналізаційно</w:t>
      </w:r>
      <w:proofErr w:type="spellEnd"/>
      <w:r w:rsidRPr="005366F6">
        <w:rPr>
          <w:sz w:val="28"/>
          <w:szCs w:val="28"/>
          <w:lang w:val="uk-UA"/>
        </w:rPr>
        <w:t xml:space="preserve"> - водопровідного господарства склали - 1,8</w:t>
      </w:r>
      <w:r>
        <w:rPr>
          <w:sz w:val="28"/>
          <w:szCs w:val="28"/>
          <w:lang w:val="en-US"/>
        </w:rPr>
        <w:t> </w:t>
      </w:r>
      <w:r w:rsidRPr="005366F6">
        <w:rPr>
          <w:sz w:val="28"/>
          <w:szCs w:val="28"/>
          <w:lang w:val="uk-UA"/>
        </w:rPr>
        <w:t>млн.грн.,</w:t>
      </w:r>
      <w:r>
        <w:rPr>
          <w:sz w:val="28"/>
          <w:szCs w:val="28"/>
          <w:lang w:val="uk-UA"/>
        </w:rPr>
        <w:t xml:space="preserve"> за рахунок </w:t>
      </w:r>
      <w:r w:rsidRPr="005366F6">
        <w:rPr>
          <w:sz w:val="28"/>
          <w:szCs w:val="28"/>
          <w:lang w:val="uk-UA"/>
        </w:rPr>
        <w:t>яких завершено роботи та введено в експлуатацію дитячи</w:t>
      </w:r>
      <w:r w:rsidR="00D94088">
        <w:rPr>
          <w:sz w:val="28"/>
          <w:szCs w:val="28"/>
          <w:lang w:val="uk-UA"/>
        </w:rPr>
        <w:t xml:space="preserve">й будинок сімейного типу в </w:t>
      </w:r>
      <w:proofErr w:type="spellStart"/>
      <w:r w:rsidR="00D94088">
        <w:rPr>
          <w:sz w:val="28"/>
          <w:szCs w:val="28"/>
          <w:lang w:val="uk-UA"/>
        </w:rPr>
        <w:t>сел.</w:t>
      </w:r>
      <w:r w:rsidRPr="005366F6">
        <w:rPr>
          <w:sz w:val="28"/>
          <w:szCs w:val="28"/>
          <w:lang w:val="uk-UA"/>
        </w:rPr>
        <w:t>Тепличне</w:t>
      </w:r>
      <w:proofErr w:type="spellEnd"/>
      <w:r w:rsidRPr="005366F6">
        <w:rPr>
          <w:sz w:val="28"/>
          <w:szCs w:val="28"/>
          <w:lang w:val="uk-UA"/>
        </w:rPr>
        <w:t>, продовжено роботи з реконструкції житлового бу</w:t>
      </w:r>
      <w:r>
        <w:rPr>
          <w:sz w:val="28"/>
          <w:szCs w:val="28"/>
          <w:lang w:val="uk-UA"/>
        </w:rPr>
        <w:t>динку по вул. Дзержинського, 52</w:t>
      </w:r>
      <w:r w:rsidRPr="005366F6">
        <w:rPr>
          <w:sz w:val="28"/>
          <w:szCs w:val="28"/>
          <w:lang w:val="uk-UA"/>
        </w:rPr>
        <w:t xml:space="preserve"> </w:t>
      </w:r>
      <w:r>
        <w:rPr>
          <w:sz w:val="28"/>
          <w:szCs w:val="28"/>
          <w:lang w:val="uk-UA"/>
        </w:rPr>
        <w:t>та</w:t>
      </w:r>
      <w:r w:rsidRPr="005366F6">
        <w:rPr>
          <w:sz w:val="28"/>
          <w:szCs w:val="28"/>
          <w:lang w:val="uk-UA"/>
        </w:rPr>
        <w:t xml:space="preserve"> КНС-1.</w:t>
      </w:r>
    </w:p>
    <w:p w:rsidR="00E562CB" w:rsidRPr="005366F6" w:rsidRDefault="00E562CB" w:rsidP="00E562CB">
      <w:pPr>
        <w:pStyle w:val="ad"/>
        <w:numPr>
          <w:ilvl w:val="0"/>
          <w:numId w:val="20"/>
        </w:numPr>
        <w:suppressAutoHyphens/>
        <w:spacing w:after="0" w:line="240" w:lineRule="auto"/>
        <w:ind w:left="0" w:firstLine="709"/>
        <w:jc w:val="both"/>
        <w:rPr>
          <w:rFonts w:ascii="Times New Roman" w:hAnsi="Times New Roman" w:cs="Times New Roman"/>
          <w:sz w:val="28"/>
          <w:szCs w:val="28"/>
          <w:lang w:val="uk-UA"/>
        </w:rPr>
      </w:pPr>
      <w:r w:rsidRPr="005366F6">
        <w:rPr>
          <w:rFonts w:ascii="Times New Roman" w:eastAsia="Calibri" w:hAnsi="Times New Roman" w:cs="Times New Roman"/>
          <w:i/>
          <w:sz w:val="28"/>
          <w:szCs w:val="28"/>
          <w:lang w:val="uk-UA" w:eastAsia="ru-RU"/>
        </w:rPr>
        <w:t xml:space="preserve">Програми «Муніципальної аварійної служби та служби технічного обслуговування систем диспетчеризації ліфтів» </w:t>
      </w:r>
      <w:r w:rsidRPr="005366F6">
        <w:rPr>
          <w:rFonts w:ascii="Times New Roman" w:eastAsia="Times New Roman" w:hAnsi="Times New Roman" w:cs="Times New Roman"/>
          <w:sz w:val="28"/>
          <w:szCs w:val="28"/>
          <w:lang w:val="uk-UA" w:eastAsia="ru-RU"/>
        </w:rPr>
        <w:t xml:space="preserve">з бюджету міста спрямовано 27,4 млн.грн., що складає 99,1% планових показників. Муніципальною аварійною службою опрацьовано </w:t>
      </w:r>
      <w:r>
        <w:rPr>
          <w:rFonts w:ascii="Times New Roman" w:eastAsia="Times New Roman" w:hAnsi="Times New Roman" w:cs="Times New Roman"/>
          <w:sz w:val="28"/>
          <w:szCs w:val="28"/>
          <w:lang w:val="uk-UA" w:eastAsia="ru-RU"/>
        </w:rPr>
        <w:t>14</w:t>
      </w:r>
      <w:r w:rsidRPr="005366F6">
        <w:rPr>
          <w:rFonts w:ascii="Times New Roman" w:eastAsia="Times New Roman" w:hAnsi="Times New Roman" w:cs="Times New Roman"/>
          <w:sz w:val="28"/>
          <w:szCs w:val="28"/>
          <w:lang w:val="uk-UA" w:eastAsia="ru-RU"/>
        </w:rPr>
        <w:t>,6 тис.</w:t>
      </w:r>
      <w:r w:rsidR="00874549">
        <w:rPr>
          <w:rFonts w:ascii="Times New Roman" w:eastAsia="Times New Roman" w:hAnsi="Times New Roman" w:cs="Times New Roman"/>
          <w:sz w:val="28"/>
          <w:szCs w:val="28"/>
          <w:lang w:val="uk-UA" w:eastAsia="ru-RU"/>
        </w:rPr>
        <w:t xml:space="preserve"> </w:t>
      </w:r>
      <w:r w:rsidRPr="005366F6">
        <w:rPr>
          <w:rFonts w:ascii="Times New Roman" w:eastAsia="Times New Roman" w:hAnsi="Times New Roman" w:cs="Times New Roman"/>
          <w:sz w:val="28"/>
          <w:szCs w:val="28"/>
          <w:lang w:val="uk-UA" w:eastAsia="ru-RU"/>
        </w:rPr>
        <w:t xml:space="preserve">заявок, що надійшли від мешканців міста, службою диспетчеризації ліфтів обслуговується 3,8 </w:t>
      </w:r>
      <w:proofErr w:type="spellStart"/>
      <w:r w:rsidRPr="005366F6">
        <w:rPr>
          <w:rFonts w:ascii="Times New Roman" w:eastAsia="Times New Roman" w:hAnsi="Times New Roman" w:cs="Times New Roman"/>
          <w:sz w:val="28"/>
          <w:szCs w:val="28"/>
          <w:lang w:val="uk-UA" w:eastAsia="ru-RU"/>
        </w:rPr>
        <w:t>тис.ліфтів</w:t>
      </w:r>
      <w:proofErr w:type="spellEnd"/>
      <w:r w:rsidRPr="005366F6">
        <w:rPr>
          <w:rFonts w:ascii="Times New Roman" w:eastAsia="Times New Roman" w:hAnsi="Times New Roman" w:cs="Times New Roman"/>
          <w:sz w:val="28"/>
          <w:szCs w:val="28"/>
          <w:lang w:val="uk-UA" w:eastAsia="ru-RU"/>
        </w:rPr>
        <w:t xml:space="preserve">. </w:t>
      </w:r>
    </w:p>
    <w:p w:rsidR="00E562CB" w:rsidRPr="0003244D" w:rsidRDefault="00E562CB" w:rsidP="00E562CB">
      <w:pPr>
        <w:pStyle w:val="ad"/>
        <w:spacing w:after="0" w:line="240" w:lineRule="auto"/>
        <w:ind w:left="0" w:firstLine="709"/>
        <w:jc w:val="both"/>
        <w:rPr>
          <w:rFonts w:ascii="Times New Roman" w:eastAsia="Calibri" w:hAnsi="Times New Roman" w:cs="Times New Roman"/>
          <w:sz w:val="28"/>
          <w:szCs w:val="28"/>
          <w:lang w:val="uk-UA" w:eastAsia="ru-RU"/>
        </w:rPr>
      </w:pPr>
      <w:r w:rsidRPr="00E562CB">
        <w:rPr>
          <w:rFonts w:ascii="Times New Roman" w:eastAsia="Calibri" w:hAnsi="Times New Roman" w:cs="Times New Roman"/>
          <w:sz w:val="28"/>
          <w:szCs w:val="28"/>
          <w:lang w:val="uk-UA" w:eastAsia="ru-RU"/>
        </w:rPr>
        <w:t>В рамках</w:t>
      </w:r>
      <w:r w:rsidRPr="00E562CB">
        <w:rPr>
          <w:rFonts w:ascii="Times New Roman" w:eastAsia="Calibri" w:hAnsi="Times New Roman" w:cs="Times New Roman"/>
          <w:i/>
          <w:sz w:val="28"/>
          <w:szCs w:val="28"/>
          <w:lang w:val="uk-UA" w:eastAsia="ru-RU"/>
        </w:rPr>
        <w:t xml:space="preserve"> Програми розвитку інфраструктури та комплексного благоустрою </w:t>
      </w:r>
      <w:r w:rsidRPr="00E562CB">
        <w:rPr>
          <w:rFonts w:ascii="Times New Roman" w:eastAsia="Calibri" w:hAnsi="Times New Roman" w:cs="Times New Roman"/>
          <w:sz w:val="28"/>
          <w:szCs w:val="28"/>
          <w:lang w:val="uk-UA" w:eastAsia="ru-RU"/>
        </w:rPr>
        <w:t>та</w:t>
      </w:r>
      <w:r w:rsidRPr="00E562CB">
        <w:rPr>
          <w:rFonts w:ascii="Times New Roman" w:eastAsia="Calibri" w:hAnsi="Times New Roman" w:cs="Times New Roman"/>
          <w:i/>
          <w:sz w:val="28"/>
          <w:szCs w:val="28"/>
          <w:lang w:val="uk-UA" w:eastAsia="ru-RU"/>
        </w:rPr>
        <w:t xml:space="preserve"> Програми відно</w:t>
      </w:r>
      <w:r>
        <w:rPr>
          <w:rFonts w:ascii="Times New Roman" w:eastAsia="Calibri" w:hAnsi="Times New Roman" w:cs="Times New Roman"/>
          <w:i/>
          <w:sz w:val="28"/>
          <w:szCs w:val="28"/>
          <w:lang w:val="uk-UA" w:eastAsia="ru-RU"/>
        </w:rPr>
        <w:t>влення інфраструктури території</w:t>
      </w:r>
      <w:r w:rsidRPr="00E562CB">
        <w:rPr>
          <w:rFonts w:ascii="Times New Roman" w:eastAsia="Calibri" w:hAnsi="Times New Roman" w:cs="Times New Roman"/>
          <w:i/>
          <w:sz w:val="28"/>
          <w:szCs w:val="28"/>
          <w:lang w:val="uk-UA" w:eastAsia="ru-RU"/>
        </w:rPr>
        <w:t xml:space="preserve"> приватного сектору м. Запоріжжя (з урахуванням коштів депутатського фонду)</w:t>
      </w:r>
      <w:r w:rsidRPr="00E562CB">
        <w:rPr>
          <w:i/>
          <w:sz w:val="28"/>
          <w:szCs w:val="28"/>
          <w:lang w:val="uk-UA"/>
        </w:rPr>
        <w:t xml:space="preserve"> </w:t>
      </w:r>
      <w:r w:rsidRPr="00E562CB">
        <w:rPr>
          <w:rFonts w:ascii="Times New Roman" w:eastAsia="Calibri" w:hAnsi="Times New Roman" w:cs="Times New Roman"/>
          <w:sz w:val="28"/>
          <w:szCs w:val="28"/>
          <w:lang w:val="uk-UA" w:eastAsia="ru-RU"/>
        </w:rPr>
        <w:t>видатки в загальному обсязі склали 113,6</w:t>
      </w:r>
      <w:r>
        <w:rPr>
          <w:rFonts w:ascii="Times New Roman" w:eastAsia="Calibri" w:hAnsi="Times New Roman" w:cs="Times New Roman"/>
          <w:sz w:val="28"/>
          <w:szCs w:val="28"/>
          <w:lang w:val="en-US" w:eastAsia="ru-RU"/>
        </w:rPr>
        <w:t> </w:t>
      </w:r>
      <w:r w:rsidRPr="00E562CB">
        <w:rPr>
          <w:rFonts w:ascii="Times New Roman" w:eastAsia="Calibri" w:hAnsi="Times New Roman" w:cs="Times New Roman"/>
          <w:sz w:val="28"/>
          <w:szCs w:val="28"/>
          <w:lang w:val="uk-UA" w:eastAsia="ru-RU"/>
        </w:rPr>
        <w:t>млн.грн., що становить 84,9% планових показників.</w:t>
      </w:r>
      <w:r w:rsidR="00D94088">
        <w:rPr>
          <w:rFonts w:ascii="Times New Roman" w:eastAsia="Calibri" w:hAnsi="Times New Roman" w:cs="Times New Roman"/>
          <w:sz w:val="28"/>
          <w:szCs w:val="28"/>
          <w:lang w:val="uk-UA" w:eastAsia="ru-RU"/>
        </w:rPr>
        <w:t xml:space="preserve"> З них</w:t>
      </w:r>
      <w:r w:rsidR="00A52CD1">
        <w:rPr>
          <w:rFonts w:ascii="Times New Roman" w:eastAsia="Calibri" w:hAnsi="Times New Roman" w:cs="Times New Roman"/>
          <w:sz w:val="28"/>
          <w:szCs w:val="28"/>
          <w:lang w:val="uk-UA" w:eastAsia="ru-RU"/>
        </w:rPr>
        <w:t xml:space="preserve"> на</w:t>
      </w:r>
      <w:r w:rsidR="00D94088">
        <w:rPr>
          <w:rFonts w:ascii="Times New Roman" w:eastAsia="Calibri" w:hAnsi="Times New Roman" w:cs="Times New Roman"/>
          <w:sz w:val="28"/>
          <w:szCs w:val="28"/>
          <w:lang w:val="uk-UA" w:eastAsia="ru-RU"/>
        </w:rPr>
        <w:t>:</w:t>
      </w:r>
    </w:p>
    <w:p w:rsidR="00E562CB" w:rsidRPr="005366F6" w:rsidRDefault="00E562CB" w:rsidP="0065134D">
      <w:pPr>
        <w:pStyle w:val="justifyfull"/>
        <w:numPr>
          <w:ilvl w:val="0"/>
          <w:numId w:val="21"/>
        </w:numPr>
        <w:spacing w:before="0" w:beforeAutospacing="0" w:after="0" w:afterAutospacing="0"/>
        <w:ind w:left="0" w:firstLine="709"/>
        <w:jc w:val="both"/>
        <w:rPr>
          <w:rFonts w:eastAsia="Calibri"/>
          <w:sz w:val="28"/>
          <w:szCs w:val="28"/>
          <w:lang w:val="uk-UA"/>
        </w:rPr>
      </w:pPr>
      <w:r w:rsidRPr="005366F6">
        <w:rPr>
          <w:rFonts w:eastAsia="Calibri"/>
          <w:sz w:val="28"/>
          <w:szCs w:val="28"/>
          <w:lang w:val="uk-UA"/>
        </w:rPr>
        <w:t xml:space="preserve">виконання заходів з благоустрою міста </w:t>
      </w:r>
      <w:r w:rsidR="003D4C6A">
        <w:rPr>
          <w:rFonts w:eastAsia="Calibri"/>
          <w:sz w:val="28"/>
          <w:szCs w:val="28"/>
          <w:lang w:val="uk-UA"/>
        </w:rPr>
        <w:t>-</w:t>
      </w:r>
      <w:r w:rsidRPr="005366F6">
        <w:rPr>
          <w:rFonts w:eastAsia="Calibri"/>
          <w:sz w:val="28"/>
          <w:szCs w:val="28"/>
          <w:lang w:val="uk-UA"/>
        </w:rPr>
        <w:t xml:space="preserve"> 35,9 млн.грн. </w:t>
      </w:r>
      <w:r w:rsidR="003D4C6A">
        <w:rPr>
          <w:rFonts w:eastAsia="Calibri"/>
          <w:sz w:val="28"/>
          <w:szCs w:val="28"/>
          <w:lang w:val="uk-UA"/>
        </w:rPr>
        <w:t>(</w:t>
      </w:r>
      <w:r w:rsidRPr="005366F6">
        <w:rPr>
          <w:rFonts w:eastAsia="Calibri"/>
          <w:sz w:val="28"/>
          <w:szCs w:val="28"/>
          <w:lang w:val="uk-UA"/>
        </w:rPr>
        <w:t>забезпечення зовнішнього освітлення міста – 19,3 млн.грн.; догляд за зеленими насадженнями – 4,7</w:t>
      </w:r>
      <w:r>
        <w:rPr>
          <w:rFonts w:eastAsia="Calibri"/>
          <w:sz w:val="28"/>
          <w:szCs w:val="28"/>
          <w:lang w:val="en-US"/>
        </w:rPr>
        <w:t> </w:t>
      </w:r>
      <w:r w:rsidRPr="005366F6">
        <w:rPr>
          <w:rFonts w:eastAsia="Calibri"/>
          <w:sz w:val="28"/>
          <w:szCs w:val="28"/>
          <w:lang w:val="uk-UA"/>
        </w:rPr>
        <w:t xml:space="preserve">млн.грн.; утримання та поточний ремонт об’єктів </w:t>
      </w:r>
      <w:r w:rsidRPr="005366F6">
        <w:rPr>
          <w:rFonts w:eastAsia="Calibri"/>
          <w:sz w:val="28"/>
          <w:szCs w:val="28"/>
          <w:lang w:val="uk-UA"/>
        </w:rPr>
        <w:lastRenderedPageBreak/>
        <w:t>благоустрою (парків, скверів, пляжів, кладовищ тощо) – 7,4</w:t>
      </w:r>
      <w:r>
        <w:rPr>
          <w:rFonts w:eastAsia="Calibri"/>
          <w:sz w:val="28"/>
          <w:szCs w:val="28"/>
          <w:lang w:val="en-US"/>
        </w:rPr>
        <w:t> </w:t>
      </w:r>
      <w:r w:rsidR="003D4C6A">
        <w:rPr>
          <w:rFonts w:eastAsia="Calibri"/>
          <w:sz w:val="28"/>
          <w:szCs w:val="28"/>
          <w:lang w:val="uk-UA"/>
        </w:rPr>
        <w:t>млн.грн.; організація</w:t>
      </w:r>
      <w:r w:rsidRPr="005366F6">
        <w:rPr>
          <w:rFonts w:eastAsia="Calibri"/>
          <w:sz w:val="28"/>
          <w:szCs w:val="28"/>
          <w:lang w:val="uk-UA"/>
        </w:rPr>
        <w:t xml:space="preserve"> дорожнього руху – 2,5</w:t>
      </w:r>
      <w:r>
        <w:rPr>
          <w:rFonts w:eastAsia="Calibri"/>
          <w:sz w:val="28"/>
          <w:szCs w:val="28"/>
          <w:lang w:val="en-US"/>
        </w:rPr>
        <w:t> </w:t>
      </w:r>
      <w:r w:rsidRPr="005366F6">
        <w:rPr>
          <w:rFonts w:eastAsia="Calibri"/>
          <w:sz w:val="28"/>
          <w:szCs w:val="28"/>
          <w:lang w:val="uk-UA"/>
        </w:rPr>
        <w:t xml:space="preserve">млн.грн.; </w:t>
      </w:r>
      <w:r>
        <w:rPr>
          <w:rFonts w:eastAsia="Calibri"/>
          <w:sz w:val="28"/>
          <w:szCs w:val="28"/>
          <w:lang w:val="uk-UA"/>
        </w:rPr>
        <w:t xml:space="preserve">забезпечення </w:t>
      </w:r>
      <w:r w:rsidRPr="005366F6">
        <w:rPr>
          <w:rFonts w:eastAsia="Calibri"/>
          <w:sz w:val="28"/>
          <w:szCs w:val="28"/>
          <w:lang w:val="uk-UA"/>
        </w:rPr>
        <w:t>належного санітарн</w:t>
      </w:r>
      <w:r>
        <w:rPr>
          <w:rFonts w:eastAsia="Calibri"/>
          <w:sz w:val="28"/>
          <w:szCs w:val="28"/>
          <w:lang w:val="uk-UA"/>
        </w:rPr>
        <w:t>ого та екологічного стану - 0,9</w:t>
      </w:r>
      <w:r>
        <w:rPr>
          <w:rFonts w:eastAsia="Calibri"/>
          <w:sz w:val="28"/>
          <w:szCs w:val="28"/>
          <w:lang w:val="en-US"/>
        </w:rPr>
        <w:t> </w:t>
      </w:r>
      <w:r w:rsidRPr="005366F6">
        <w:rPr>
          <w:rFonts w:eastAsia="Calibri"/>
          <w:sz w:val="28"/>
          <w:szCs w:val="28"/>
          <w:lang w:val="uk-UA"/>
        </w:rPr>
        <w:t xml:space="preserve">млн.грн.; </w:t>
      </w:r>
      <w:proofErr w:type="spellStart"/>
      <w:r w:rsidRPr="005366F6">
        <w:rPr>
          <w:rFonts w:eastAsia="Calibri"/>
          <w:sz w:val="28"/>
          <w:szCs w:val="28"/>
          <w:lang w:val="uk-UA"/>
        </w:rPr>
        <w:t>енерго-</w:t>
      </w:r>
      <w:proofErr w:type="spellEnd"/>
      <w:r w:rsidRPr="005366F6">
        <w:rPr>
          <w:rFonts w:eastAsia="Calibri"/>
          <w:sz w:val="28"/>
          <w:szCs w:val="28"/>
          <w:lang w:val="uk-UA"/>
        </w:rPr>
        <w:t xml:space="preserve">, </w:t>
      </w:r>
      <w:proofErr w:type="spellStart"/>
      <w:r w:rsidRPr="005366F6">
        <w:rPr>
          <w:rFonts w:eastAsia="Calibri"/>
          <w:sz w:val="28"/>
          <w:szCs w:val="28"/>
          <w:lang w:val="uk-UA"/>
        </w:rPr>
        <w:t>газо-</w:t>
      </w:r>
      <w:proofErr w:type="spellEnd"/>
      <w:r w:rsidRPr="005366F6">
        <w:rPr>
          <w:rFonts w:eastAsia="Calibri"/>
          <w:sz w:val="28"/>
          <w:szCs w:val="28"/>
          <w:lang w:val="uk-UA"/>
        </w:rPr>
        <w:t>, водопостачання об’єктів благоустрою – 0,6</w:t>
      </w:r>
      <w:r>
        <w:rPr>
          <w:rFonts w:eastAsia="Calibri"/>
          <w:sz w:val="28"/>
          <w:szCs w:val="28"/>
          <w:lang w:val="en-US"/>
        </w:rPr>
        <w:t> </w:t>
      </w:r>
      <w:r w:rsidRPr="005366F6">
        <w:rPr>
          <w:rFonts w:eastAsia="Calibri"/>
          <w:sz w:val="28"/>
          <w:szCs w:val="28"/>
          <w:lang w:val="uk-UA"/>
        </w:rPr>
        <w:t>млн.грн.; перевезення експертних трупів – 0,3</w:t>
      </w:r>
      <w:r>
        <w:rPr>
          <w:rFonts w:eastAsia="Calibri"/>
          <w:sz w:val="28"/>
          <w:szCs w:val="28"/>
          <w:lang w:val="en-US"/>
        </w:rPr>
        <w:t> </w:t>
      </w:r>
      <w:r w:rsidRPr="005366F6">
        <w:rPr>
          <w:rFonts w:eastAsia="Calibri"/>
          <w:sz w:val="28"/>
          <w:szCs w:val="28"/>
          <w:lang w:val="uk-UA"/>
        </w:rPr>
        <w:t>млн.грн. тощо</w:t>
      </w:r>
      <w:r w:rsidR="003D4C6A">
        <w:rPr>
          <w:rFonts w:eastAsia="Calibri"/>
          <w:sz w:val="28"/>
          <w:szCs w:val="28"/>
          <w:lang w:val="uk-UA"/>
        </w:rPr>
        <w:t>)</w:t>
      </w:r>
      <w:r w:rsidR="00A52CD1">
        <w:rPr>
          <w:rFonts w:eastAsia="Calibri"/>
          <w:sz w:val="28"/>
          <w:szCs w:val="28"/>
          <w:lang w:val="uk-UA"/>
        </w:rPr>
        <w:t>;</w:t>
      </w:r>
    </w:p>
    <w:p w:rsidR="00E562CB" w:rsidRPr="0065134D" w:rsidRDefault="00E562CB" w:rsidP="00284BD1">
      <w:pPr>
        <w:pStyle w:val="ad"/>
        <w:numPr>
          <w:ilvl w:val="0"/>
          <w:numId w:val="21"/>
        </w:numPr>
        <w:tabs>
          <w:tab w:val="left" w:pos="284"/>
        </w:tabs>
        <w:spacing w:after="0" w:line="240" w:lineRule="auto"/>
        <w:ind w:left="0" w:firstLine="709"/>
        <w:jc w:val="both"/>
        <w:rPr>
          <w:rFonts w:ascii="Times New Roman" w:eastAsia="Calibri" w:hAnsi="Times New Roman" w:cs="Times New Roman"/>
          <w:sz w:val="28"/>
          <w:szCs w:val="28"/>
          <w:lang w:val="uk-UA" w:eastAsia="ru-RU"/>
        </w:rPr>
      </w:pPr>
      <w:r w:rsidRPr="0065134D">
        <w:rPr>
          <w:rFonts w:ascii="Times New Roman" w:eastAsia="Calibri" w:hAnsi="Times New Roman" w:cs="Times New Roman"/>
          <w:sz w:val="28"/>
          <w:szCs w:val="28"/>
          <w:lang w:val="uk-UA" w:eastAsia="ru-RU"/>
        </w:rPr>
        <w:t>дорожнє господарство - 36,5 млн.грн.</w:t>
      </w:r>
      <w:r w:rsidR="003D4C6A" w:rsidRPr="0065134D">
        <w:rPr>
          <w:rFonts w:ascii="Times New Roman" w:eastAsia="Calibri" w:hAnsi="Times New Roman" w:cs="Times New Roman"/>
          <w:sz w:val="28"/>
          <w:szCs w:val="28"/>
          <w:lang w:val="uk-UA" w:eastAsia="ru-RU"/>
        </w:rPr>
        <w:t xml:space="preserve"> (</w:t>
      </w:r>
      <w:r w:rsidRPr="0065134D">
        <w:rPr>
          <w:rFonts w:ascii="Times New Roman" w:eastAsia="Calibri" w:hAnsi="Times New Roman" w:cs="Times New Roman"/>
          <w:sz w:val="28"/>
          <w:szCs w:val="28"/>
          <w:lang w:val="uk-UA" w:eastAsia="ru-RU"/>
        </w:rPr>
        <w:t>утримання автомобільних доріг та мостів, проведення поточного ремонту доріг та тротуарів</w:t>
      </w:r>
      <w:r w:rsidR="003D4C6A" w:rsidRPr="0065134D">
        <w:rPr>
          <w:rFonts w:ascii="Times New Roman" w:eastAsia="Calibri" w:hAnsi="Times New Roman" w:cs="Times New Roman"/>
          <w:sz w:val="28"/>
          <w:szCs w:val="28"/>
          <w:lang w:val="uk-UA" w:eastAsia="ru-RU"/>
        </w:rPr>
        <w:t xml:space="preserve"> – 20,1</w:t>
      </w:r>
      <w:r w:rsidR="00874549">
        <w:rPr>
          <w:rFonts w:ascii="Times New Roman" w:eastAsia="Calibri" w:hAnsi="Times New Roman" w:cs="Times New Roman"/>
          <w:sz w:val="28"/>
          <w:szCs w:val="28"/>
          <w:lang w:val="uk-UA" w:eastAsia="ru-RU"/>
        </w:rPr>
        <w:t> </w:t>
      </w:r>
      <w:r w:rsidR="003D4C6A" w:rsidRPr="0065134D">
        <w:rPr>
          <w:rFonts w:ascii="Times New Roman" w:eastAsia="Calibri" w:hAnsi="Times New Roman" w:cs="Times New Roman"/>
          <w:sz w:val="28"/>
          <w:szCs w:val="28"/>
          <w:lang w:val="uk-UA" w:eastAsia="ru-RU"/>
        </w:rPr>
        <w:t>млн.грн.;</w:t>
      </w:r>
      <w:r w:rsidRPr="0065134D">
        <w:rPr>
          <w:rFonts w:ascii="Times New Roman" w:eastAsia="Calibri" w:hAnsi="Times New Roman" w:cs="Times New Roman"/>
          <w:sz w:val="28"/>
          <w:szCs w:val="28"/>
          <w:lang w:val="uk-UA" w:eastAsia="ru-RU"/>
        </w:rPr>
        <w:t xml:space="preserve"> </w:t>
      </w:r>
      <w:r w:rsidR="003D4C6A" w:rsidRPr="0065134D">
        <w:rPr>
          <w:rFonts w:ascii="Times New Roman" w:eastAsia="Calibri" w:hAnsi="Times New Roman" w:cs="Times New Roman"/>
          <w:sz w:val="28"/>
          <w:szCs w:val="28"/>
          <w:lang w:val="uk-UA" w:eastAsia="ru-RU"/>
        </w:rPr>
        <w:t>р</w:t>
      </w:r>
      <w:r w:rsidRPr="0065134D">
        <w:rPr>
          <w:rFonts w:ascii="Times New Roman" w:eastAsia="Calibri" w:hAnsi="Times New Roman" w:cs="Times New Roman"/>
          <w:sz w:val="28"/>
          <w:szCs w:val="28"/>
          <w:lang w:val="uk-UA" w:eastAsia="ru-RU"/>
        </w:rPr>
        <w:t>оботи, пов’язані із будівництвом, реконструкцією та капітальним ремонтом доріг</w:t>
      </w:r>
      <w:r w:rsidR="003D4C6A" w:rsidRPr="0065134D">
        <w:rPr>
          <w:rFonts w:ascii="Times New Roman" w:eastAsia="Calibri" w:hAnsi="Times New Roman" w:cs="Times New Roman"/>
          <w:sz w:val="28"/>
          <w:szCs w:val="28"/>
          <w:lang w:val="uk-UA" w:eastAsia="ru-RU"/>
        </w:rPr>
        <w:t xml:space="preserve"> – 16,4 млн.грн.)</w:t>
      </w:r>
      <w:r w:rsidRPr="0065134D">
        <w:rPr>
          <w:rFonts w:ascii="Times New Roman" w:eastAsia="Calibri" w:hAnsi="Times New Roman" w:cs="Times New Roman"/>
          <w:sz w:val="28"/>
          <w:szCs w:val="28"/>
          <w:lang w:val="uk-UA" w:eastAsia="ru-RU"/>
        </w:rPr>
        <w:t xml:space="preserve">. Так, профінансовано завершення робіт з реконструкції автодороги по </w:t>
      </w:r>
      <w:proofErr w:type="spellStart"/>
      <w:r w:rsidRPr="0065134D">
        <w:rPr>
          <w:rFonts w:ascii="Times New Roman" w:eastAsia="Calibri" w:hAnsi="Times New Roman" w:cs="Times New Roman"/>
          <w:sz w:val="28"/>
          <w:szCs w:val="28"/>
          <w:lang w:val="uk-UA" w:eastAsia="ru-RU"/>
        </w:rPr>
        <w:t>пр.Маяковського</w:t>
      </w:r>
      <w:proofErr w:type="spellEnd"/>
      <w:r w:rsidRPr="0065134D">
        <w:rPr>
          <w:rFonts w:ascii="Times New Roman" w:eastAsia="Calibri" w:hAnsi="Times New Roman" w:cs="Times New Roman"/>
          <w:sz w:val="28"/>
          <w:szCs w:val="28"/>
          <w:lang w:val="uk-UA" w:eastAsia="ru-RU"/>
        </w:rPr>
        <w:t xml:space="preserve"> ві</w:t>
      </w:r>
      <w:r w:rsidR="003D4C6A" w:rsidRPr="0065134D">
        <w:rPr>
          <w:rFonts w:ascii="Times New Roman" w:eastAsia="Calibri" w:hAnsi="Times New Roman" w:cs="Times New Roman"/>
          <w:sz w:val="28"/>
          <w:szCs w:val="28"/>
          <w:lang w:val="uk-UA" w:eastAsia="ru-RU"/>
        </w:rPr>
        <w:t xml:space="preserve">д </w:t>
      </w:r>
      <w:proofErr w:type="spellStart"/>
      <w:r w:rsidR="003D4C6A" w:rsidRPr="0065134D">
        <w:rPr>
          <w:rFonts w:ascii="Times New Roman" w:eastAsia="Calibri" w:hAnsi="Times New Roman" w:cs="Times New Roman"/>
          <w:sz w:val="28"/>
          <w:szCs w:val="28"/>
          <w:lang w:val="uk-UA" w:eastAsia="ru-RU"/>
        </w:rPr>
        <w:t>вул.</w:t>
      </w:r>
      <w:r w:rsidRPr="0065134D">
        <w:rPr>
          <w:rFonts w:ascii="Times New Roman" w:eastAsia="Calibri" w:hAnsi="Times New Roman" w:cs="Times New Roman"/>
          <w:sz w:val="28"/>
          <w:szCs w:val="28"/>
          <w:lang w:val="uk-UA" w:eastAsia="ru-RU"/>
        </w:rPr>
        <w:t>Патріотичної</w:t>
      </w:r>
      <w:proofErr w:type="spellEnd"/>
      <w:r w:rsidRPr="0065134D">
        <w:rPr>
          <w:rFonts w:ascii="Times New Roman" w:eastAsia="Calibri" w:hAnsi="Times New Roman" w:cs="Times New Roman"/>
          <w:sz w:val="28"/>
          <w:szCs w:val="28"/>
          <w:lang w:val="uk-UA" w:eastAsia="ru-RU"/>
        </w:rPr>
        <w:t xml:space="preserve"> до каскаду "Веселка", </w:t>
      </w:r>
      <w:r w:rsidR="003D4C6A" w:rsidRPr="0065134D">
        <w:rPr>
          <w:rFonts w:ascii="Times New Roman" w:eastAsia="Calibri" w:hAnsi="Times New Roman" w:cs="Times New Roman"/>
          <w:sz w:val="28"/>
          <w:szCs w:val="28"/>
          <w:lang w:val="uk-UA" w:eastAsia="ru-RU"/>
        </w:rPr>
        <w:t xml:space="preserve">шляхопроводу по </w:t>
      </w:r>
      <w:proofErr w:type="spellStart"/>
      <w:r w:rsidR="003D4C6A" w:rsidRPr="0065134D">
        <w:rPr>
          <w:rFonts w:ascii="Times New Roman" w:eastAsia="Calibri" w:hAnsi="Times New Roman" w:cs="Times New Roman"/>
          <w:sz w:val="28"/>
          <w:szCs w:val="28"/>
          <w:lang w:val="uk-UA" w:eastAsia="ru-RU"/>
        </w:rPr>
        <w:t>пр.</w:t>
      </w:r>
      <w:r w:rsidRPr="0065134D">
        <w:rPr>
          <w:rFonts w:ascii="Times New Roman" w:eastAsia="Calibri" w:hAnsi="Times New Roman" w:cs="Times New Roman"/>
          <w:sz w:val="28"/>
          <w:szCs w:val="28"/>
          <w:lang w:val="uk-UA" w:eastAsia="ru-RU"/>
        </w:rPr>
        <w:t>Металургів</w:t>
      </w:r>
      <w:proofErr w:type="spellEnd"/>
      <w:r w:rsidRPr="0065134D">
        <w:rPr>
          <w:rFonts w:ascii="Times New Roman" w:eastAsia="Calibri" w:hAnsi="Times New Roman" w:cs="Times New Roman"/>
          <w:sz w:val="28"/>
          <w:szCs w:val="28"/>
          <w:lang w:val="uk-UA" w:eastAsia="ru-RU"/>
        </w:rPr>
        <w:t xml:space="preserve"> та шляхопроводу №1 по </w:t>
      </w:r>
      <w:proofErr w:type="spellStart"/>
      <w:r w:rsidRPr="0065134D">
        <w:rPr>
          <w:rFonts w:ascii="Times New Roman" w:eastAsia="Calibri" w:hAnsi="Times New Roman" w:cs="Times New Roman"/>
          <w:sz w:val="28"/>
          <w:szCs w:val="28"/>
          <w:lang w:val="uk-UA" w:eastAsia="ru-RU"/>
        </w:rPr>
        <w:t>вул.Калібровій</w:t>
      </w:r>
      <w:proofErr w:type="spellEnd"/>
      <w:r w:rsidRPr="0065134D">
        <w:rPr>
          <w:rFonts w:ascii="Times New Roman" w:eastAsia="Calibri" w:hAnsi="Times New Roman" w:cs="Times New Roman"/>
          <w:sz w:val="28"/>
          <w:szCs w:val="28"/>
          <w:lang w:val="uk-UA" w:eastAsia="ru-RU"/>
        </w:rPr>
        <w:t xml:space="preserve">, капітального ремонту тротуару з благоустроєм прилеглої території по </w:t>
      </w:r>
      <w:proofErr w:type="spellStart"/>
      <w:r w:rsidRPr="0065134D">
        <w:rPr>
          <w:rFonts w:ascii="Times New Roman" w:eastAsia="Calibri" w:hAnsi="Times New Roman" w:cs="Times New Roman"/>
          <w:sz w:val="28"/>
          <w:szCs w:val="28"/>
          <w:lang w:val="uk-UA" w:eastAsia="ru-RU"/>
        </w:rPr>
        <w:t>вул.Л.Чайкіної</w:t>
      </w:r>
      <w:proofErr w:type="spellEnd"/>
      <w:r w:rsidRPr="0065134D">
        <w:rPr>
          <w:rFonts w:ascii="Times New Roman" w:eastAsia="Calibri" w:hAnsi="Times New Roman" w:cs="Times New Roman"/>
          <w:sz w:val="28"/>
          <w:szCs w:val="28"/>
          <w:lang w:val="uk-UA" w:eastAsia="ru-RU"/>
        </w:rPr>
        <w:t xml:space="preserve"> та ін.</w:t>
      </w:r>
      <w:r w:rsidR="00A52CD1" w:rsidRPr="0065134D">
        <w:rPr>
          <w:rFonts w:ascii="Times New Roman" w:eastAsia="Calibri" w:hAnsi="Times New Roman" w:cs="Times New Roman"/>
          <w:sz w:val="28"/>
          <w:szCs w:val="28"/>
          <w:lang w:val="uk-UA" w:eastAsia="ru-RU"/>
        </w:rPr>
        <w:t>;</w:t>
      </w:r>
    </w:p>
    <w:p w:rsidR="00E562CB" w:rsidRPr="0065134D" w:rsidRDefault="00E562CB" w:rsidP="00284BD1">
      <w:pPr>
        <w:pStyle w:val="ad"/>
        <w:numPr>
          <w:ilvl w:val="0"/>
          <w:numId w:val="21"/>
        </w:numPr>
        <w:tabs>
          <w:tab w:val="left" w:pos="284"/>
        </w:tabs>
        <w:spacing w:after="0" w:line="240" w:lineRule="auto"/>
        <w:ind w:left="0" w:firstLine="709"/>
        <w:jc w:val="both"/>
        <w:rPr>
          <w:rFonts w:ascii="Times New Roman" w:eastAsia="Calibri" w:hAnsi="Times New Roman" w:cs="Times New Roman"/>
          <w:sz w:val="28"/>
          <w:szCs w:val="28"/>
          <w:lang w:val="uk-UA" w:eastAsia="ru-RU"/>
        </w:rPr>
      </w:pPr>
      <w:r w:rsidRPr="0065134D">
        <w:rPr>
          <w:rFonts w:ascii="Times New Roman" w:eastAsia="Calibri" w:hAnsi="Times New Roman" w:cs="Times New Roman"/>
          <w:sz w:val="28"/>
          <w:szCs w:val="28"/>
          <w:lang w:val="uk-UA" w:eastAsia="ru-RU"/>
        </w:rPr>
        <w:t xml:space="preserve">будівництво об’єктів комунальної інфраструктури </w:t>
      </w:r>
      <w:r w:rsidR="00A52CD1" w:rsidRPr="0065134D">
        <w:rPr>
          <w:rFonts w:ascii="Times New Roman" w:eastAsia="Calibri" w:hAnsi="Times New Roman" w:cs="Times New Roman"/>
          <w:sz w:val="28"/>
          <w:szCs w:val="28"/>
          <w:lang w:val="uk-UA" w:eastAsia="ru-RU"/>
        </w:rPr>
        <w:t>-</w:t>
      </w:r>
      <w:r w:rsidRPr="0065134D">
        <w:rPr>
          <w:rFonts w:ascii="Times New Roman" w:eastAsia="Calibri" w:hAnsi="Times New Roman" w:cs="Times New Roman"/>
          <w:sz w:val="28"/>
          <w:szCs w:val="28"/>
          <w:lang w:val="uk-UA" w:eastAsia="ru-RU"/>
        </w:rPr>
        <w:t xml:space="preserve"> 40,0 млн.грн. Продовжено роботи з реконстру</w:t>
      </w:r>
      <w:r w:rsidR="00A52CD1" w:rsidRPr="0065134D">
        <w:rPr>
          <w:rFonts w:ascii="Times New Roman" w:eastAsia="Calibri" w:hAnsi="Times New Roman" w:cs="Times New Roman"/>
          <w:sz w:val="28"/>
          <w:szCs w:val="28"/>
          <w:lang w:val="uk-UA" w:eastAsia="ru-RU"/>
        </w:rPr>
        <w:t xml:space="preserve">кції зони відпочинку по </w:t>
      </w:r>
      <w:proofErr w:type="spellStart"/>
      <w:r w:rsidR="00A52CD1" w:rsidRPr="0065134D">
        <w:rPr>
          <w:rFonts w:ascii="Times New Roman" w:eastAsia="Calibri" w:hAnsi="Times New Roman" w:cs="Times New Roman"/>
          <w:sz w:val="28"/>
          <w:szCs w:val="28"/>
          <w:lang w:val="uk-UA" w:eastAsia="ru-RU"/>
        </w:rPr>
        <w:t>вул.Л.</w:t>
      </w:r>
      <w:r w:rsidRPr="0065134D">
        <w:rPr>
          <w:rFonts w:ascii="Times New Roman" w:eastAsia="Calibri" w:hAnsi="Times New Roman" w:cs="Times New Roman"/>
          <w:sz w:val="28"/>
          <w:szCs w:val="28"/>
          <w:lang w:val="uk-UA" w:eastAsia="ru-RU"/>
        </w:rPr>
        <w:t>Шмідта</w:t>
      </w:r>
      <w:proofErr w:type="spellEnd"/>
      <w:r w:rsidRPr="0065134D">
        <w:rPr>
          <w:rFonts w:ascii="Times New Roman" w:eastAsia="Calibri" w:hAnsi="Times New Roman" w:cs="Times New Roman"/>
          <w:sz w:val="28"/>
          <w:szCs w:val="28"/>
          <w:lang w:val="uk-UA" w:eastAsia="ru-RU"/>
        </w:rPr>
        <w:t xml:space="preserve">, скверу ім.30-річчя визволення України від </w:t>
      </w:r>
      <w:r w:rsidR="00A52CD1" w:rsidRPr="0065134D">
        <w:rPr>
          <w:rFonts w:ascii="Times New Roman" w:eastAsia="Calibri" w:hAnsi="Times New Roman" w:cs="Times New Roman"/>
          <w:sz w:val="28"/>
          <w:szCs w:val="28"/>
          <w:lang w:val="uk-UA" w:eastAsia="ru-RU"/>
        </w:rPr>
        <w:t xml:space="preserve">фашистських загарбників по </w:t>
      </w:r>
      <w:proofErr w:type="spellStart"/>
      <w:r w:rsidR="00A52CD1" w:rsidRPr="0065134D">
        <w:rPr>
          <w:rFonts w:ascii="Times New Roman" w:eastAsia="Calibri" w:hAnsi="Times New Roman" w:cs="Times New Roman"/>
          <w:sz w:val="28"/>
          <w:szCs w:val="28"/>
          <w:lang w:val="uk-UA" w:eastAsia="ru-RU"/>
        </w:rPr>
        <w:t>вул.</w:t>
      </w:r>
      <w:r w:rsidRPr="0065134D">
        <w:rPr>
          <w:rFonts w:ascii="Times New Roman" w:eastAsia="Calibri" w:hAnsi="Times New Roman" w:cs="Times New Roman"/>
          <w:sz w:val="28"/>
          <w:szCs w:val="28"/>
          <w:lang w:val="uk-UA" w:eastAsia="ru-RU"/>
        </w:rPr>
        <w:t>Л.Чайкіної</w:t>
      </w:r>
      <w:proofErr w:type="spellEnd"/>
      <w:r w:rsidRPr="0065134D">
        <w:rPr>
          <w:rFonts w:ascii="Times New Roman" w:eastAsia="Calibri" w:hAnsi="Times New Roman" w:cs="Times New Roman"/>
          <w:sz w:val="28"/>
          <w:szCs w:val="28"/>
          <w:lang w:val="uk-UA" w:eastAsia="ru-RU"/>
        </w:rPr>
        <w:t>, ІІ черги будівельно-монтажних робіт на Правобережному міському пляжі, розпочато роботи з реконструкції площі Запорізької та скверу Піонерів у</w:t>
      </w:r>
      <w:r w:rsidR="00A52CD1" w:rsidRPr="0065134D">
        <w:rPr>
          <w:rFonts w:ascii="Times New Roman" w:eastAsia="Calibri" w:hAnsi="Times New Roman" w:cs="Times New Roman"/>
          <w:sz w:val="28"/>
          <w:szCs w:val="28"/>
          <w:lang w:val="uk-UA" w:eastAsia="ru-RU"/>
        </w:rPr>
        <w:t xml:space="preserve"> </w:t>
      </w:r>
      <w:proofErr w:type="spellStart"/>
      <w:r w:rsidR="00A52CD1" w:rsidRPr="0065134D">
        <w:rPr>
          <w:rFonts w:ascii="Times New Roman" w:eastAsia="Calibri" w:hAnsi="Times New Roman" w:cs="Times New Roman"/>
          <w:sz w:val="28"/>
          <w:szCs w:val="28"/>
          <w:lang w:val="uk-UA" w:eastAsia="ru-RU"/>
        </w:rPr>
        <w:t>Олександрівському</w:t>
      </w:r>
      <w:proofErr w:type="spellEnd"/>
      <w:r w:rsidR="00A52CD1" w:rsidRPr="0065134D">
        <w:rPr>
          <w:rFonts w:ascii="Times New Roman" w:eastAsia="Calibri" w:hAnsi="Times New Roman" w:cs="Times New Roman"/>
          <w:sz w:val="28"/>
          <w:szCs w:val="28"/>
          <w:lang w:val="uk-UA" w:eastAsia="ru-RU"/>
        </w:rPr>
        <w:t xml:space="preserve"> районі міста;</w:t>
      </w:r>
    </w:p>
    <w:p w:rsidR="00E562CB" w:rsidRPr="0065134D" w:rsidRDefault="00A52CD1" w:rsidP="00284BD1">
      <w:pPr>
        <w:pStyle w:val="ad"/>
        <w:numPr>
          <w:ilvl w:val="0"/>
          <w:numId w:val="21"/>
        </w:numPr>
        <w:suppressAutoHyphens/>
        <w:spacing w:after="0" w:line="240" w:lineRule="auto"/>
        <w:ind w:left="0" w:firstLine="709"/>
        <w:jc w:val="both"/>
        <w:rPr>
          <w:rFonts w:ascii="Times New Roman" w:eastAsia="Calibri" w:hAnsi="Times New Roman" w:cs="Times New Roman"/>
          <w:sz w:val="28"/>
          <w:szCs w:val="28"/>
          <w:lang w:val="uk-UA" w:eastAsia="ru-RU"/>
        </w:rPr>
      </w:pPr>
      <w:r w:rsidRPr="0065134D">
        <w:rPr>
          <w:rFonts w:ascii="Times New Roman" w:eastAsia="Calibri" w:hAnsi="Times New Roman" w:cs="Times New Roman"/>
          <w:sz w:val="28"/>
          <w:szCs w:val="28"/>
          <w:lang w:val="uk-UA" w:eastAsia="ru-RU"/>
        </w:rPr>
        <w:t>п</w:t>
      </w:r>
      <w:r w:rsidR="00E562CB" w:rsidRPr="0065134D">
        <w:rPr>
          <w:rFonts w:ascii="Times New Roman" w:eastAsia="Calibri" w:hAnsi="Times New Roman" w:cs="Times New Roman"/>
          <w:sz w:val="28"/>
          <w:szCs w:val="28"/>
          <w:lang w:val="uk-UA" w:eastAsia="ru-RU"/>
        </w:rPr>
        <w:t>роведення заходів зі святкування Новорічних та Різдвяних свят, охорони об’єктів благоустрою, отримання сертифікатів про готовність об’єктів до вводу в експлуатацію</w:t>
      </w:r>
      <w:r w:rsidR="00874549">
        <w:rPr>
          <w:rFonts w:ascii="Times New Roman" w:eastAsia="Calibri" w:hAnsi="Times New Roman" w:cs="Times New Roman"/>
          <w:sz w:val="28"/>
          <w:szCs w:val="28"/>
          <w:lang w:val="uk-UA" w:eastAsia="ru-RU"/>
        </w:rPr>
        <w:t>, тощо – 1,2</w:t>
      </w:r>
      <w:r w:rsidR="00E562CB" w:rsidRPr="0065134D">
        <w:rPr>
          <w:rFonts w:ascii="Times New Roman" w:eastAsia="Calibri" w:hAnsi="Times New Roman" w:cs="Times New Roman"/>
          <w:sz w:val="28"/>
          <w:szCs w:val="28"/>
          <w:lang w:val="uk-UA" w:eastAsia="ru-RU"/>
        </w:rPr>
        <w:t xml:space="preserve"> млн.грн. </w:t>
      </w:r>
    </w:p>
    <w:p w:rsidR="00E562CB" w:rsidRPr="005366F6" w:rsidRDefault="00E562CB" w:rsidP="00E562CB">
      <w:pPr>
        <w:pStyle w:val="ad"/>
        <w:spacing w:after="0" w:line="240" w:lineRule="auto"/>
        <w:ind w:left="0" w:firstLine="709"/>
        <w:jc w:val="both"/>
        <w:rPr>
          <w:rFonts w:ascii="Times New Roman" w:eastAsia="Calibri" w:hAnsi="Times New Roman" w:cs="Times New Roman"/>
          <w:sz w:val="28"/>
          <w:szCs w:val="28"/>
          <w:lang w:val="uk-UA" w:eastAsia="ru-RU"/>
        </w:rPr>
      </w:pPr>
      <w:r w:rsidRPr="005366F6">
        <w:rPr>
          <w:rFonts w:ascii="Times New Roman" w:eastAsia="Calibri" w:hAnsi="Times New Roman" w:cs="Times New Roman"/>
          <w:sz w:val="28"/>
          <w:szCs w:val="28"/>
          <w:lang w:val="uk-UA" w:eastAsia="ru-RU"/>
        </w:rPr>
        <w:t xml:space="preserve">- </w:t>
      </w:r>
      <w:r>
        <w:rPr>
          <w:rFonts w:ascii="Times New Roman" w:eastAsia="Calibri" w:hAnsi="Times New Roman" w:cs="Times New Roman"/>
          <w:i/>
          <w:sz w:val="28"/>
          <w:szCs w:val="28"/>
          <w:lang w:val="uk-UA" w:eastAsia="ru-RU"/>
        </w:rPr>
        <w:t xml:space="preserve">Програма </w:t>
      </w:r>
      <w:r w:rsidRPr="005366F6">
        <w:rPr>
          <w:rFonts w:ascii="Times New Roman" w:eastAsia="Calibri" w:hAnsi="Times New Roman" w:cs="Times New Roman"/>
          <w:i/>
          <w:sz w:val="28"/>
          <w:szCs w:val="28"/>
          <w:lang w:val="uk-UA" w:eastAsia="ru-RU"/>
        </w:rPr>
        <w:t xml:space="preserve">поводження з тваринами м. Запоріжжя </w:t>
      </w:r>
      <w:r>
        <w:rPr>
          <w:rFonts w:ascii="Times New Roman" w:eastAsia="Calibri" w:hAnsi="Times New Roman" w:cs="Times New Roman"/>
          <w:sz w:val="28"/>
          <w:szCs w:val="28"/>
          <w:lang w:val="uk-UA" w:eastAsia="ru-RU"/>
        </w:rPr>
        <w:t>– 0,2</w:t>
      </w:r>
      <w:r>
        <w:rPr>
          <w:rFonts w:ascii="Times New Roman" w:eastAsia="Calibri" w:hAnsi="Times New Roman" w:cs="Times New Roman"/>
          <w:sz w:val="28"/>
          <w:szCs w:val="28"/>
          <w:lang w:val="en-US" w:eastAsia="ru-RU"/>
        </w:rPr>
        <w:t> </w:t>
      </w:r>
      <w:r w:rsidRPr="005366F6">
        <w:rPr>
          <w:rFonts w:ascii="Times New Roman" w:eastAsia="Calibri" w:hAnsi="Times New Roman" w:cs="Times New Roman"/>
          <w:sz w:val="28"/>
          <w:szCs w:val="28"/>
          <w:lang w:val="uk-UA" w:eastAsia="ru-RU"/>
        </w:rPr>
        <w:t>млн.грн., що складає 62,5% планових показників на відповідний період.</w:t>
      </w:r>
    </w:p>
    <w:p w:rsidR="00E562CB" w:rsidRPr="005366F6" w:rsidRDefault="00E562CB" w:rsidP="00E562CB">
      <w:pPr>
        <w:pStyle w:val="ad"/>
        <w:spacing w:after="0" w:line="240" w:lineRule="auto"/>
        <w:ind w:left="0" w:firstLine="709"/>
        <w:jc w:val="both"/>
        <w:rPr>
          <w:rFonts w:ascii="Times New Roman" w:eastAsia="Times New Roman" w:hAnsi="Times New Roman" w:cs="Times New Roman"/>
          <w:sz w:val="28"/>
          <w:szCs w:val="28"/>
          <w:lang w:val="uk-UA" w:eastAsia="ru-RU"/>
        </w:rPr>
      </w:pPr>
      <w:r w:rsidRPr="005366F6">
        <w:rPr>
          <w:rFonts w:ascii="Times New Roman" w:eastAsia="Calibri" w:hAnsi="Times New Roman" w:cs="Times New Roman"/>
          <w:i/>
          <w:sz w:val="28"/>
          <w:szCs w:val="28"/>
          <w:lang w:val="uk-UA" w:eastAsia="ru-RU"/>
        </w:rPr>
        <w:t xml:space="preserve">- Програма відшкодування відсоткових ставок за залученими в кредитно-фінансових установах короткостроковими кредитами, що надаються об"єднанням співвласників багатоквартирних будинків та житлово-будівельним кооперативам на реалізацію енергозберігаючих та </w:t>
      </w:r>
      <w:proofErr w:type="spellStart"/>
      <w:r w:rsidRPr="005366F6">
        <w:rPr>
          <w:rFonts w:ascii="Times New Roman" w:eastAsia="Calibri" w:hAnsi="Times New Roman" w:cs="Times New Roman"/>
          <w:i/>
          <w:sz w:val="28"/>
          <w:szCs w:val="28"/>
          <w:lang w:val="uk-UA" w:eastAsia="ru-RU"/>
        </w:rPr>
        <w:t>енергоефективних</w:t>
      </w:r>
      <w:proofErr w:type="spellEnd"/>
      <w:r w:rsidRPr="005366F6">
        <w:rPr>
          <w:rFonts w:ascii="Times New Roman" w:eastAsia="Calibri" w:hAnsi="Times New Roman" w:cs="Times New Roman"/>
          <w:i/>
          <w:sz w:val="28"/>
          <w:szCs w:val="28"/>
          <w:lang w:val="uk-UA" w:eastAsia="ru-RU"/>
        </w:rPr>
        <w:t xml:space="preserve"> проектів в житлово-комунальному господарстві</w:t>
      </w:r>
      <w:r w:rsidRPr="005366F6">
        <w:rPr>
          <w:rFonts w:ascii="Times New Roman" w:hAnsi="Times New Roman" w:cs="Times New Roman"/>
          <w:i/>
          <w:sz w:val="28"/>
          <w:szCs w:val="28"/>
          <w:lang w:val="uk-UA"/>
        </w:rPr>
        <w:t xml:space="preserve"> – </w:t>
      </w:r>
      <w:r w:rsidRPr="005366F6">
        <w:rPr>
          <w:rFonts w:ascii="Times New Roman" w:eastAsia="Times New Roman" w:hAnsi="Times New Roman" w:cs="Times New Roman"/>
          <w:sz w:val="28"/>
          <w:szCs w:val="28"/>
          <w:lang w:val="uk-UA" w:eastAsia="ru-RU"/>
        </w:rPr>
        <w:t xml:space="preserve">3,0 млн.грн. або </w:t>
      </w:r>
      <w:r w:rsidRPr="00E562CB">
        <w:rPr>
          <w:rFonts w:ascii="Times New Roman" w:eastAsia="Times New Roman" w:hAnsi="Times New Roman" w:cs="Times New Roman"/>
          <w:sz w:val="28"/>
          <w:szCs w:val="28"/>
          <w:lang w:val="uk-UA" w:eastAsia="ru-RU"/>
        </w:rPr>
        <w:t>99,9%</w:t>
      </w:r>
      <w:r w:rsidRPr="005366F6">
        <w:rPr>
          <w:rFonts w:ascii="Times New Roman" w:eastAsia="Times New Roman" w:hAnsi="Times New Roman" w:cs="Times New Roman"/>
          <w:sz w:val="28"/>
          <w:szCs w:val="28"/>
          <w:lang w:val="uk-UA" w:eastAsia="ru-RU"/>
        </w:rPr>
        <w:t xml:space="preserve"> планових показників на відповідний період.</w:t>
      </w:r>
    </w:p>
    <w:p w:rsidR="00E562CB" w:rsidRPr="005366F6" w:rsidRDefault="00E562CB" w:rsidP="00E562CB">
      <w:pPr>
        <w:pStyle w:val="213"/>
        <w:numPr>
          <w:ilvl w:val="0"/>
          <w:numId w:val="15"/>
        </w:numPr>
        <w:spacing w:after="0" w:line="240" w:lineRule="auto"/>
        <w:ind w:left="0" w:firstLine="709"/>
        <w:jc w:val="both"/>
        <w:rPr>
          <w:rFonts w:eastAsia="Calibri"/>
          <w:sz w:val="28"/>
          <w:szCs w:val="28"/>
        </w:rPr>
      </w:pPr>
      <w:r w:rsidRPr="005366F6">
        <w:rPr>
          <w:sz w:val="28"/>
          <w:szCs w:val="28"/>
        </w:rPr>
        <w:t>На розвиток транспортної галузі спрямовано 182,7 млн.грн. (95,3% планових призначень), з яких:</w:t>
      </w:r>
    </w:p>
    <w:p w:rsidR="00E562CB" w:rsidRPr="005366F6" w:rsidRDefault="00E562CB" w:rsidP="00E562CB">
      <w:pPr>
        <w:pStyle w:val="27"/>
        <w:numPr>
          <w:ilvl w:val="0"/>
          <w:numId w:val="20"/>
        </w:numPr>
        <w:spacing w:after="0" w:line="240" w:lineRule="auto"/>
        <w:ind w:left="0" w:firstLine="709"/>
        <w:jc w:val="both"/>
        <w:outlineLvl w:val="0"/>
        <w:rPr>
          <w:bCs/>
          <w:sz w:val="28"/>
          <w:szCs w:val="28"/>
        </w:rPr>
      </w:pPr>
      <w:r w:rsidRPr="005366F6">
        <w:rPr>
          <w:bCs/>
          <w:sz w:val="28"/>
          <w:szCs w:val="28"/>
        </w:rPr>
        <w:t>на забезпечення стабільного функціонування та розвиток ЗКПМЕ «</w:t>
      </w:r>
      <w:proofErr w:type="spellStart"/>
      <w:r w:rsidRPr="005366F6">
        <w:rPr>
          <w:bCs/>
          <w:sz w:val="28"/>
          <w:szCs w:val="28"/>
        </w:rPr>
        <w:t>Запоріжелектротранс</w:t>
      </w:r>
      <w:proofErr w:type="spellEnd"/>
      <w:r w:rsidRPr="005366F6">
        <w:rPr>
          <w:bCs/>
          <w:sz w:val="28"/>
          <w:szCs w:val="28"/>
        </w:rPr>
        <w:t>» - 128,7</w:t>
      </w:r>
      <w:r>
        <w:rPr>
          <w:bCs/>
          <w:sz w:val="28"/>
          <w:szCs w:val="28"/>
          <w:lang w:val="en-US"/>
        </w:rPr>
        <w:t> </w:t>
      </w:r>
      <w:r w:rsidRPr="005366F6">
        <w:rPr>
          <w:bCs/>
          <w:sz w:val="28"/>
          <w:szCs w:val="28"/>
        </w:rPr>
        <w:t>млн.грн. (надано фінансову підтримку підприємству – 91,1</w:t>
      </w:r>
      <w:r>
        <w:rPr>
          <w:bCs/>
          <w:sz w:val="28"/>
          <w:szCs w:val="28"/>
        </w:rPr>
        <w:t xml:space="preserve"> млн.грн.; </w:t>
      </w:r>
      <w:r w:rsidRPr="005366F6">
        <w:rPr>
          <w:sz w:val="28"/>
          <w:szCs w:val="28"/>
        </w:rPr>
        <w:t>здійснено видатки на забезпечення виконання умов договорів фінансового лізингу на придбання автобусів великої місткості – 37,6 млн.грн.</w:t>
      </w:r>
      <w:r w:rsidRPr="005366F6">
        <w:rPr>
          <w:bCs/>
          <w:sz w:val="28"/>
          <w:szCs w:val="28"/>
        </w:rPr>
        <w:t>);</w:t>
      </w:r>
    </w:p>
    <w:p w:rsidR="00E562CB" w:rsidRPr="005366F6" w:rsidRDefault="00E562CB" w:rsidP="00E562CB">
      <w:pPr>
        <w:pStyle w:val="25"/>
        <w:numPr>
          <w:ilvl w:val="0"/>
          <w:numId w:val="20"/>
        </w:numPr>
        <w:spacing w:after="0" w:line="240" w:lineRule="auto"/>
        <w:ind w:left="0" w:firstLine="709"/>
        <w:jc w:val="both"/>
        <w:rPr>
          <w:color w:val="FF0000"/>
          <w:sz w:val="28"/>
          <w:szCs w:val="28"/>
        </w:rPr>
      </w:pPr>
      <w:r w:rsidRPr="005366F6">
        <w:rPr>
          <w:sz w:val="28"/>
          <w:szCs w:val="28"/>
        </w:rPr>
        <w:t xml:space="preserve">на </w:t>
      </w:r>
      <w:r w:rsidRPr="00C22365">
        <w:rPr>
          <w:sz w:val="28"/>
          <w:szCs w:val="28"/>
        </w:rPr>
        <w:t>розвиток</w:t>
      </w:r>
      <w:r w:rsidRPr="00C22365">
        <w:rPr>
          <w:i/>
          <w:sz w:val="28"/>
          <w:szCs w:val="28"/>
        </w:rPr>
        <w:t xml:space="preserve"> </w:t>
      </w:r>
      <w:proofErr w:type="spellStart"/>
      <w:r w:rsidRPr="00C22365">
        <w:rPr>
          <w:sz w:val="28"/>
          <w:szCs w:val="28"/>
        </w:rPr>
        <w:t>КП</w:t>
      </w:r>
      <w:proofErr w:type="spellEnd"/>
      <w:r w:rsidRPr="005366F6">
        <w:rPr>
          <w:sz w:val="28"/>
          <w:szCs w:val="28"/>
        </w:rPr>
        <w:t xml:space="preserve"> «Міжнародний аеропорт Запоріжжя</w:t>
      </w:r>
      <w:r w:rsidRPr="00BC3D23">
        <w:rPr>
          <w:sz w:val="28"/>
          <w:szCs w:val="28"/>
        </w:rPr>
        <w:t>» - 54,0</w:t>
      </w:r>
      <w:r w:rsidR="009B7797">
        <w:rPr>
          <w:sz w:val="28"/>
          <w:szCs w:val="28"/>
        </w:rPr>
        <w:t> </w:t>
      </w:r>
      <w:r w:rsidRPr="005366F6">
        <w:rPr>
          <w:sz w:val="28"/>
          <w:szCs w:val="28"/>
        </w:rPr>
        <w:t>млн.грн.</w:t>
      </w:r>
      <w:r w:rsidR="009B7797">
        <w:rPr>
          <w:sz w:val="28"/>
          <w:szCs w:val="28"/>
        </w:rPr>
        <w:t xml:space="preserve"> (</w:t>
      </w:r>
      <w:r w:rsidRPr="005366F6">
        <w:rPr>
          <w:sz w:val="28"/>
          <w:szCs w:val="28"/>
        </w:rPr>
        <w:t>оплат</w:t>
      </w:r>
      <w:r w:rsidR="009B7797">
        <w:rPr>
          <w:sz w:val="28"/>
          <w:szCs w:val="28"/>
        </w:rPr>
        <w:t>а</w:t>
      </w:r>
      <w:r w:rsidRPr="005366F6">
        <w:rPr>
          <w:sz w:val="28"/>
          <w:szCs w:val="28"/>
        </w:rPr>
        <w:t xml:space="preserve"> </w:t>
      </w:r>
      <w:r w:rsidR="00874549">
        <w:rPr>
          <w:sz w:val="28"/>
          <w:szCs w:val="28"/>
        </w:rPr>
        <w:t xml:space="preserve">проведених в минулому році </w:t>
      </w:r>
      <w:r w:rsidRPr="005366F6">
        <w:rPr>
          <w:sz w:val="28"/>
          <w:szCs w:val="28"/>
        </w:rPr>
        <w:t>робіт з капітального ремонту аеродромних покриттів, будівництво зовнішніх мереж водопостачання та каналізації, реконструкцію системи світлосигнального обладнання аеродрому</w:t>
      </w:r>
      <w:r w:rsidR="009B7797">
        <w:rPr>
          <w:sz w:val="28"/>
          <w:szCs w:val="28"/>
        </w:rPr>
        <w:t>)</w:t>
      </w:r>
      <w:r w:rsidRPr="005366F6">
        <w:rPr>
          <w:sz w:val="28"/>
          <w:szCs w:val="28"/>
        </w:rPr>
        <w:t>.</w:t>
      </w:r>
    </w:p>
    <w:p w:rsidR="00E562CB" w:rsidRPr="005366F6" w:rsidRDefault="00E562CB" w:rsidP="00E562CB">
      <w:pPr>
        <w:pStyle w:val="213"/>
        <w:numPr>
          <w:ilvl w:val="0"/>
          <w:numId w:val="15"/>
        </w:numPr>
        <w:spacing w:after="0" w:line="240" w:lineRule="auto"/>
        <w:ind w:left="0" w:firstLine="709"/>
        <w:jc w:val="both"/>
        <w:rPr>
          <w:sz w:val="28"/>
          <w:szCs w:val="28"/>
        </w:rPr>
      </w:pPr>
      <w:r w:rsidRPr="005366F6">
        <w:rPr>
          <w:sz w:val="28"/>
          <w:szCs w:val="28"/>
        </w:rPr>
        <w:t xml:space="preserve">Видатки бюджету міста на запобігання та ліквідацію наслідків надзвичайних ситуацій техногенного і природного характеру та організацію рятування на водних об’єктах склали 4,8 млн.грн., або 96,9% до планових показників на відповідний період. </w:t>
      </w:r>
    </w:p>
    <w:p w:rsidR="00E562CB" w:rsidRPr="005366F6" w:rsidRDefault="00E562CB" w:rsidP="00E562CB">
      <w:pPr>
        <w:pStyle w:val="213"/>
        <w:numPr>
          <w:ilvl w:val="0"/>
          <w:numId w:val="15"/>
        </w:numPr>
        <w:spacing w:after="0" w:line="240" w:lineRule="auto"/>
        <w:ind w:left="0" w:firstLine="709"/>
        <w:jc w:val="both"/>
        <w:rPr>
          <w:sz w:val="28"/>
          <w:szCs w:val="28"/>
        </w:rPr>
      </w:pPr>
      <w:r w:rsidRPr="005366F6">
        <w:rPr>
          <w:sz w:val="28"/>
          <w:szCs w:val="28"/>
        </w:rPr>
        <w:lastRenderedPageBreak/>
        <w:t xml:space="preserve">В рамках міської цільової програми забезпечення молоді житлом надано кредит на придбання житла площею 66,7 </w:t>
      </w:r>
      <w:proofErr w:type="spellStart"/>
      <w:r w:rsidRPr="005366F6">
        <w:rPr>
          <w:sz w:val="28"/>
          <w:szCs w:val="28"/>
        </w:rPr>
        <w:t>кв.м</w:t>
      </w:r>
      <w:proofErr w:type="spellEnd"/>
      <w:r w:rsidRPr="005366F6">
        <w:rPr>
          <w:sz w:val="28"/>
          <w:szCs w:val="28"/>
        </w:rPr>
        <w:t>. на загальну суму 0,8</w:t>
      </w:r>
      <w:r w:rsidR="00C22365">
        <w:rPr>
          <w:sz w:val="28"/>
          <w:szCs w:val="28"/>
        </w:rPr>
        <w:t> </w:t>
      </w:r>
      <w:r w:rsidRPr="005366F6">
        <w:rPr>
          <w:sz w:val="28"/>
          <w:szCs w:val="28"/>
        </w:rPr>
        <w:t>млн.грн..</w:t>
      </w:r>
    </w:p>
    <w:p w:rsidR="00E562CB" w:rsidRDefault="00E562CB" w:rsidP="00E562CB">
      <w:pPr>
        <w:pStyle w:val="213"/>
        <w:numPr>
          <w:ilvl w:val="0"/>
          <w:numId w:val="15"/>
        </w:numPr>
        <w:spacing w:after="0" w:line="240" w:lineRule="auto"/>
        <w:ind w:left="0" w:firstLine="709"/>
        <w:jc w:val="both"/>
        <w:rPr>
          <w:sz w:val="28"/>
          <w:szCs w:val="28"/>
        </w:rPr>
      </w:pPr>
      <w:r w:rsidRPr="005366F6">
        <w:rPr>
          <w:sz w:val="28"/>
          <w:szCs w:val="28"/>
        </w:rPr>
        <w:t>Видатки на виконання заходів з охорони навколишнього природного середовища за рахунок місцевого фонду охорони навколишнього природ</w:t>
      </w:r>
      <w:r>
        <w:rPr>
          <w:sz w:val="28"/>
          <w:szCs w:val="28"/>
        </w:rPr>
        <w:t>ного середовища склали 5,2 млн.</w:t>
      </w:r>
      <w:r w:rsidRPr="005366F6">
        <w:rPr>
          <w:sz w:val="28"/>
          <w:szCs w:val="28"/>
        </w:rPr>
        <w:t>грн., або 53,1% планових призначень, за ра</w:t>
      </w:r>
      <w:r>
        <w:rPr>
          <w:sz w:val="28"/>
          <w:szCs w:val="28"/>
        </w:rPr>
        <w:t xml:space="preserve">хунок яких продовжено роботи з </w:t>
      </w:r>
      <w:r w:rsidRPr="005366F6">
        <w:rPr>
          <w:sz w:val="28"/>
          <w:szCs w:val="28"/>
        </w:rPr>
        <w:t>реконструкції теплиць Запорізького міського ботанічного саду, виконано роботи з озеленення міста тощо.</w:t>
      </w:r>
    </w:p>
    <w:p w:rsidR="00D6537E" w:rsidRPr="00E562CB" w:rsidRDefault="00D6537E" w:rsidP="00E562CB">
      <w:pPr>
        <w:pStyle w:val="213"/>
        <w:spacing w:after="0" w:line="240" w:lineRule="auto"/>
        <w:ind w:firstLine="709"/>
        <w:jc w:val="both"/>
        <w:rPr>
          <w:sz w:val="28"/>
          <w:szCs w:val="28"/>
        </w:rPr>
      </w:pPr>
      <w:r w:rsidRPr="00E562CB">
        <w:rPr>
          <w:sz w:val="28"/>
          <w:szCs w:val="28"/>
        </w:rPr>
        <w:t xml:space="preserve">За даними звітності про виконання бюджету міста </w:t>
      </w:r>
      <w:r w:rsidR="00AB4CDC" w:rsidRPr="00E562CB">
        <w:rPr>
          <w:sz w:val="28"/>
          <w:szCs w:val="28"/>
        </w:rPr>
        <w:t>н</w:t>
      </w:r>
      <w:r w:rsidRPr="00E562CB">
        <w:rPr>
          <w:sz w:val="28"/>
          <w:szCs w:val="28"/>
        </w:rPr>
        <w:t xml:space="preserve">а </w:t>
      </w:r>
      <w:r w:rsidR="00AB4CDC" w:rsidRPr="00E562CB">
        <w:rPr>
          <w:sz w:val="28"/>
          <w:szCs w:val="28"/>
        </w:rPr>
        <w:t>звітну дату</w:t>
      </w:r>
      <w:r w:rsidRPr="00E562CB">
        <w:rPr>
          <w:sz w:val="28"/>
          <w:szCs w:val="28"/>
        </w:rPr>
        <w:t xml:space="preserve"> кредиторська заборгованість склала </w:t>
      </w:r>
      <w:r w:rsidR="00F64A28" w:rsidRPr="00E562CB">
        <w:rPr>
          <w:sz w:val="28"/>
          <w:szCs w:val="28"/>
        </w:rPr>
        <w:t>94</w:t>
      </w:r>
      <w:r w:rsidR="00150E9B" w:rsidRPr="00E562CB">
        <w:rPr>
          <w:sz w:val="28"/>
          <w:szCs w:val="28"/>
        </w:rPr>
        <w:t>,</w:t>
      </w:r>
      <w:r w:rsidR="00F64A28" w:rsidRPr="00E562CB">
        <w:rPr>
          <w:sz w:val="28"/>
          <w:szCs w:val="28"/>
        </w:rPr>
        <w:t>1</w:t>
      </w:r>
      <w:r w:rsidRPr="00E562CB">
        <w:rPr>
          <w:sz w:val="28"/>
          <w:szCs w:val="28"/>
        </w:rPr>
        <w:t> млн.грн., в тому чи</w:t>
      </w:r>
      <w:r w:rsidR="00F64A28" w:rsidRPr="00E562CB">
        <w:rPr>
          <w:sz w:val="28"/>
          <w:szCs w:val="28"/>
        </w:rPr>
        <w:t xml:space="preserve">слі по загальному фонду бюджету (у зв’язку зі зменшенням обсягів фактичних надходжень до бюджету міста через введення </w:t>
      </w:r>
      <w:r w:rsidR="008C4787" w:rsidRPr="00E562CB">
        <w:rPr>
          <w:sz w:val="28"/>
          <w:szCs w:val="28"/>
          <w:lang w:val="ru-RU"/>
        </w:rPr>
        <w:t xml:space="preserve">урядом </w:t>
      </w:r>
      <w:r w:rsidR="00F64A28" w:rsidRPr="00E562CB">
        <w:rPr>
          <w:sz w:val="28"/>
          <w:szCs w:val="28"/>
        </w:rPr>
        <w:t xml:space="preserve">карантинних заходів щодо протидії поширенню </w:t>
      </w:r>
      <w:r w:rsidR="008C4787" w:rsidRPr="00E562CB">
        <w:rPr>
          <w:sz w:val="28"/>
          <w:szCs w:val="28"/>
          <w:lang w:val="en-US"/>
        </w:rPr>
        <w:t>COVID</w:t>
      </w:r>
      <w:r w:rsidR="008C4787" w:rsidRPr="00E562CB">
        <w:rPr>
          <w:sz w:val="28"/>
          <w:szCs w:val="28"/>
        </w:rPr>
        <w:t xml:space="preserve"> 2019</w:t>
      </w:r>
      <w:r w:rsidR="00F64A28" w:rsidRPr="00E562CB">
        <w:rPr>
          <w:sz w:val="28"/>
          <w:szCs w:val="28"/>
        </w:rPr>
        <w:t xml:space="preserve">) </w:t>
      </w:r>
      <w:r w:rsidRPr="00E562CB">
        <w:rPr>
          <w:sz w:val="28"/>
          <w:szCs w:val="28"/>
        </w:rPr>
        <w:t xml:space="preserve">– </w:t>
      </w:r>
      <w:r w:rsidR="00F64A28" w:rsidRPr="00E562CB">
        <w:rPr>
          <w:sz w:val="28"/>
          <w:szCs w:val="28"/>
        </w:rPr>
        <w:t>92</w:t>
      </w:r>
      <w:r w:rsidR="00821C5F" w:rsidRPr="00E562CB">
        <w:rPr>
          <w:sz w:val="28"/>
          <w:szCs w:val="28"/>
        </w:rPr>
        <w:t>,</w:t>
      </w:r>
      <w:r w:rsidR="00F64A28" w:rsidRPr="00E562CB">
        <w:rPr>
          <w:sz w:val="28"/>
          <w:szCs w:val="28"/>
        </w:rPr>
        <w:t>6</w:t>
      </w:r>
      <w:r w:rsidR="00A26883" w:rsidRPr="00E562CB">
        <w:rPr>
          <w:sz w:val="28"/>
          <w:szCs w:val="28"/>
        </w:rPr>
        <w:t> млн.грн.</w:t>
      </w:r>
      <w:r w:rsidRPr="00E562CB">
        <w:rPr>
          <w:sz w:val="28"/>
          <w:szCs w:val="28"/>
        </w:rPr>
        <w:t>, спеціальному фонду – 1,5 млн.грн.</w:t>
      </w:r>
    </w:p>
    <w:p w:rsidR="00393789" w:rsidRPr="00F64A28" w:rsidRDefault="00393789" w:rsidP="00541B47">
      <w:pPr>
        <w:pStyle w:val="2"/>
        <w:spacing w:after="0" w:line="240" w:lineRule="auto"/>
        <w:ind w:left="0" w:firstLine="709"/>
        <w:jc w:val="both"/>
        <w:rPr>
          <w:kern w:val="2"/>
          <w:sz w:val="28"/>
          <w:szCs w:val="28"/>
          <w:lang w:val="uk-UA" w:eastAsia="ar-SA"/>
        </w:rPr>
      </w:pPr>
    </w:p>
    <w:p w:rsidR="00225447" w:rsidRPr="00C22365" w:rsidRDefault="00225447" w:rsidP="00541B47">
      <w:pPr>
        <w:pStyle w:val="2"/>
        <w:spacing w:after="0" w:line="240" w:lineRule="auto"/>
        <w:ind w:left="0" w:firstLine="709"/>
        <w:jc w:val="both"/>
        <w:rPr>
          <w:sz w:val="28"/>
          <w:szCs w:val="28"/>
          <w:lang w:val="uk-UA"/>
        </w:rPr>
      </w:pPr>
    </w:p>
    <w:p w:rsidR="005C73A0" w:rsidRPr="00C22365" w:rsidRDefault="005C73A0" w:rsidP="00225447">
      <w:pPr>
        <w:pStyle w:val="2"/>
        <w:spacing w:after="0" w:line="240" w:lineRule="auto"/>
        <w:ind w:left="0"/>
        <w:jc w:val="both"/>
        <w:rPr>
          <w:sz w:val="28"/>
          <w:szCs w:val="28"/>
          <w:lang w:val="uk-UA"/>
        </w:rPr>
      </w:pPr>
      <w:r w:rsidRPr="00C22365">
        <w:rPr>
          <w:sz w:val="28"/>
          <w:szCs w:val="28"/>
          <w:lang w:val="uk-UA"/>
        </w:rPr>
        <w:t xml:space="preserve">Директор департаменту фінансової </w:t>
      </w:r>
    </w:p>
    <w:p w:rsidR="005C73A0" w:rsidRPr="00C22365" w:rsidRDefault="005C73A0" w:rsidP="005C73A0">
      <w:pPr>
        <w:pStyle w:val="2"/>
        <w:spacing w:after="0" w:line="240" w:lineRule="auto"/>
        <w:ind w:left="0"/>
        <w:jc w:val="both"/>
        <w:rPr>
          <w:sz w:val="28"/>
          <w:szCs w:val="28"/>
          <w:lang w:val="uk-UA"/>
        </w:rPr>
      </w:pPr>
      <w:r w:rsidRPr="00C22365">
        <w:rPr>
          <w:sz w:val="28"/>
          <w:szCs w:val="28"/>
          <w:lang w:val="uk-UA"/>
        </w:rPr>
        <w:t>та бюджетної політики міської ради</w:t>
      </w:r>
      <w:r w:rsidRPr="00C22365">
        <w:rPr>
          <w:sz w:val="28"/>
          <w:szCs w:val="28"/>
          <w:lang w:val="uk-UA"/>
        </w:rPr>
        <w:tab/>
      </w:r>
      <w:r w:rsidRPr="00C22365">
        <w:rPr>
          <w:sz w:val="28"/>
          <w:szCs w:val="28"/>
          <w:lang w:val="uk-UA"/>
        </w:rPr>
        <w:tab/>
      </w:r>
      <w:r w:rsidRPr="00C22365">
        <w:rPr>
          <w:sz w:val="28"/>
          <w:szCs w:val="28"/>
          <w:lang w:val="uk-UA"/>
        </w:rPr>
        <w:tab/>
      </w:r>
      <w:r w:rsidRPr="00C22365">
        <w:rPr>
          <w:sz w:val="28"/>
          <w:szCs w:val="28"/>
          <w:lang w:val="uk-UA"/>
        </w:rPr>
        <w:tab/>
      </w:r>
      <w:r w:rsidRPr="00C22365">
        <w:rPr>
          <w:sz w:val="28"/>
          <w:szCs w:val="28"/>
          <w:lang w:val="uk-UA"/>
        </w:rPr>
        <w:tab/>
        <w:t>О.А.</w:t>
      </w:r>
      <w:proofErr w:type="spellStart"/>
      <w:r w:rsidRPr="00C22365">
        <w:rPr>
          <w:sz w:val="28"/>
          <w:szCs w:val="28"/>
          <w:lang w:val="uk-UA"/>
        </w:rPr>
        <w:t>Вагіс</w:t>
      </w:r>
      <w:proofErr w:type="spellEnd"/>
    </w:p>
    <w:p w:rsidR="00F53883" w:rsidRPr="00C22365" w:rsidRDefault="00F53883" w:rsidP="005C73A0">
      <w:pPr>
        <w:pStyle w:val="2"/>
        <w:spacing w:after="0" w:line="240" w:lineRule="auto"/>
        <w:ind w:left="0"/>
        <w:jc w:val="both"/>
        <w:rPr>
          <w:sz w:val="28"/>
          <w:szCs w:val="28"/>
          <w:lang w:val="uk-UA"/>
        </w:rPr>
      </w:pPr>
    </w:p>
    <w:sectPr w:rsidR="00F53883" w:rsidRPr="00C22365" w:rsidSect="00874549">
      <w:headerReference w:type="even" r:id="rId16"/>
      <w:headerReference w:type="default" r:id="rId17"/>
      <w:pgSz w:w="11906" w:h="16838"/>
      <w:pgMar w:top="1135" w:right="567" w:bottom="993" w:left="1701"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49" w:rsidRDefault="00874549">
      <w:r>
        <w:separator/>
      </w:r>
    </w:p>
  </w:endnote>
  <w:endnote w:type="continuationSeparator" w:id="0">
    <w:p w:rsidR="00874549" w:rsidRDefault="008745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49" w:rsidRDefault="00874549">
      <w:r>
        <w:separator/>
      </w:r>
    </w:p>
  </w:footnote>
  <w:footnote w:type="continuationSeparator" w:id="0">
    <w:p w:rsidR="00874549" w:rsidRDefault="0087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9" w:rsidRDefault="00874549" w:rsidP="009A081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74549" w:rsidRDefault="0087454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9" w:rsidRDefault="00874549" w:rsidP="009A081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C0E3A">
      <w:rPr>
        <w:rStyle w:val="aa"/>
        <w:noProof/>
      </w:rPr>
      <w:t>8</w:t>
    </w:r>
    <w:r>
      <w:rPr>
        <w:rStyle w:val="aa"/>
      </w:rPr>
      <w:fldChar w:fldCharType="end"/>
    </w:r>
  </w:p>
  <w:p w:rsidR="00874549" w:rsidRDefault="008745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27"/>
    <w:multiLevelType w:val="hybridMultilevel"/>
    <w:tmpl w:val="9A9CCFA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41264CF"/>
    <w:multiLevelType w:val="hybridMultilevel"/>
    <w:tmpl w:val="0DBAED3E"/>
    <w:lvl w:ilvl="0" w:tplc="7A2A2A8E">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08FF5C17"/>
    <w:multiLevelType w:val="hybridMultilevel"/>
    <w:tmpl w:val="E0CED3B4"/>
    <w:lvl w:ilvl="0" w:tplc="1A30149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AA6423D"/>
    <w:multiLevelType w:val="hybridMultilevel"/>
    <w:tmpl w:val="B364A078"/>
    <w:lvl w:ilvl="0" w:tplc="D1E85DB0">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E6210"/>
    <w:multiLevelType w:val="hybridMultilevel"/>
    <w:tmpl w:val="9AB456A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792BF9"/>
    <w:multiLevelType w:val="hybridMultilevel"/>
    <w:tmpl w:val="04521904"/>
    <w:lvl w:ilvl="0" w:tplc="8DC8AAC6">
      <w:start w:val="2011"/>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C0349C0"/>
    <w:multiLevelType w:val="hybridMultilevel"/>
    <w:tmpl w:val="EE9C6E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7A07F8"/>
    <w:multiLevelType w:val="hybridMultilevel"/>
    <w:tmpl w:val="C6880C36"/>
    <w:lvl w:ilvl="0" w:tplc="46FC9F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D0F1E85"/>
    <w:multiLevelType w:val="hybridMultilevel"/>
    <w:tmpl w:val="9A682F4C"/>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1E6769"/>
    <w:multiLevelType w:val="hybridMultilevel"/>
    <w:tmpl w:val="6E0059D8"/>
    <w:lvl w:ilvl="0" w:tplc="3100512C">
      <w:start w:val="201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92F5ACE"/>
    <w:multiLevelType w:val="hybridMultilevel"/>
    <w:tmpl w:val="6B2ABF48"/>
    <w:lvl w:ilvl="0" w:tplc="8F8A2A48">
      <w:numFmt w:val="bullet"/>
      <w:lvlText w:val="-"/>
      <w:lvlJc w:val="left"/>
      <w:pPr>
        <w:ind w:left="1068" w:hanging="360"/>
      </w:pPr>
      <w:rPr>
        <w:rFonts w:ascii="Times New Roman" w:eastAsia="Times New Roman"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EA30D42"/>
    <w:multiLevelType w:val="hybridMultilevel"/>
    <w:tmpl w:val="D19E37C0"/>
    <w:lvl w:ilvl="0" w:tplc="6042455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531A603B"/>
    <w:multiLevelType w:val="hybridMultilevel"/>
    <w:tmpl w:val="67A0FDEE"/>
    <w:lvl w:ilvl="0" w:tplc="B1D600F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AFB2A26"/>
    <w:multiLevelType w:val="hybridMultilevel"/>
    <w:tmpl w:val="D81666BA"/>
    <w:lvl w:ilvl="0" w:tplc="4E94EE4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082334B"/>
    <w:multiLevelType w:val="hybridMultilevel"/>
    <w:tmpl w:val="F814B89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683177"/>
    <w:multiLevelType w:val="hybridMultilevel"/>
    <w:tmpl w:val="338E5926"/>
    <w:lvl w:ilvl="0" w:tplc="993C3E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A9E747F"/>
    <w:multiLevelType w:val="hybridMultilevel"/>
    <w:tmpl w:val="DEBA2A44"/>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7">
    <w:nsid w:val="6E24273A"/>
    <w:multiLevelType w:val="hybridMultilevel"/>
    <w:tmpl w:val="F7CAABCC"/>
    <w:lvl w:ilvl="0" w:tplc="FD7ADB9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762E0E24"/>
    <w:multiLevelType w:val="hybridMultilevel"/>
    <w:tmpl w:val="8068922E"/>
    <w:lvl w:ilvl="0" w:tplc="4C9A42E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nsid w:val="7A4A4E72"/>
    <w:multiLevelType w:val="hybridMultilevel"/>
    <w:tmpl w:val="3C5017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FAC32DD"/>
    <w:multiLevelType w:val="hybridMultilevel"/>
    <w:tmpl w:val="FF2CFA3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1"/>
  </w:num>
  <w:num w:numId="5">
    <w:abstractNumId w:val="2"/>
  </w:num>
  <w:num w:numId="6">
    <w:abstractNumId w:val="12"/>
  </w:num>
  <w:num w:numId="7">
    <w:abstractNumId w:val="18"/>
  </w:num>
  <w:num w:numId="8">
    <w:abstractNumId w:val="11"/>
  </w:num>
  <w:num w:numId="9">
    <w:abstractNumId w:val="7"/>
  </w:num>
  <w:num w:numId="10">
    <w:abstractNumId w:val="1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5"/>
  </w:num>
  <w:num w:numId="18">
    <w:abstractNumId w:val="10"/>
  </w:num>
  <w:num w:numId="19">
    <w:abstractNumId w:val="0"/>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3229"/>
    <w:rsid w:val="0000139B"/>
    <w:rsid w:val="00002C3E"/>
    <w:rsid w:val="0000461B"/>
    <w:rsid w:val="00004AD9"/>
    <w:rsid w:val="00004CDB"/>
    <w:rsid w:val="000076AF"/>
    <w:rsid w:val="00012F00"/>
    <w:rsid w:val="00013EE8"/>
    <w:rsid w:val="000140BC"/>
    <w:rsid w:val="00014909"/>
    <w:rsid w:val="00014D8E"/>
    <w:rsid w:val="000175C6"/>
    <w:rsid w:val="00017686"/>
    <w:rsid w:val="00021459"/>
    <w:rsid w:val="00021D45"/>
    <w:rsid w:val="00022CD2"/>
    <w:rsid w:val="00024092"/>
    <w:rsid w:val="00026492"/>
    <w:rsid w:val="000300B0"/>
    <w:rsid w:val="0003412C"/>
    <w:rsid w:val="00034638"/>
    <w:rsid w:val="0003703B"/>
    <w:rsid w:val="0004031D"/>
    <w:rsid w:val="000422F9"/>
    <w:rsid w:val="00046A7B"/>
    <w:rsid w:val="00050D58"/>
    <w:rsid w:val="00050F60"/>
    <w:rsid w:val="000527BF"/>
    <w:rsid w:val="00052E69"/>
    <w:rsid w:val="00054378"/>
    <w:rsid w:val="00055598"/>
    <w:rsid w:val="00055898"/>
    <w:rsid w:val="000565D4"/>
    <w:rsid w:val="000566F5"/>
    <w:rsid w:val="000569B4"/>
    <w:rsid w:val="00057602"/>
    <w:rsid w:val="00057BFF"/>
    <w:rsid w:val="00057F0E"/>
    <w:rsid w:val="000602F8"/>
    <w:rsid w:val="0006283D"/>
    <w:rsid w:val="00063C53"/>
    <w:rsid w:val="00063F5B"/>
    <w:rsid w:val="00064255"/>
    <w:rsid w:val="0006426B"/>
    <w:rsid w:val="00065FB2"/>
    <w:rsid w:val="000674F0"/>
    <w:rsid w:val="00067734"/>
    <w:rsid w:val="00067838"/>
    <w:rsid w:val="00067979"/>
    <w:rsid w:val="000738EA"/>
    <w:rsid w:val="00083D58"/>
    <w:rsid w:val="0008595D"/>
    <w:rsid w:val="00090E8B"/>
    <w:rsid w:val="00091373"/>
    <w:rsid w:val="00092D44"/>
    <w:rsid w:val="00093FD8"/>
    <w:rsid w:val="000A1309"/>
    <w:rsid w:val="000A30DB"/>
    <w:rsid w:val="000A352B"/>
    <w:rsid w:val="000A364F"/>
    <w:rsid w:val="000B2A00"/>
    <w:rsid w:val="000B42F8"/>
    <w:rsid w:val="000B4B65"/>
    <w:rsid w:val="000B527C"/>
    <w:rsid w:val="000B5BF8"/>
    <w:rsid w:val="000B5D0D"/>
    <w:rsid w:val="000B6E27"/>
    <w:rsid w:val="000C36E7"/>
    <w:rsid w:val="000C45CF"/>
    <w:rsid w:val="000C507A"/>
    <w:rsid w:val="000C50CA"/>
    <w:rsid w:val="000C5129"/>
    <w:rsid w:val="000C56E1"/>
    <w:rsid w:val="000C651B"/>
    <w:rsid w:val="000D08D3"/>
    <w:rsid w:val="000D165E"/>
    <w:rsid w:val="000D2356"/>
    <w:rsid w:val="000D2BED"/>
    <w:rsid w:val="000D538C"/>
    <w:rsid w:val="000E186A"/>
    <w:rsid w:val="000E1BAE"/>
    <w:rsid w:val="000E20AE"/>
    <w:rsid w:val="000E23CF"/>
    <w:rsid w:val="000E4D11"/>
    <w:rsid w:val="000E5949"/>
    <w:rsid w:val="000E7DEF"/>
    <w:rsid w:val="000F23BA"/>
    <w:rsid w:val="000F2AF0"/>
    <w:rsid w:val="000F4103"/>
    <w:rsid w:val="000F50B3"/>
    <w:rsid w:val="000F54FD"/>
    <w:rsid w:val="000F7427"/>
    <w:rsid w:val="000F7944"/>
    <w:rsid w:val="000F7C74"/>
    <w:rsid w:val="00104165"/>
    <w:rsid w:val="001048F7"/>
    <w:rsid w:val="0010591A"/>
    <w:rsid w:val="001077D8"/>
    <w:rsid w:val="00107C3B"/>
    <w:rsid w:val="001103EE"/>
    <w:rsid w:val="00110868"/>
    <w:rsid w:val="001111AC"/>
    <w:rsid w:val="00111615"/>
    <w:rsid w:val="00111E04"/>
    <w:rsid w:val="00111EC8"/>
    <w:rsid w:val="00113740"/>
    <w:rsid w:val="00113D5D"/>
    <w:rsid w:val="001144F8"/>
    <w:rsid w:val="001173C5"/>
    <w:rsid w:val="001174D4"/>
    <w:rsid w:val="00117DF8"/>
    <w:rsid w:val="001200F8"/>
    <w:rsid w:val="00120CBE"/>
    <w:rsid w:val="0012165D"/>
    <w:rsid w:val="00123372"/>
    <w:rsid w:val="00126736"/>
    <w:rsid w:val="00126C9E"/>
    <w:rsid w:val="001304BA"/>
    <w:rsid w:val="00130997"/>
    <w:rsid w:val="001329DB"/>
    <w:rsid w:val="00132C4E"/>
    <w:rsid w:val="00132F2A"/>
    <w:rsid w:val="0013319E"/>
    <w:rsid w:val="00135F68"/>
    <w:rsid w:val="001361B2"/>
    <w:rsid w:val="001366BA"/>
    <w:rsid w:val="001412CB"/>
    <w:rsid w:val="00142DF8"/>
    <w:rsid w:val="00142F65"/>
    <w:rsid w:val="0014601B"/>
    <w:rsid w:val="00147891"/>
    <w:rsid w:val="001501D9"/>
    <w:rsid w:val="00150E9B"/>
    <w:rsid w:val="00150EBA"/>
    <w:rsid w:val="00151A72"/>
    <w:rsid w:val="00154DCD"/>
    <w:rsid w:val="00155BD9"/>
    <w:rsid w:val="0015658B"/>
    <w:rsid w:val="001568DD"/>
    <w:rsid w:val="00156F0B"/>
    <w:rsid w:val="001621E3"/>
    <w:rsid w:val="0016267A"/>
    <w:rsid w:val="00162A11"/>
    <w:rsid w:val="0016343E"/>
    <w:rsid w:val="00165238"/>
    <w:rsid w:val="00165A80"/>
    <w:rsid w:val="00165BAF"/>
    <w:rsid w:val="00166F4A"/>
    <w:rsid w:val="0017178C"/>
    <w:rsid w:val="00174B30"/>
    <w:rsid w:val="001778ED"/>
    <w:rsid w:val="00180467"/>
    <w:rsid w:val="001812AC"/>
    <w:rsid w:val="00181753"/>
    <w:rsid w:val="001829A0"/>
    <w:rsid w:val="00183AD5"/>
    <w:rsid w:val="00185319"/>
    <w:rsid w:val="001866CD"/>
    <w:rsid w:val="00186EDF"/>
    <w:rsid w:val="001879F4"/>
    <w:rsid w:val="00187FC3"/>
    <w:rsid w:val="001902E2"/>
    <w:rsid w:val="0019049D"/>
    <w:rsid w:val="001916B4"/>
    <w:rsid w:val="00192E49"/>
    <w:rsid w:val="001955A5"/>
    <w:rsid w:val="001957BE"/>
    <w:rsid w:val="001A0E81"/>
    <w:rsid w:val="001A144F"/>
    <w:rsid w:val="001A254E"/>
    <w:rsid w:val="001A6AF8"/>
    <w:rsid w:val="001A6E20"/>
    <w:rsid w:val="001A79AF"/>
    <w:rsid w:val="001B17DE"/>
    <w:rsid w:val="001B1AA0"/>
    <w:rsid w:val="001B1C6D"/>
    <w:rsid w:val="001B236A"/>
    <w:rsid w:val="001B2700"/>
    <w:rsid w:val="001B4539"/>
    <w:rsid w:val="001B5D4F"/>
    <w:rsid w:val="001B63E2"/>
    <w:rsid w:val="001C0752"/>
    <w:rsid w:val="001C17EE"/>
    <w:rsid w:val="001C445E"/>
    <w:rsid w:val="001C5126"/>
    <w:rsid w:val="001C52B3"/>
    <w:rsid w:val="001D35D3"/>
    <w:rsid w:val="001D5B2E"/>
    <w:rsid w:val="001D6070"/>
    <w:rsid w:val="001D6681"/>
    <w:rsid w:val="001D77EC"/>
    <w:rsid w:val="001D7990"/>
    <w:rsid w:val="001E03DA"/>
    <w:rsid w:val="001E1A18"/>
    <w:rsid w:val="001E3AB5"/>
    <w:rsid w:val="001E3D1D"/>
    <w:rsid w:val="001E557C"/>
    <w:rsid w:val="001E5E8E"/>
    <w:rsid w:val="001E6CAC"/>
    <w:rsid w:val="001F049C"/>
    <w:rsid w:val="001F1741"/>
    <w:rsid w:val="001F33E8"/>
    <w:rsid w:val="001F41C8"/>
    <w:rsid w:val="001F433D"/>
    <w:rsid w:val="001F6EF4"/>
    <w:rsid w:val="001F7293"/>
    <w:rsid w:val="00202F90"/>
    <w:rsid w:val="00204BF7"/>
    <w:rsid w:val="00205000"/>
    <w:rsid w:val="002051C6"/>
    <w:rsid w:val="002053D6"/>
    <w:rsid w:val="00205BE2"/>
    <w:rsid w:val="002069AC"/>
    <w:rsid w:val="00207728"/>
    <w:rsid w:val="00207CAE"/>
    <w:rsid w:val="00213A50"/>
    <w:rsid w:val="0021481F"/>
    <w:rsid w:val="00215A9D"/>
    <w:rsid w:val="00215CD5"/>
    <w:rsid w:val="00215F19"/>
    <w:rsid w:val="00217327"/>
    <w:rsid w:val="002200BA"/>
    <w:rsid w:val="002202DE"/>
    <w:rsid w:val="00221CD0"/>
    <w:rsid w:val="0022513D"/>
    <w:rsid w:val="00225447"/>
    <w:rsid w:val="00227ECA"/>
    <w:rsid w:val="002320A8"/>
    <w:rsid w:val="00233D9A"/>
    <w:rsid w:val="0023464A"/>
    <w:rsid w:val="00235B33"/>
    <w:rsid w:val="00237192"/>
    <w:rsid w:val="00242EE0"/>
    <w:rsid w:val="00243DAE"/>
    <w:rsid w:val="002448DC"/>
    <w:rsid w:val="00247826"/>
    <w:rsid w:val="0024797F"/>
    <w:rsid w:val="00250252"/>
    <w:rsid w:val="00252C87"/>
    <w:rsid w:val="00253ED8"/>
    <w:rsid w:val="00256974"/>
    <w:rsid w:val="00256FB1"/>
    <w:rsid w:val="00262008"/>
    <w:rsid w:val="002633AF"/>
    <w:rsid w:val="00263E02"/>
    <w:rsid w:val="00264854"/>
    <w:rsid w:val="002656E3"/>
    <w:rsid w:val="00267A09"/>
    <w:rsid w:val="00267AAB"/>
    <w:rsid w:val="00270A1C"/>
    <w:rsid w:val="0027258A"/>
    <w:rsid w:val="00274030"/>
    <w:rsid w:val="002764B5"/>
    <w:rsid w:val="002770DD"/>
    <w:rsid w:val="00277783"/>
    <w:rsid w:val="002778DF"/>
    <w:rsid w:val="00277A37"/>
    <w:rsid w:val="002815A5"/>
    <w:rsid w:val="00281E6E"/>
    <w:rsid w:val="002820F8"/>
    <w:rsid w:val="00283BE3"/>
    <w:rsid w:val="00284899"/>
    <w:rsid w:val="00284B1C"/>
    <w:rsid w:val="00284BD1"/>
    <w:rsid w:val="0028630D"/>
    <w:rsid w:val="0028722C"/>
    <w:rsid w:val="002901AD"/>
    <w:rsid w:val="0029254B"/>
    <w:rsid w:val="002941F6"/>
    <w:rsid w:val="002A0C83"/>
    <w:rsid w:val="002A1970"/>
    <w:rsid w:val="002A2088"/>
    <w:rsid w:val="002A2933"/>
    <w:rsid w:val="002A2F26"/>
    <w:rsid w:val="002A3C03"/>
    <w:rsid w:val="002A54DC"/>
    <w:rsid w:val="002A5571"/>
    <w:rsid w:val="002A59A1"/>
    <w:rsid w:val="002A6FBF"/>
    <w:rsid w:val="002B0AB4"/>
    <w:rsid w:val="002B1095"/>
    <w:rsid w:val="002B1A5A"/>
    <w:rsid w:val="002B21D0"/>
    <w:rsid w:val="002B2653"/>
    <w:rsid w:val="002B2964"/>
    <w:rsid w:val="002B38AE"/>
    <w:rsid w:val="002B4391"/>
    <w:rsid w:val="002B5985"/>
    <w:rsid w:val="002B5BA6"/>
    <w:rsid w:val="002B62DA"/>
    <w:rsid w:val="002B7DA0"/>
    <w:rsid w:val="002C0105"/>
    <w:rsid w:val="002C0E3A"/>
    <w:rsid w:val="002C0F8E"/>
    <w:rsid w:val="002C22A7"/>
    <w:rsid w:val="002C29AF"/>
    <w:rsid w:val="002C3462"/>
    <w:rsid w:val="002C473D"/>
    <w:rsid w:val="002C47AA"/>
    <w:rsid w:val="002C48F3"/>
    <w:rsid w:val="002C54EB"/>
    <w:rsid w:val="002C5650"/>
    <w:rsid w:val="002C5668"/>
    <w:rsid w:val="002C6817"/>
    <w:rsid w:val="002D0431"/>
    <w:rsid w:val="002D23F4"/>
    <w:rsid w:val="002D3225"/>
    <w:rsid w:val="002D3398"/>
    <w:rsid w:val="002D3C8A"/>
    <w:rsid w:val="002D415D"/>
    <w:rsid w:val="002D56D5"/>
    <w:rsid w:val="002E2FA5"/>
    <w:rsid w:val="002E37B3"/>
    <w:rsid w:val="002E536E"/>
    <w:rsid w:val="002E5FA8"/>
    <w:rsid w:val="002E5FC9"/>
    <w:rsid w:val="002E6032"/>
    <w:rsid w:val="002E66C3"/>
    <w:rsid w:val="002E6724"/>
    <w:rsid w:val="002E673B"/>
    <w:rsid w:val="002F254D"/>
    <w:rsid w:val="002F280D"/>
    <w:rsid w:val="002F3873"/>
    <w:rsid w:val="002F62FD"/>
    <w:rsid w:val="002F7315"/>
    <w:rsid w:val="00300E5D"/>
    <w:rsid w:val="0030127A"/>
    <w:rsid w:val="0030139C"/>
    <w:rsid w:val="00301E31"/>
    <w:rsid w:val="003069BE"/>
    <w:rsid w:val="003100CB"/>
    <w:rsid w:val="00310EAF"/>
    <w:rsid w:val="00312874"/>
    <w:rsid w:val="003153D1"/>
    <w:rsid w:val="00315626"/>
    <w:rsid w:val="00315772"/>
    <w:rsid w:val="003202A3"/>
    <w:rsid w:val="00324123"/>
    <w:rsid w:val="003241E9"/>
    <w:rsid w:val="00326067"/>
    <w:rsid w:val="00326FEB"/>
    <w:rsid w:val="00330378"/>
    <w:rsid w:val="003314DF"/>
    <w:rsid w:val="003318A0"/>
    <w:rsid w:val="00331A1B"/>
    <w:rsid w:val="0033351E"/>
    <w:rsid w:val="0033553D"/>
    <w:rsid w:val="00336AFC"/>
    <w:rsid w:val="00337811"/>
    <w:rsid w:val="00337C1F"/>
    <w:rsid w:val="00340F9E"/>
    <w:rsid w:val="00341053"/>
    <w:rsid w:val="00341D3C"/>
    <w:rsid w:val="00344A38"/>
    <w:rsid w:val="00345E08"/>
    <w:rsid w:val="003465EC"/>
    <w:rsid w:val="00346B95"/>
    <w:rsid w:val="003504FD"/>
    <w:rsid w:val="00351118"/>
    <w:rsid w:val="00351CDA"/>
    <w:rsid w:val="0035243D"/>
    <w:rsid w:val="00355069"/>
    <w:rsid w:val="00355907"/>
    <w:rsid w:val="00360C75"/>
    <w:rsid w:val="00364928"/>
    <w:rsid w:val="00364DFC"/>
    <w:rsid w:val="00365005"/>
    <w:rsid w:val="00367632"/>
    <w:rsid w:val="00367C87"/>
    <w:rsid w:val="00370602"/>
    <w:rsid w:val="00370A0F"/>
    <w:rsid w:val="00371094"/>
    <w:rsid w:val="0037648E"/>
    <w:rsid w:val="0037701F"/>
    <w:rsid w:val="003806C0"/>
    <w:rsid w:val="00382104"/>
    <w:rsid w:val="00382DD1"/>
    <w:rsid w:val="003847C7"/>
    <w:rsid w:val="00385309"/>
    <w:rsid w:val="003868C2"/>
    <w:rsid w:val="00386B42"/>
    <w:rsid w:val="00386FC8"/>
    <w:rsid w:val="00387522"/>
    <w:rsid w:val="003875D6"/>
    <w:rsid w:val="00387DB5"/>
    <w:rsid w:val="00391A34"/>
    <w:rsid w:val="00391F30"/>
    <w:rsid w:val="003921B7"/>
    <w:rsid w:val="00392238"/>
    <w:rsid w:val="00393497"/>
    <w:rsid w:val="00393789"/>
    <w:rsid w:val="00394572"/>
    <w:rsid w:val="0039478B"/>
    <w:rsid w:val="00395C97"/>
    <w:rsid w:val="00395CF5"/>
    <w:rsid w:val="00395DAD"/>
    <w:rsid w:val="0039714D"/>
    <w:rsid w:val="00397EE0"/>
    <w:rsid w:val="003A19FB"/>
    <w:rsid w:val="003A28F3"/>
    <w:rsid w:val="003A2A0F"/>
    <w:rsid w:val="003A508F"/>
    <w:rsid w:val="003A579E"/>
    <w:rsid w:val="003A5E27"/>
    <w:rsid w:val="003A6051"/>
    <w:rsid w:val="003A7124"/>
    <w:rsid w:val="003A76E0"/>
    <w:rsid w:val="003B3CB3"/>
    <w:rsid w:val="003B469A"/>
    <w:rsid w:val="003B4710"/>
    <w:rsid w:val="003B500A"/>
    <w:rsid w:val="003B7657"/>
    <w:rsid w:val="003C4C67"/>
    <w:rsid w:val="003C51F4"/>
    <w:rsid w:val="003C5CE0"/>
    <w:rsid w:val="003C6E4A"/>
    <w:rsid w:val="003C772D"/>
    <w:rsid w:val="003D0228"/>
    <w:rsid w:val="003D0E58"/>
    <w:rsid w:val="003D1B33"/>
    <w:rsid w:val="003D24CB"/>
    <w:rsid w:val="003D27EE"/>
    <w:rsid w:val="003D4641"/>
    <w:rsid w:val="003D4C6A"/>
    <w:rsid w:val="003D53C3"/>
    <w:rsid w:val="003D7168"/>
    <w:rsid w:val="003D7502"/>
    <w:rsid w:val="003E0E40"/>
    <w:rsid w:val="003E1A77"/>
    <w:rsid w:val="003E258E"/>
    <w:rsid w:val="003E4075"/>
    <w:rsid w:val="003E6806"/>
    <w:rsid w:val="003E6E52"/>
    <w:rsid w:val="003F010B"/>
    <w:rsid w:val="003F0B08"/>
    <w:rsid w:val="003F48A4"/>
    <w:rsid w:val="003F4EB8"/>
    <w:rsid w:val="003F7453"/>
    <w:rsid w:val="00401CBB"/>
    <w:rsid w:val="00402C46"/>
    <w:rsid w:val="004030F8"/>
    <w:rsid w:val="004031B5"/>
    <w:rsid w:val="00403C04"/>
    <w:rsid w:val="004052F8"/>
    <w:rsid w:val="00405B10"/>
    <w:rsid w:val="00405CCB"/>
    <w:rsid w:val="00406156"/>
    <w:rsid w:val="00407CFE"/>
    <w:rsid w:val="00410291"/>
    <w:rsid w:val="00411268"/>
    <w:rsid w:val="00413CB5"/>
    <w:rsid w:val="00413EAC"/>
    <w:rsid w:val="00415E02"/>
    <w:rsid w:val="0041678D"/>
    <w:rsid w:val="004176D6"/>
    <w:rsid w:val="00417AFC"/>
    <w:rsid w:val="00421074"/>
    <w:rsid w:val="0042129C"/>
    <w:rsid w:val="0042163A"/>
    <w:rsid w:val="0042223B"/>
    <w:rsid w:val="00423348"/>
    <w:rsid w:val="00424910"/>
    <w:rsid w:val="004259B3"/>
    <w:rsid w:val="00427253"/>
    <w:rsid w:val="00427285"/>
    <w:rsid w:val="00430ADA"/>
    <w:rsid w:val="00430B97"/>
    <w:rsid w:val="0043146A"/>
    <w:rsid w:val="00434076"/>
    <w:rsid w:val="00435A08"/>
    <w:rsid w:val="00436075"/>
    <w:rsid w:val="00441E85"/>
    <w:rsid w:val="0044309A"/>
    <w:rsid w:val="00445205"/>
    <w:rsid w:val="00445EC6"/>
    <w:rsid w:val="00447DF7"/>
    <w:rsid w:val="00451DC3"/>
    <w:rsid w:val="004547EF"/>
    <w:rsid w:val="0045503E"/>
    <w:rsid w:val="0045665E"/>
    <w:rsid w:val="00457833"/>
    <w:rsid w:val="0046163D"/>
    <w:rsid w:val="004616E1"/>
    <w:rsid w:val="00461826"/>
    <w:rsid w:val="004646BB"/>
    <w:rsid w:val="00464DBE"/>
    <w:rsid w:val="004666C8"/>
    <w:rsid w:val="0047039B"/>
    <w:rsid w:val="004710E4"/>
    <w:rsid w:val="004719D4"/>
    <w:rsid w:val="00472B4A"/>
    <w:rsid w:val="00473140"/>
    <w:rsid w:val="004753E3"/>
    <w:rsid w:val="00477DF7"/>
    <w:rsid w:val="00481117"/>
    <w:rsid w:val="004812E5"/>
    <w:rsid w:val="00481756"/>
    <w:rsid w:val="00482D23"/>
    <w:rsid w:val="00482ED4"/>
    <w:rsid w:val="0048361D"/>
    <w:rsid w:val="00483D76"/>
    <w:rsid w:val="00483E34"/>
    <w:rsid w:val="00484700"/>
    <w:rsid w:val="0048506E"/>
    <w:rsid w:val="004854C1"/>
    <w:rsid w:val="00487596"/>
    <w:rsid w:val="0049054F"/>
    <w:rsid w:val="00491D7A"/>
    <w:rsid w:val="00491F77"/>
    <w:rsid w:val="00492268"/>
    <w:rsid w:val="004935A6"/>
    <w:rsid w:val="00493E5E"/>
    <w:rsid w:val="00495122"/>
    <w:rsid w:val="0049658B"/>
    <w:rsid w:val="00496D89"/>
    <w:rsid w:val="00497120"/>
    <w:rsid w:val="004A09DB"/>
    <w:rsid w:val="004A0FDE"/>
    <w:rsid w:val="004A1D18"/>
    <w:rsid w:val="004A28AB"/>
    <w:rsid w:val="004A5E9D"/>
    <w:rsid w:val="004A63EF"/>
    <w:rsid w:val="004A7685"/>
    <w:rsid w:val="004A76B0"/>
    <w:rsid w:val="004B01EE"/>
    <w:rsid w:val="004B2831"/>
    <w:rsid w:val="004B5BE2"/>
    <w:rsid w:val="004B7913"/>
    <w:rsid w:val="004C38FC"/>
    <w:rsid w:val="004C406E"/>
    <w:rsid w:val="004C4602"/>
    <w:rsid w:val="004C590F"/>
    <w:rsid w:val="004C601E"/>
    <w:rsid w:val="004D0F70"/>
    <w:rsid w:val="004D249A"/>
    <w:rsid w:val="004D299F"/>
    <w:rsid w:val="004D722E"/>
    <w:rsid w:val="004E0189"/>
    <w:rsid w:val="004E28C0"/>
    <w:rsid w:val="004E2D2E"/>
    <w:rsid w:val="004E43FC"/>
    <w:rsid w:val="004E5C6D"/>
    <w:rsid w:val="004E5DDD"/>
    <w:rsid w:val="004E7272"/>
    <w:rsid w:val="004E75EB"/>
    <w:rsid w:val="004F2073"/>
    <w:rsid w:val="004F3053"/>
    <w:rsid w:val="004F36E4"/>
    <w:rsid w:val="004F585B"/>
    <w:rsid w:val="004F6F1A"/>
    <w:rsid w:val="004F72CF"/>
    <w:rsid w:val="004F7F71"/>
    <w:rsid w:val="00500A96"/>
    <w:rsid w:val="00506441"/>
    <w:rsid w:val="00506652"/>
    <w:rsid w:val="005068D2"/>
    <w:rsid w:val="00507846"/>
    <w:rsid w:val="00510DD2"/>
    <w:rsid w:val="00510FEF"/>
    <w:rsid w:val="00513B18"/>
    <w:rsid w:val="0051507A"/>
    <w:rsid w:val="005203A3"/>
    <w:rsid w:val="0052063F"/>
    <w:rsid w:val="00521186"/>
    <w:rsid w:val="00522707"/>
    <w:rsid w:val="0052407A"/>
    <w:rsid w:val="0052460D"/>
    <w:rsid w:val="0052527C"/>
    <w:rsid w:val="00525CAE"/>
    <w:rsid w:val="005268CC"/>
    <w:rsid w:val="00530328"/>
    <w:rsid w:val="00534B08"/>
    <w:rsid w:val="00537689"/>
    <w:rsid w:val="00541B47"/>
    <w:rsid w:val="00541BE7"/>
    <w:rsid w:val="00543647"/>
    <w:rsid w:val="00547A4A"/>
    <w:rsid w:val="00551750"/>
    <w:rsid w:val="00553689"/>
    <w:rsid w:val="005536D1"/>
    <w:rsid w:val="00555DCF"/>
    <w:rsid w:val="00556BEE"/>
    <w:rsid w:val="005575F6"/>
    <w:rsid w:val="00562952"/>
    <w:rsid w:val="00565559"/>
    <w:rsid w:val="00567EF3"/>
    <w:rsid w:val="00573262"/>
    <w:rsid w:val="00573873"/>
    <w:rsid w:val="00573EAD"/>
    <w:rsid w:val="00574729"/>
    <w:rsid w:val="00576B2D"/>
    <w:rsid w:val="00577F00"/>
    <w:rsid w:val="005802F3"/>
    <w:rsid w:val="00580333"/>
    <w:rsid w:val="0058193D"/>
    <w:rsid w:val="00581D9F"/>
    <w:rsid w:val="0058293F"/>
    <w:rsid w:val="00585462"/>
    <w:rsid w:val="00586A1E"/>
    <w:rsid w:val="005874AC"/>
    <w:rsid w:val="00591F88"/>
    <w:rsid w:val="0059238E"/>
    <w:rsid w:val="0059469D"/>
    <w:rsid w:val="00594EF7"/>
    <w:rsid w:val="005953A2"/>
    <w:rsid w:val="0059632C"/>
    <w:rsid w:val="0059790E"/>
    <w:rsid w:val="005979B7"/>
    <w:rsid w:val="005A031F"/>
    <w:rsid w:val="005A067B"/>
    <w:rsid w:val="005A5EB2"/>
    <w:rsid w:val="005A6C1A"/>
    <w:rsid w:val="005B39EE"/>
    <w:rsid w:val="005B3B3A"/>
    <w:rsid w:val="005B3F31"/>
    <w:rsid w:val="005B6B75"/>
    <w:rsid w:val="005B7FAF"/>
    <w:rsid w:val="005C0DDD"/>
    <w:rsid w:val="005C2246"/>
    <w:rsid w:val="005C2B77"/>
    <w:rsid w:val="005C73A0"/>
    <w:rsid w:val="005C789B"/>
    <w:rsid w:val="005C7A49"/>
    <w:rsid w:val="005D0FC3"/>
    <w:rsid w:val="005D2319"/>
    <w:rsid w:val="005D2594"/>
    <w:rsid w:val="005D466F"/>
    <w:rsid w:val="005D5F71"/>
    <w:rsid w:val="005D6C55"/>
    <w:rsid w:val="005D6E44"/>
    <w:rsid w:val="005D6F84"/>
    <w:rsid w:val="005D78FB"/>
    <w:rsid w:val="005E1514"/>
    <w:rsid w:val="005E2A49"/>
    <w:rsid w:val="005E3D0F"/>
    <w:rsid w:val="005E3F70"/>
    <w:rsid w:val="005E406D"/>
    <w:rsid w:val="005E643F"/>
    <w:rsid w:val="005E7618"/>
    <w:rsid w:val="005F2878"/>
    <w:rsid w:val="005F2CB2"/>
    <w:rsid w:val="005F3723"/>
    <w:rsid w:val="005F38B7"/>
    <w:rsid w:val="005F4164"/>
    <w:rsid w:val="005F62F8"/>
    <w:rsid w:val="005F6941"/>
    <w:rsid w:val="005F6E1C"/>
    <w:rsid w:val="005F71F1"/>
    <w:rsid w:val="005F7F99"/>
    <w:rsid w:val="00600382"/>
    <w:rsid w:val="00601224"/>
    <w:rsid w:val="00601A3A"/>
    <w:rsid w:val="00602ED9"/>
    <w:rsid w:val="00605E57"/>
    <w:rsid w:val="00610020"/>
    <w:rsid w:val="006100D3"/>
    <w:rsid w:val="00612A5A"/>
    <w:rsid w:val="00612DF7"/>
    <w:rsid w:val="00612F70"/>
    <w:rsid w:val="00614930"/>
    <w:rsid w:val="00615534"/>
    <w:rsid w:val="00621585"/>
    <w:rsid w:val="00622D75"/>
    <w:rsid w:val="00623229"/>
    <w:rsid w:val="0062337F"/>
    <w:rsid w:val="00624C80"/>
    <w:rsid w:val="00625041"/>
    <w:rsid w:val="0062551A"/>
    <w:rsid w:val="006266EF"/>
    <w:rsid w:val="006312BB"/>
    <w:rsid w:val="006317AB"/>
    <w:rsid w:val="006321C7"/>
    <w:rsid w:val="00632B95"/>
    <w:rsid w:val="00633C2E"/>
    <w:rsid w:val="0063723C"/>
    <w:rsid w:val="006373F2"/>
    <w:rsid w:val="006401DF"/>
    <w:rsid w:val="006423E0"/>
    <w:rsid w:val="006440B8"/>
    <w:rsid w:val="00645E0E"/>
    <w:rsid w:val="00646E28"/>
    <w:rsid w:val="00647C21"/>
    <w:rsid w:val="0065134D"/>
    <w:rsid w:val="00654F58"/>
    <w:rsid w:val="00660788"/>
    <w:rsid w:val="00664480"/>
    <w:rsid w:val="00665589"/>
    <w:rsid w:val="00666645"/>
    <w:rsid w:val="00666956"/>
    <w:rsid w:val="00666A05"/>
    <w:rsid w:val="00670B77"/>
    <w:rsid w:val="0067146F"/>
    <w:rsid w:val="00673A08"/>
    <w:rsid w:val="00673B0F"/>
    <w:rsid w:val="006748A7"/>
    <w:rsid w:val="00675437"/>
    <w:rsid w:val="00675531"/>
    <w:rsid w:val="006765EF"/>
    <w:rsid w:val="006769F4"/>
    <w:rsid w:val="00677E0F"/>
    <w:rsid w:val="0068172E"/>
    <w:rsid w:val="00682F87"/>
    <w:rsid w:val="00683CDF"/>
    <w:rsid w:val="00684438"/>
    <w:rsid w:val="00684E30"/>
    <w:rsid w:val="00684F72"/>
    <w:rsid w:val="00685704"/>
    <w:rsid w:val="00691BC5"/>
    <w:rsid w:val="00691E05"/>
    <w:rsid w:val="006944E2"/>
    <w:rsid w:val="00695A43"/>
    <w:rsid w:val="00697F57"/>
    <w:rsid w:val="006A0AE3"/>
    <w:rsid w:val="006A670D"/>
    <w:rsid w:val="006B435D"/>
    <w:rsid w:val="006B5A70"/>
    <w:rsid w:val="006B608B"/>
    <w:rsid w:val="006B6B3A"/>
    <w:rsid w:val="006B7A57"/>
    <w:rsid w:val="006C01A6"/>
    <w:rsid w:val="006C0EDC"/>
    <w:rsid w:val="006C1A4B"/>
    <w:rsid w:val="006C34D8"/>
    <w:rsid w:val="006C5186"/>
    <w:rsid w:val="006D0E65"/>
    <w:rsid w:val="006D0F60"/>
    <w:rsid w:val="006D1689"/>
    <w:rsid w:val="006D1CD5"/>
    <w:rsid w:val="006D5A4A"/>
    <w:rsid w:val="006D7FCC"/>
    <w:rsid w:val="006E3A09"/>
    <w:rsid w:val="006E3C0A"/>
    <w:rsid w:val="006E51E7"/>
    <w:rsid w:val="006E56E4"/>
    <w:rsid w:val="006E603B"/>
    <w:rsid w:val="006E61CF"/>
    <w:rsid w:val="006E63A4"/>
    <w:rsid w:val="006E669B"/>
    <w:rsid w:val="006E761F"/>
    <w:rsid w:val="006F059A"/>
    <w:rsid w:val="006F2CF8"/>
    <w:rsid w:val="006F3AFF"/>
    <w:rsid w:val="006F783D"/>
    <w:rsid w:val="006F790E"/>
    <w:rsid w:val="00700271"/>
    <w:rsid w:val="0070216A"/>
    <w:rsid w:val="00703224"/>
    <w:rsid w:val="00705094"/>
    <w:rsid w:val="007069C9"/>
    <w:rsid w:val="00706DBF"/>
    <w:rsid w:val="00710510"/>
    <w:rsid w:val="00710A66"/>
    <w:rsid w:val="0071177E"/>
    <w:rsid w:val="0071315B"/>
    <w:rsid w:val="00713C0C"/>
    <w:rsid w:val="00717481"/>
    <w:rsid w:val="00717670"/>
    <w:rsid w:val="00717F20"/>
    <w:rsid w:val="007225C6"/>
    <w:rsid w:val="00722B10"/>
    <w:rsid w:val="00722D49"/>
    <w:rsid w:val="00727B08"/>
    <w:rsid w:val="007314CA"/>
    <w:rsid w:val="007330C5"/>
    <w:rsid w:val="00733685"/>
    <w:rsid w:val="007362A1"/>
    <w:rsid w:val="00740B2D"/>
    <w:rsid w:val="00741AE6"/>
    <w:rsid w:val="00742545"/>
    <w:rsid w:val="007432E8"/>
    <w:rsid w:val="00745EB2"/>
    <w:rsid w:val="00746D96"/>
    <w:rsid w:val="00751BB7"/>
    <w:rsid w:val="0075241F"/>
    <w:rsid w:val="00752678"/>
    <w:rsid w:val="00753D91"/>
    <w:rsid w:val="007543EF"/>
    <w:rsid w:val="00756540"/>
    <w:rsid w:val="00757BD6"/>
    <w:rsid w:val="00760E37"/>
    <w:rsid w:val="00760F9F"/>
    <w:rsid w:val="00762AF7"/>
    <w:rsid w:val="0076369E"/>
    <w:rsid w:val="00766232"/>
    <w:rsid w:val="00766BF0"/>
    <w:rsid w:val="00770DA5"/>
    <w:rsid w:val="00772A68"/>
    <w:rsid w:val="00773484"/>
    <w:rsid w:val="0077436A"/>
    <w:rsid w:val="00774709"/>
    <w:rsid w:val="00774747"/>
    <w:rsid w:val="007778A1"/>
    <w:rsid w:val="00777CED"/>
    <w:rsid w:val="007800C5"/>
    <w:rsid w:val="00780327"/>
    <w:rsid w:val="00781580"/>
    <w:rsid w:val="007817DF"/>
    <w:rsid w:val="00782FA8"/>
    <w:rsid w:val="00783572"/>
    <w:rsid w:val="0078377D"/>
    <w:rsid w:val="007839D7"/>
    <w:rsid w:val="007866CB"/>
    <w:rsid w:val="00786FE3"/>
    <w:rsid w:val="00787674"/>
    <w:rsid w:val="00787722"/>
    <w:rsid w:val="00790AFC"/>
    <w:rsid w:val="0079187B"/>
    <w:rsid w:val="00792907"/>
    <w:rsid w:val="00793D1D"/>
    <w:rsid w:val="00795F51"/>
    <w:rsid w:val="00796AA2"/>
    <w:rsid w:val="007A0DD8"/>
    <w:rsid w:val="007A0EC2"/>
    <w:rsid w:val="007A1324"/>
    <w:rsid w:val="007A1574"/>
    <w:rsid w:val="007A18B9"/>
    <w:rsid w:val="007A309D"/>
    <w:rsid w:val="007A397A"/>
    <w:rsid w:val="007A56BC"/>
    <w:rsid w:val="007A7C8F"/>
    <w:rsid w:val="007A7FF6"/>
    <w:rsid w:val="007B0B49"/>
    <w:rsid w:val="007B2259"/>
    <w:rsid w:val="007B264D"/>
    <w:rsid w:val="007B3922"/>
    <w:rsid w:val="007B4430"/>
    <w:rsid w:val="007B5AC6"/>
    <w:rsid w:val="007C00DA"/>
    <w:rsid w:val="007C0896"/>
    <w:rsid w:val="007C1316"/>
    <w:rsid w:val="007C4472"/>
    <w:rsid w:val="007C5448"/>
    <w:rsid w:val="007C5993"/>
    <w:rsid w:val="007C6037"/>
    <w:rsid w:val="007C730F"/>
    <w:rsid w:val="007D0073"/>
    <w:rsid w:val="007D03F2"/>
    <w:rsid w:val="007D1F45"/>
    <w:rsid w:val="007D206A"/>
    <w:rsid w:val="007D267D"/>
    <w:rsid w:val="007D34A1"/>
    <w:rsid w:val="007D4FBE"/>
    <w:rsid w:val="007D7030"/>
    <w:rsid w:val="007D790B"/>
    <w:rsid w:val="007E0BF6"/>
    <w:rsid w:val="007E1C85"/>
    <w:rsid w:val="007E2648"/>
    <w:rsid w:val="007E2709"/>
    <w:rsid w:val="007E2748"/>
    <w:rsid w:val="007E3769"/>
    <w:rsid w:val="007E37BA"/>
    <w:rsid w:val="007E5CBC"/>
    <w:rsid w:val="007E6BFE"/>
    <w:rsid w:val="007E7A2E"/>
    <w:rsid w:val="007E7E41"/>
    <w:rsid w:val="007F0249"/>
    <w:rsid w:val="007F2070"/>
    <w:rsid w:val="007F7B32"/>
    <w:rsid w:val="007F7EBA"/>
    <w:rsid w:val="008022B8"/>
    <w:rsid w:val="00806F91"/>
    <w:rsid w:val="00807257"/>
    <w:rsid w:val="00811702"/>
    <w:rsid w:val="0081314E"/>
    <w:rsid w:val="00814326"/>
    <w:rsid w:val="00815EB3"/>
    <w:rsid w:val="0081673E"/>
    <w:rsid w:val="008215E3"/>
    <w:rsid w:val="00821C5F"/>
    <w:rsid w:val="00822031"/>
    <w:rsid w:val="00824E10"/>
    <w:rsid w:val="0082573A"/>
    <w:rsid w:val="00826597"/>
    <w:rsid w:val="00826B1F"/>
    <w:rsid w:val="00834328"/>
    <w:rsid w:val="00834D7D"/>
    <w:rsid w:val="0083532E"/>
    <w:rsid w:val="00837B68"/>
    <w:rsid w:val="0084173F"/>
    <w:rsid w:val="00842E1B"/>
    <w:rsid w:val="00843A20"/>
    <w:rsid w:val="008455ED"/>
    <w:rsid w:val="00845F82"/>
    <w:rsid w:val="00846606"/>
    <w:rsid w:val="00850564"/>
    <w:rsid w:val="00853A13"/>
    <w:rsid w:val="00854101"/>
    <w:rsid w:val="00854B4D"/>
    <w:rsid w:val="00856498"/>
    <w:rsid w:val="0085716D"/>
    <w:rsid w:val="00860B84"/>
    <w:rsid w:val="00863277"/>
    <w:rsid w:val="00863E33"/>
    <w:rsid w:val="0086461C"/>
    <w:rsid w:val="008652B7"/>
    <w:rsid w:val="008657AA"/>
    <w:rsid w:val="0087019A"/>
    <w:rsid w:val="00870FDB"/>
    <w:rsid w:val="00872DD0"/>
    <w:rsid w:val="008741B3"/>
    <w:rsid w:val="00874549"/>
    <w:rsid w:val="00874E9E"/>
    <w:rsid w:val="008750B1"/>
    <w:rsid w:val="00875163"/>
    <w:rsid w:val="0087538E"/>
    <w:rsid w:val="008756A3"/>
    <w:rsid w:val="00875D28"/>
    <w:rsid w:val="00877B7C"/>
    <w:rsid w:val="00877C82"/>
    <w:rsid w:val="00880052"/>
    <w:rsid w:val="00880B67"/>
    <w:rsid w:val="008813F4"/>
    <w:rsid w:val="008839E5"/>
    <w:rsid w:val="00884C5E"/>
    <w:rsid w:val="00884FA3"/>
    <w:rsid w:val="00884FEF"/>
    <w:rsid w:val="008878A0"/>
    <w:rsid w:val="00893C57"/>
    <w:rsid w:val="008954FF"/>
    <w:rsid w:val="00895D4A"/>
    <w:rsid w:val="0089601D"/>
    <w:rsid w:val="00896E3C"/>
    <w:rsid w:val="008A0857"/>
    <w:rsid w:val="008A242F"/>
    <w:rsid w:val="008A2D22"/>
    <w:rsid w:val="008A38B3"/>
    <w:rsid w:val="008A5200"/>
    <w:rsid w:val="008A7F48"/>
    <w:rsid w:val="008B234D"/>
    <w:rsid w:val="008B2397"/>
    <w:rsid w:val="008B2465"/>
    <w:rsid w:val="008B3279"/>
    <w:rsid w:val="008B47F8"/>
    <w:rsid w:val="008B4D8E"/>
    <w:rsid w:val="008B4DB5"/>
    <w:rsid w:val="008B5CB0"/>
    <w:rsid w:val="008C1F9B"/>
    <w:rsid w:val="008C20FF"/>
    <w:rsid w:val="008C24EB"/>
    <w:rsid w:val="008C4787"/>
    <w:rsid w:val="008C524B"/>
    <w:rsid w:val="008C540D"/>
    <w:rsid w:val="008C5FAF"/>
    <w:rsid w:val="008C63F4"/>
    <w:rsid w:val="008C683B"/>
    <w:rsid w:val="008D0CCE"/>
    <w:rsid w:val="008D1C9B"/>
    <w:rsid w:val="008D38E7"/>
    <w:rsid w:val="008D53DB"/>
    <w:rsid w:val="008D7903"/>
    <w:rsid w:val="008E0434"/>
    <w:rsid w:val="008E27A0"/>
    <w:rsid w:val="008E27D2"/>
    <w:rsid w:val="008E3585"/>
    <w:rsid w:val="008E36C1"/>
    <w:rsid w:val="008E70EB"/>
    <w:rsid w:val="008F239D"/>
    <w:rsid w:val="008F24D5"/>
    <w:rsid w:val="008F2D69"/>
    <w:rsid w:val="008F45D8"/>
    <w:rsid w:val="008F62F3"/>
    <w:rsid w:val="008F663C"/>
    <w:rsid w:val="008F7387"/>
    <w:rsid w:val="008F7667"/>
    <w:rsid w:val="00900AE3"/>
    <w:rsid w:val="00903787"/>
    <w:rsid w:val="00903CF4"/>
    <w:rsid w:val="00904452"/>
    <w:rsid w:val="00904989"/>
    <w:rsid w:val="009075C8"/>
    <w:rsid w:val="0090763D"/>
    <w:rsid w:val="00907E6F"/>
    <w:rsid w:val="00911028"/>
    <w:rsid w:val="00914FDF"/>
    <w:rsid w:val="00915241"/>
    <w:rsid w:val="00916547"/>
    <w:rsid w:val="009169BB"/>
    <w:rsid w:val="00920513"/>
    <w:rsid w:val="00921D94"/>
    <w:rsid w:val="00921FC0"/>
    <w:rsid w:val="009240AA"/>
    <w:rsid w:val="00924825"/>
    <w:rsid w:val="00924E0B"/>
    <w:rsid w:val="009255B3"/>
    <w:rsid w:val="00926719"/>
    <w:rsid w:val="0092793B"/>
    <w:rsid w:val="00931806"/>
    <w:rsid w:val="00931DC6"/>
    <w:rsid w:val="00932896"/>
    <w:rsid w:val="00935213"/>
    <w:rsid w:val="009367A4"/>
    <w:rsid w:val="00937926"/>
    <w:rsid w:val="00942FAA"/>
    <w:rsid w:val="00943953"/>
    <w:rsid w:val="00945170"/>
    <w:rsid w:val="00946711"/>
    <w:rsid w:val="00946E27"/>
    <w:rsid w:val="00947760"/>
    <w:rsid w:val="009477FD"/>
    <w:rsid w:val="00950883"/>
    <w:rsid w:val="00951592"/>
    <w:rsid w:val="00951B1A"/>
    <w:rsid w:val="009524E9"/>
    <w:rsid w:val="00952DD1"/>
    <w:rsid w:val="009533CB"/>
    <w:rsid w:val="00953787"/>
    <w:rsid w:val="00953BA8"/>
    <w:rsid w:val="009543FF"/>
    <w:rsid w:val="00954A98"/>
    <w:rsid w:val="00956275"/>
    <w:rsid w:val="00957E39"/>
    <w:rsid w:val="009623D0"/>
    <w:rsid w:val="0096289C"/>
    <w:rsid w:val="00963462"/>
    <w:rsid w:val="0096461C"/>
    <w:rsid w:val="00965A53"/>
    <w:rsid w:val="00965C36"/>
    <w:rsid w:val="00967E22"/>
    <w:rsid w:val="0097153D"/>
    <w:rsid w:val="00971F58"/>
    <w:rsid w:val="0097422D"/>
    <w:rsid w:val="009752E0"/>
    <w:rsid w:val="00975F3D"/>
    <w:rsid w:val="00976693"/>
    <w:rsid w:val="009801C2"/>
    <w:rsid w:val="00980926"/>
    <w:rsid w:val="009815F4"/>
    <w:rsid w:val="009817FB"/>
    <w:rsid w:val="0098383C"/>
    <w:rsid w:val="00984276"/>
    <w:rsid w:val="00985415"/>
    <w:rsid w:val="009861E7"/>
    <w:rsid w:val="009861FD"/>
    <w:rsid w:val="00986FB0"/>
    <w:rsid w:val="0098727F"/>
    <w:rsid w:val="0099021B"/>
    <w:rsid w:val="009903E1"/>
    <w:rsid w:val="0099082F"/>
    <w:rsid w:val="009909FB"/>
    <w:rsid w:val="00991181"/>
    <w:rsid w:val="00991313"/>
    <w:rsid w:val="009918BD"/>
    <w:rsid w:val="00991903"/>
    <w:rsid w:val="0099272F"/>
    <w:rsid w:val="009933ED"/>
    <w:rsid w:val="00994CE0"/>
    <w:rsid w:val="00994FDB"/>
    <w:rsid w:val="00995065"/>
    <w:rsid w:val="009955A7"/>
    <w:rsid w:val="009A06FC"/>
    <w:rsid w:val="009A0811"/>
    <w:rsid w:val="009A0DDC"/>
    <w:rsid w:val="009A2B42"/>
    <w:rsid w:val="009A41D8"/>
    <w:rsid w:val="009A5F72"/>
    <w:rsid w:val="009A7A4E"/>
    <w:rsid w:val="009A7B88"/>
    <w:rsid w:val="009A7F01"/>
    <w:rsid w:val="009B0A4A"/>
    <w:rsid w:val="009B1076"/>
    <w:rsid w:val="009B2C20"/>
    <w:rsid w:val="009B323D"/>
    <w:rsid w:val="009B32DC"/>
    <w:rsid w:val="009B3888"/>
    <w:rsid w:val="009B3959"/>
    <w:rsid w:val="009B6B55"/>
    <w:rsid w:val="009B7797"/>
    <w:rsid w:val="009B7C2A"/>
    <w:rsid w:val="009C0324"/>
    <w:rsid w:val="009C208F"/>
    <w:rsid w:val="009C25C0"/>
    <w:rsid w:val="009C4FF2"/>
    <w:rsid w:val="009C5D0E"/>
    <w:rsid w:val="009C73ED"/>
    <w:rsid w:val="009C7F18"/>
    <w:rsid w:val="009D05FE"/>
    <w:rsid w:val="009D2E5B"/>
    <w:rsid w:val="009D3A58"/>
    <w:rsid w:val="009D490E"/>
    <w:rsid w:val="009D4F67"/>
    <w:rsid w:val="009D5973"/>
    <w:rsid w:val="009D7924"/>
    <w:rsid w:val="009E00CE"/>
    <w:rsid w:val="009E0569"/>
    <w:rsid w:val="009E0AE8"/>
    <w:rsid w:val="009E18BF"/>
    <w:rsid w:val="009E1B70"/>
    <w:rsid w:val="009E2DBB"/>
    <w:rsid w:val="009E4C55"/>
    <w:rsid w:val="009E5E54"/>
    <w:rsid w:val="009E6011"/>
    <w:rsid w:val="009F1DCB"/>
    <w:rsid w:val="009F30F9"/>
    <w:rsid w:val="009F4500"/>
    <w:rsid w:val="009F4992"/>
    <w:rsid w:val="009F652D"/>
    <w:rsid w:val="009F6601"/>
    <w:rsid w:val="009F6CEF"/>
    <w:rsid w:val="009F7EC8"/>
    <w:rsid w:val="00A01C5D"/>
    <w:rsid w:val="00A02D81"/>
    <w:rsid w:val="00A103C8"/>
    <w:rsid w:val="00A11780"/>
    <w:rsid w:val="00A13328"/>
    <w:rsid w:val="00A134F6"/>
    <w:rsid w:val="00A146CA"/>
    <w:rsid w:val="00A14974"/>
    <w:rsid w:val="00A1542A"/>
    <w:rsid w:val="00A20246"/>
    <w:rsid w:val="00A203B5"/>
    <w:rsid w:val="00A20E75"/>
    <w:rsid w:val="00A2233B"/>
    <w:rsid w:val="00A23580"/>
    <w:rsid w:val="00A26883"/>
    <w:rsid w:val="00A2712E"/>
    <w:rsid w:val="00A275D5"/>
    <w:rsid w:val="00A318E8"/>
    <w:rsid w:val="00A320A7"/>
    <w:rsid w:val="00A32441"/>
    <w:rsid w:val="00A332FE"/>
    <w:rsid w:val="00A33F83"/>
    <w:rsid w:val="00A34239"/>
    <w:rsid w:val="00A371D4"/>
    <w:rsid w:val="00A40D28"/>
    <w:rsid w:val="00A41009"/>
    <w:rsid w:val="00A411A7"/>
    <w:rsid w:val="00A41471"/>
    <w:rsid w:val="00A4203C"/>
    <w:rsid w:val="00A42350"/>
    <w:rsid w:val="00A42C73"/>
    <w:rsid w:val="00A42EC7"/>
    <w:rsid w:val="00A4395E"/>
    <w:rsid w:val="00A4741B"/>
    <w:rsid w:val="00A506FC"/>
    <w:rsid w:val="00A50D96"/>
    <w:rsid w:val="00A5113D"/>
    <w:rsid w:val="00A51B2B"/>
    <w:rsid w:val="00A52CD1"/>
    <w:rsid w:val="00A540E7"/>
    <w:rsid w:val="00A540FA"/>
    <w:rsid w:val="00A56436"/>
    <w:rsid w:val="00A57577"/>
    <w:rsid w:val="00A61114"/>
    <w:rsid w:val="00A620DE"/>
    <w:rsid w:val="00A620F4"/>
    <w:rsid w:val="00A63557"/>
    <w:rsid w:val="00A64A2A"/>
    <w:rsid w:val="00A65E57"/>
    <w:rsid w:val="00A664AD"/>
    <w:rsid w:val="00A6738B"/>
    <w:rsid w:val="00A67A6B"/>
    <w:rsid w:val="00A67FDF"/>
    <w:rsid w:val="00A71098"/>
    <w:rsid w:val="00A71C28"/>
    <w:rsid w:val="00A7261F"/>
    <w:rsid w:val="00A72A45"/>
    <w:rsid w:val="00A73590"/>
    <w:rsid w:val="00A7384B"/>
    <w:rsid w:val="00A757D9"/>
    <w:rsid w:val="00A8133E"/>
    <w:rsid w:val="00A81CD9"/>
    <w:rsid w:val="00A82A63"/>
    <w:rsid w:val="00A8763B"/>
    <w:rsid w:val="00A9004C"/>
    <w:rsid w:val="00A916F7"/>
    <w:rsid w:val="00A91A9A"/>
    <w:rsid w:val="00A91D40"/>
    <w:rsid w:val="00A9343F"/>
    <w:rsid w:val="00A974E9"/>
    <w:rsid w:val="00AA109B"/>
    <w:rsid w:val="00AA3134"/>
    <w:rsid w:val="00AA3867"/>
    <w:rsid w:val="00AA4FB5"/>
    <w:rsid w:val="00AA76D5"/>
    <w:rsid w:val="00AB3441"/>
    <w:rsid w:val="00AB4ACC"/>
    <w:rsid w:val="00AB4CDC"/>
    <w:rsid w:val="00AB4D2C"/>
    <w:rsid w:val="00AB5D31"/>
    <w:rsid w:val="00AB718A"/>
    <w:rsid w:val="00AC1445"/>
    <w:rsid w:val="00AC23EB"/>
    <w:rsid w:val="00AC36D3"/>
    <w:rsid w:val="00AC48DF"/>
    <w:rsid w:val="00AC58F3"/>
    <w:rsid w:val="00AC6504"/>
    <w:rsid w:val="00AC6C50"/>
    <w:rsid w:val="00AD0965"/>
    <w:rsid w:val="00AD355F"/>
    <w:rsid w:val="00AD3B6A"/>
    <w:rsid w:val="00AD4E5F"/>
    <w:rsid w:val="00AD5BC2"/>
    <w:rsid w:val="00AD5D23"/>
    <w:rsid w:val="00AD7F2F"/>
    <w:rsid w:val="00AE060D"/>
    <w:rsid w:val="00AE1464"/>
    <w:rsid w:val="00AE1FBE"/>
    <w:rsid w:val="00AE4991"/>
    <w:rsid w:val="00AE509B"/>
    <w:rsid w:val="00AE67A8"/>
    <w:rsid w:val="00AE6EC3"/>
    <w:rsid w:val="00AE734C"/>
    <w:rsid w:val="00AF0B66"/>
    <w:rsid w:val="00AF2C68"/>
    <w:rsid w:val="00AF3150"/>
    <w:rsid w:val="00AF46CF"/>
    <w:rsid w:val="00AF50DB"/>
    <w:rsid w:val="00AF553D"/>
    <w:rsid w:val="00AF6A6D"/>
    <w:rsid w:val="00AF6A81"/>
    <w:rsid w:val="00AF6FB1"/>
    <w:rsid w:val="00AF7D95"/>
    <w:rsid w:val="00B00030"/>
    <w:rsid w:val="00B01451"/>
    <w:rsid w:val="00B028E1"/>
    <w:rsid w:val="00B031F2"/>
    <w:rsid w:val="00B054CE"/>
    <w:rsid w:val="00B07760"/>
    <w:rsid w:val="00B1014D"/>
    <w:rsid w:val="00B1158D"/>
    <w:rsid w:val="00B11873"/>
    <w:rsid w:val="00B124C5"/>
    <w:rsid w:val="00B125AC"/>
    <w:rsid w:val="00B12603"/>
    <w:rsid w:val="00B12776"/>
    <w:rsid w:val="00B129E0"/>
    <w:rsid w:val="00B130D6"/>
    <w:rsid w:val="00B133F8"/>
    <w:rsid w:val="00B1422F"/>
    <w:rsid w:val="00B1466F"/>
    <w:rsid w:val="00B1670C"/>
    <w:rsid w:val="00B21040"/>
    <w:rsid w:val="00B21D72"/>
    <w:rsid w:val="00B21F9B"/>
    <w:rsid w:val="00B22163"/>
    <w:rsid w:val="00B23450"/>
    <w:rsid w:val="00B23BC4"/>
    <w:rsid w:val="00B30613"/>
    <w:rsid w:val="00B33010"/>
    <w:rsid w:val="00B330BA"/>
    <w:rsid w:val="00B34621"/>
    <w:rsid w:val="00B347C9"/>
    <w:rsid w:val="00B34F20"/>
    <w:rsid w:val="00B36B10"/>
    <w:rsid w:val="00B37957"/>
    <w:rsid w:val="00B4055C"/>
    <w:rsid w:val="00B42FAC"/>
    <w:rsid w:val="00B4332F"/>
    <w:rsid w:val="00B43F7F"/>
    <w:rsid w:val="00B469DC"/>
    <w:rsid w:val="00B47163"/>
    <w:rsid w:val="00B50CD3"/>
    <w:rsid w:val="00B51A46"/>
    <w:rsid w:val="00B53840"/>
    <w:rsid w:val="00B57558"/>
    <w:rsid w:val="00B60BF0"/>
    <w:rsid w:val="00B61813"/>
    <w:rsid w:val="00B62767"/>
    <w:rsid w:val="00B629D3"/>
    <w:rsid w:val="00B62B02"/>
    <w:rsid w:val="00B65A04"/>
    <w:rsid w:val="00B6604F"/>
    <w:rsid w:val="00B70601"/>
    <w:rsid w:val="00B71441"/>
    <w:rsid w:val="00B72139"/>
    <w:rsid w:val="00B73013"/>
    <w:rsid w:val="00B74228"/>
    <w:rsid w:val="00B7440C"/>
    <w:rsid w:val="00B74A1B"/>
    <w:rsid w:val="00B75A0B"/>
    <w:rsid w:val="00B75C54"/>
    <w:rsid w:val="00B75F63"/>
    <w:rsid w:val="00B7602B"/>
    <w:rsid w:val="00B7674F"/>
    <w:rsid w:val="00B77F06"/>
    <w:rsid w:val="00B80669"/>
    <w:rsid w:val="00B82C99"/>
    <w:rsid w:val="00B82D57"/>
    <w:rsid w:val="00B8373D"/>
    <w:rsid w:val="00B83BEA"/>
    <w:rsid w:val="00B83D03"/>
    <w:rsid w:val="00B84257"/>
    <w:rsid w:val="00B84F6F"/>
    <w:rsid w:val="00B8502E"/>
    <w:rsid w:val="00B85AA3"/>
    <w:rsid w:val="00B8712E"/>
    <w:rsid w:val="00B87184"/>
    <w:rsid w:val="00B921C6"/>
    <w:rsid w:val="00B9220F"/>
    <w:rsid w:val="00B9228E"/>
    <w:rsid w:val="00B928E7"/>
    <w:rsid w:val="00B93491"/>
    <w:rsid w:val="00B96B64"/>
    <w:rsid w:val="00B973EF"/>
    <w:rsid w:val="00B97A85"/>
    <w:rsid w:val="00BA054D"/>
    <w:rsid w:val="00BA2791"/>
    <w:rsid w:val="00BA3460"/>
    <w:rsid w:val="00BA4491"/>
    <w:rsid w:val="00BA54A7"/>
    <w:rsid w:val="00BB381D"/>
    <w:rsid w:val="00BB4311"/>
    <w:rsid w:val="00BB5D89"/>
    <w:rsid w:val="00BB6765"/>
    <w:rsid w:val="00BC20FB"/>
    <w:rsid w:val="00BC26B7"/>
    <w:rsid w:val="00BC2CB5"/>
    <w:rsid w:val="00BC2E84"/>
    <w:rsid w:val="00BC3D23"/>
    <w:rsid w:val="00BC58CB"/>
    <w:rsid w:val="00BC5D9D"/>
    <w:rsid w:val="00BD31FB"/>
    <w:rsid w:val="00BD3E8B"/>
    <w:rsid w:val="00BD4663"/>
    <w:rsid w:val="00BD4A34"/>
    <w:rsid w:val="00BD79CD"/>
    <w:rsid w:val="00BE16A6"/>
    <w:rsid w:val="00BE1836"/>
    <w:rsid w:val="00BE186D"/>
    <w:rsid w:val="00BE1A6A"/>
    <w:rsid w:val="00BE1ABE"/>
    <w:rsid w:val="00BE378A"/>
    <w:rsid w:val="00BE40ED"/>
    <w:rsid w:val="00BE4CCE"/>
    <w:rsid w:val="00BE4CF1"/>
    <w:rsid w:val="00BE5229"/>
    <w:rsid w:val="00BE547D"/>
    <w:rsid w:val="00BE55F1"/>
    <w:rsid w:val="00BE6A61"/>
    <w:rsid w:val="00BE71E9"/>
    <w:rsid w:val="00BE786E"/>
    <w:rsid w:val="00BE797A"/>
    <w:rsid w:val="00BE7E5C"/>
    <w:rsid w:val="00BF3371"/>
    <w:rsid w:val="00BF412B"/>
    <w:rsid w:val="00BF57DE"/>
    <w:rsid w:val="00BF71D4"/>
    <w:rsid w:val="00BF722F"/>
    <w:rsid w:val="00BF7F2A"/>
    <w:rsid w:val="00C0283D"/>
    <w:rsid w:val="00C0296E"/>
    <w:rsid w:val="00C02E6C"/>
    <w:rsid w:val="00C04D21"/>
    <w:rsid w:val="00C05307"/>
    <w:rsid w:val="00C0550D"/>
    <w:rsid w:val="00C05BE2"/>
    <w:rsid w:val="00C071C9"/>
    <w:rsid w:val="00C07799"/>
    <w:rsid w:val="00C10A12"/>
    <w:rsid w:val="00C10D06"/>
    <w:rsid w:val="00C10FAB"/>
    <w:rsid w:val="00C111B6"/>
    <w:rsid w:val="00C111D8"/>
    <w:rsid w:val="00C12134"/>
    <w:rsid w:val="00C12921"/>
    <w:rsid w:val="00C13F65"/>
    <w:rsid w:val="00C156D8"/>
    <w:rsid w:val="00C15F0D"/>
    <w:rsid w:val="00C16636"/>
    <w:rsid w:val="00C167E9"/>
    <w:rsid w:val="00C20078"/>
    <w:rsid w:val="00C202E2"/>
    <w:rsid w:val="00C22365"/>
    <w:rsid w:val="00C2378D"/>
    <w:rsid w:val="00C246F6"/>
    <w:rsid w:val="00C26360"/>
    <w:rsid w:val="00C26F3F"/>
    <w:rsid w:val="00C275FF"/>
    <w:rsid w:val="00C32E7C"/>
    <w:rsid w:val="00C34486"/>
    <w:rsid w:val="00C348CE"/>
    <w:rsid w:val="00C35A49"/>
    <w:rsid w:val="00C371A8"/>
    <w:rsid w:val="00C379A7"/>
    <w:rsid w:val="00C400BE"/>
    <w:rsid w:val="00C43638"/>
    <w:rsid w:val="00C43CEF"/>
    <w:rsid w:val="00C44116"/>
    <w:rsid w:val="00C506CE"/>
    <w:rsid w:val="00C50A87"/>
    <w:rsid w:val="00C51CE1"/>
    <w:rsid w:val="00C52E1B"/>
    <w:rsid w:val="00C53838"/>
    <w:rsid w:val="00C53E25"/>
    <w:rsid w:val="00C53FD0"/>
    <w:rsid w:val="00C5428D"/>
    <w:rsid w:val="00C56F7B"/>
    <w:rsid w:val="00C57BE5"/>
    <w:rsid w:val="00C6003C"/>
    <w:rsid w:val="00C609E3"/>
    <w:rsid w:val="00C60D3A"/>
    <w:rsid w:val="00C613F7"/>
    <w:rsid w:val="00C623F8"/>
    <w:rsid w:val="00C658C5"/>
    <w:rsid w:val="00C70067"/>
    <w:rsid w:val="00C70BBE"/>
    <w:rsid w:val="00C71AE1"/>
    <w:rsid w:val="00C71B5A"/>
    <w:rsid w:val="00C72B3F"/>
    <w:rsid w:val="00C730C5"/>
    <w:rsid w:val="00C73574"/>
    <w:rsid w:val="00C73E3D"/>
    <w:rsid w:val="00C74A26"/>
    <w:rsid w:val="00C74D67"/>
    <w:rsid w:val="00C751F6"/>
    <w:rsid w:val="00C7663C"/>
    <w:rsid w:val="00C77040"/>
    <w:rsid w:val="00C7730E"/>
    <w:rsid w:val="00C80D11"/>
    <w:rsid w:val="00C80D66"/>
    <w:rsid w:val="00C813B7"/>
    <w:rsid w:val="00C82E2D"/>
    <w:rsid w:val="00C8353F"/>
    <w:rsid w:val="00C838A6"/>
    <w:rsid w:val="00C84700"/>
    <w:rsid w:val="00C85603"/>
    <w:rsid w:val="00C86AF6"/>
    <w:rsid w:val="00C86B19"/>
    <w:rsid w:val="00C87121"/>
    <w:rsid w:val="00C901DE"/>
    <w:rsid w:val="00C902B3"/>
    <w:rsid w:val="00C9036B"/>
    <w:rsid w:val="00C91C58"/>
    <w:rsid w:val="00C92CE6"/>
    <w:rsid w:val="00C9302A"/>
    <w:rsid w:val="00C93556"/>
    <w:rsid w:val="00C93881"/>
    <w:rsid w:val="00C93D38"/>
    <w:rsid w:val="00C958FD"/>
    <w:rsid w:val="00C95A1D"/>
    <w:rsid w:val="00C960AB"/>
    <w:rsid w:val="00CA096A"/>
    <w:rsid w:val="00CA57AE"/>
    <w:rsid w:val="00CB26F5"/>
    <w:rsid w:val="00CB3527"/>
    <w:rsid w:val="00CB58B7"/>
    <w:rsid w:val="00CB61CD"/>
    <w:rsid w:val="00CB74CB"/>
    <w:rsid w:val="00CC0062"/>
    <w:rsid w:val="00CC0F6C"/>
    <w:rsid w:val="00CC7A5C"/>
    <w:rsid w:val="00CD0480"/>
    <w:rsid w:val="00CD1AD7"/>
    <w:rsid w:val="00CD25C7"/>
    <w:rsid w:val="00CD52BB"/>
    <w:rsid w:val="00CD72CE"/>
    <w:rsid w:val="00CD7378"/>
    <w:rsid w:val="00CD7D2F"/>
    <w:rsid w:val="00CE216B"/>
    <w:rsid w:val="00CE283F"/>
    <w:rsid w:val="00CE309D"/>
    <w:rsid w:val="00CF0A90"/>
    <w:rsid w:val="00CF2428"/>
    <w:rsid w:val="00CF2A93"/>
    <w:rsid w:val="00CF6F19"/>
    <w:rsid w:val="00D01F86"/>
    <w:rsid w:val="00D02DAB"/>
    <w:rsid w:val="00D04677"/>
    <w:rsid w:val="00D04EA3"/>
    <w:rsid w:val="00D056CC"/>
    <w:rsid w:val="00D0643E"/>
    <w:rsid w:val="00D06D6C"/>
    <w:rsid w:val="00D07016"/>
    <w:rsid w:val="00D12793"/>
    <w:rsid w:val="00D13BED"/>
    <w:rsid w:val="00D15D34"/>
    <w:rsid w:val="00D173BC"/>
    <w:rsid w:val="00D22022"/>
    <w:rsid w:val="00D2263D"/>
    <w:rsid w:val="00D23D67"/>
    <w:rsid w:val="00D25072"/>
    <w:rsid w:val="00D25633"/>
    <w:rsid w:val="00D27D04"/>
    <w:rsid w:val="00D27DF6"/>
    <w:rsid w:val="00D31097"/>
    <w:rsid w:val="00D314FB"/>
    <w:rsid w:val="00D317A7"/>
    <w:rsid w:val="00D32332"/>
    <w:rsid w:val="00D32E1F"/>
    <w:rsid w:val="00D33A60"/>
    <w:rsid w:val="00D33C57"/>
    <w:rsid w:val="00D34910"/>
    <w:rsid w:val="00D364EE"/>
    <w:rsid w:val="00D422E0"/>
    <w:rsid w:val="00D47F30"/>
    <w:rsid w:val="00D506A9"/>
    <w:rsid w:val="00D5190F"/>
    <w:rsid w:val="00D51F5F"/>
    <w:rsid w:val="00D53DA7"/>
    <w:rsid w:val="00D5486C"/>
    <w:rsid w:val="00D553D4"/>
    <w:rsid w:val="00D55E69"/>
    <w:rsid w:val="00D562ED"/>
    <w:rsid w:val="00D56751"/>
    <w:rsid w:val="00D61299"/>
    <w:rsid w:val="00D635F5"/>
    <w:rsid w:val="00D63D1B"/>
    <w:rsid w:val="00D64271"/>
    <w:rsid w:val="00D6430C"/>
    <w:rsid w:val="00D64EC1"/>
    <w:rsid w:val="00D6537E"/>
    <w:rsid w:val="00D65A82"/>
    <w:rsid w:val="00D6601F"/>
    <w:rsid w:val="00D66243"/>
    <w:rsid w:val="00D67680"/>
    <w:rsid w:val="00D70268"/>
    <w:rsid w:val="00D7105F"/>
    <w:rsid w:val="00D721B0"/>
    <w:rsid w:val="00D738FE"/>
    <w:rsid w:val="00D75ACC"/>
    <w:rsid w:val="00D77DC0"/>
    <w:rsid w:val="00D77F62"/>
    <w:rsid w:val="00D80A97"/>
    <w:rsid w:val="00D85376"/>
    <w:rsid w:val="00D853F7"/>
    <w:rsid w:val="00D858A9"/>
    <w:rsid w:val="00D863AA"/>
    <w:rsid w:val="00D90F8B"/>
    <w:rsid w:val="00D91B7A"/>
    <w:rsid w:val="00D935C2"/>
    <w:rsid w:val="00D94088"/>
    <w:rsid w:val="00D9408F"/>
    <w:rsid w:val="00D974EE"/>
    <w:rsid w:val="00DA0032"/>
    <w:rsid w:val="00DA1C94"/>
    <w:rsid w:val="00DA2348"/>
    <w:rsid w:val="00DA7551"/>
    <w:rsid w:val="00DA767B"/>
    <w:rsid w:val="00DA7A16"/>
    <w:rsid w:val="00DB28F8"/>
    <w:rsid w:val="00DB2BBA"/>
    <w:rsid w:val="00DB486B"/>
    <w:rsid w:val="00DB590E"/>
    <w:rsid w:val="00DC10A1"/>
    <w:rsid w:val="00DC14A7"/>
    <w:rsid w:val="00DC3E94"/>
    <w:rsid w:val="00DC655F"/>
    <w:rsid w:val="00DC69D9"/>
    <w:rsid w:val="00DC6B82"/>
    <w:rsid w:val="00DC734D"/>
    <w:rsid w:val="00DC79F0"/>
    <w:rsid w:val="00DD0B85"/>
    <w:rsid w:val="00DD0CE6"/>
    <w:rsid w:val="00DD1288"/>
    <w:rsid w:val="00DD1441"/>
    <w:rsid w:val="00DD1E54"/>
    <w:rsid w:val="00DD1F66"/>
    <w:rsid w:val="00DD257F"/>
    <w:rsid w:val="00DD27ED"/>
    <w:rsid w:val="00DD409B"/>
    <w:rsid w:val="00DD653A"/>
    <w:rsid w:val="00DD6977"/>
    <w:rsid w:val="00DD6D79"/>
    <w:rsid w:val="00DE35E4"/>
    <w:rsid w:val="00DE4140"/>
    <w:rsid w:val="00DE4F57"/>
    <w:rsid w:val="00DE50C3"/>
    <w:rsid w:val="00DE64C2"/>
    <w:rsid w:val="00DE75C1"/>
    <w:rsid w:val="00DF0C33"/>
    <w:rsid w:val="00DF1739"/>
    <w:rsid w:val="00DF2FC0"/>
    <w:rsid w:val="00DF3CDD"/>
    <w:rsid w:val="00DF4C87"/>
    <w:rsid w:val="00DF5466"/>
    <w:rsid w:val="00DF5BC8"/>
    <w:rsid w:val="00DF65D3"/>
    <w:rsid w:val="00E00910"/>
    <w:rsid w:val="00E01BD7"/>
    <w:rsid w:val="00E02674"/>
    <w:rsid w:val="00E02F44"/>
    <w:rsid w:val="00E03261"/>
    <w:rsid w:val="00E0731D"/>
    <w:rsid w:val="00E076B3"/>
    <w:rsid w:val="00E11015"/>
    <w:rsid w:val="00E12C3C"/>
    <w:rsid w:val="00E16BB0"/>
    <w:rsid w:val="00E172F8"/>
    <w:rsid w:val="00E20813"/>
    <w:rsid w:val="00E219AE"/>
    <w:rsid w:val="00E21FCC"/>
    <w:rsid w:val="00E24611"/>
    <w:rsid w:val="00E25A07"/>
    <w:rsid w:val="00E26564"/>
    <w:rsid w:val="00E33861"/>
    <w:rsid w:val="00E33B28"/>
    <w:rsid w:val="00E34D44"/>
    <w:rsid w:val="00E375A7"/>
    <w:rsid w:val="00E37832"/>
    <w:rsid w:val="00E40975"/>
    <w:rsid w:val="00E41C9E"/>
    <w:rsid w:val="00E41CD8"/>
    <w:rsid w:val="00E43155"/>
    <w:rsid w:val="00E43F85"/>
    <w:rsid w:val="00E46B2B"/>
    <w:rsid w:val="00E513E0"/>
    <w:rsid w:val="00E51C59"/>
    <w:rsid w:val="00E52010"/>
    <w:rsid w:val="00E52A17"/>
    <w:rsid w:val="00E5518D"/>
    <w:rsid w:val="00E562CB"/>
    <w:rsid w:val="00E60D2D"/>
    <w:rsid w:val="00E60F57"/>
    <w:rsid w:val="00E610E1"/>
    <w:rsid w:val="00E62C9F"/>
    <w:rsid w:val="00E6404E"/>
    <w:rsid w:val="00E6524C"/>
    <w:rsid w:val="00E65FF6"/>
    <w:rsid w:val="00E6606E"/>
    <w:rsid w:val="00E679D5"/>
    <w:rsid w:val="00E70111"/>
    <w:rsid w:val="00E7044D"/>
    <w:rsid w:val="00E72255"/>
    <w:rsid w:val="00E7289E"/>
    <w:rsid w:val="00E7390B"/>
    <w:rsid w:val="00E75749"/>
    <w:rsid w:val="00E77FED"/>
    <w:rsid w:val="00E80D11"/>
    <w:rsid w:val="00E841CC"/>
    <w:rsid w:val="00E85720"/>
    <w:rsid w:val="00E8748C"/>
    <w:rsid w:val="00E915CB"/>
    <w:rsid w:val="00E9359C"/>
    <w:rsid w:val="00E945A2"/>
    <w:rsid w:val="00E9530D"/>
    <w:rsid w:val="00E956A2"/>
    <w:rsid w:val="00EA0DB4"/>
    <w:rsid w:val="00EA253F"/>
    <w:rsid w:val="00EA26F6"/>
    <w:rsid w:val="00EA2B80"/>
    <w:rsid w:val="00EA3D1A"/>
    <w:rsid w:val="00EA6468"/>
    <w:rsid w:val="00EA7C36"/>
    <w:rsid w:val="00EB0FD2"/>
    <w:rsid w:val="00EB10F9"/>
    <w:rsid w:val="00EB3E49"/>
    <w:rsid w:val="00EB4AFC"/>
    <w:rsid w:val="00EC00B3"/>
    <w:rsid w:val="00EC01D1"/>
    <w:rsid w:val="00EC1493"/>
    <w:rsid w:val="00EC7538"/>
    <w:rsid w:val="00ED0BA9"/>
    <w:rsid w:val="00ED18E4"/>
    <w:rsid w:val="00ED7B17"/>
    <w:rsid w:val="00EE0044"/>
    <w:rsid w:val="00EE1106"/>
    <w:rsid w:val="00EE2A80"/>
    <w:rsid w:val="00EE3A35"/>
    <w:rsid w:val="00EE75C0"/>
    <w:rsid w:val="00EF2C79"/>
    <w:rsid w:val="00EF335D"/>
    <w:rsid w:val="00EF39EA"/>
    <w:rsid w:val="00EF40B1"/>
    <w:rsid w:val="00EF55B2"/>
    <w:rsid w:val="00EF7D36"/>
    <w:rsid w:val="00F024F3"/>
    <w:rsid w:val="00F031F2"/>
    <w:rsid w:val="00F03B42"/>
    <w:rsid w:val="00F04843"/>
    <w:rsid w:val="00F05AE3"/>
    <w:rsid w:val="00F06643"/>
    <w:rsid w:val="00F07424"/>
    <w:rsid w:val="00F07DC5"/>
    <w:rsid w:val="00F104A4"/>
    <w:rsid w:val="00F10BFA"/>
    <w:rsid w:val="00F12A82"/>
    <w:rsid w:val="00F15967"/>
    <w:rsid w:val="00F16C8B"/>
    <w:rsid w:val="00F209CE"/>
    <w:rsid w:val="00F25EE2"/>
    <w:rsid w:val="00F27115"/>
    <w:rsid w:val="00F27404"/>
    <w:rsid w:val="00F27546"/>
    <w:rsid w:val="00F30553"/>
    <w:rsid w:val="00F3104A"/>
    <w:rsid w:val="00F31BF1"/>
    <w:rsid w:val="00F3253A"/>
    <w:rsid w:val="00F33981"/>
    <w:rsid w:val="00F36301"/>
    <w:rsid w:val="00F36352"/>
    <w:rsid w:val="00F37068"/>
    <w:rsid w:val="00F37178"/>
    <w:rsid w:val="00F42F25"/>
    <w:rsid w:val="00F44545"/>
    <w:rsid w:val="00F46174"/>
    <w:rsid w:val="00F47D22"/>
    <w:rsid w:val="00F50E84"/>
    <w:rsid w:val="00F53883"/>
    <w:rsid w:val="00F57471"/>
    <w:rsid w:val="00F60645"/>
    <w:rsid w:val="00F61CE1"/>
    <w:rsid w:val="00F631E4"/>
    <w:rsid w:val="00F63B5C"/>
    <w:rsid w:val="00F64A28"/>
    <w:rsid w:val="00F6661A"/>
    <w:rsid w:val="00F673FD"/>
    <w:rsid w:val="00F6749D"/>
    <w:rsid w:val="00F71098"/>
    <w:rsid w:val="00F71776"/>
    <w:rsid w:val="00F71C13"/>
    <w:rsid w:val="00F71FFB"/>
    <w:rsid w:val="00F720BF"/>
    <w:rsid w:val="00F72B25"/>
    <w:rsid w:val="00F72D56"/>
    <w:rsid w:val="00F74927"/>
    <w:rsid w:val="00F749FA"/>
    <w:rsid w:val="00F7503B"/>
    <w:rsid w:val="00F769EB"/>
    <w:rsid w:val="00F8083B"/>
    <w:rsid w:val="00F84AB0"/>
    <w:rsid w:val="00F8685D"/>
    <w:rsid w:val="00F86E4B"/>
    <w:rsid w:val="00F879F3"/>
    <w:rsid w:val="00F90462"/>
    <w:rsid w:val="00F91804"/>
    <w:rsid w:val="00F91F60"/>
    <w:rsid w:val="00F94D8A"/>
    <w:rsid w:val="00F94ED4"/>
    <w:rsid w:val="00F97C1E"/>
    <w:rsid w:val="00FA4A67"/>
    <w:rsid w:val="00FA6AB5"/>
    <w:rsid w:val="00FA7BC6"/>
    <w:rsid w:val="00FB01BD"/>
    <w:rsid w:val="00FB4185"/>
    <w:rsid w:val="00FB53F2"/>
    <w:rsid w:val="00FB7AEC"/>
    <w:rsid w:val="00FC024A"/>
    <w:rsid w:val="00FC07E3"/>
    <w:rsid w:val="00FC1439"/>
    <w:rsid w:val="00FC27A4"/>
    <w:rsid w:val="00FC351A"/>
    <w:rsid w:val="00FC4B0A"/>
    <w:rsid w:val="00FC61D4"/>
    <w:rsid w:val="00FC6DAE"/>
    <w:rsid w:val="00FC7698"/>
    <w:rsid w:val="00FD101A"/>
    <w:rsid w:val="00FD2606"/>
    <w:rsid w:val="00FD2F5C"/>
    <w:rsid w:val="00FD30EA"/>
    <w:rsid w:val="00FD4658"/>
    <w:rsid w:val="00FD5078"/>
    <w:rsid w:val="00FD645C"/>
    <w:rsid w:val="00FD646B"/>
    <w:rsid w:val="00FD69E3"/>
    <w:rsid w:val="00FD7AF6"/>
    <w:rsid w:val="00FD7D0D"/>
    <w:rsid w:val="00FE1A97"/>
    <w:rsid w:val="00FE2FDC"/>
    <w:rsid w:val="00FE3771"/>
    <w:rsid w:val="00FE4D91"/>
    <w:rsid w:val="00FE5ACD"/>
    <w:rsid w:val="00FE5C62"/>
    <w:rsid w:val="00FE6128"/>
    <w:rsid w:val="00FF0589"/>
    <w:rsid w:val="00FF0DD2"/>
    <w:rsid w:val="00FF22B3"/>
    <w:rsid w:val="00FF318E"/>
    <w:rsid w:val="00FF3580"/>
    <w:rsid w:val="00FF3BC4"/>
    <w:rsid w:val="00FF3BF4"/>
    <w:rsid w:val="00FF6436"/>
    <w:rsid w:val="00FF6648"/>
    <w:rsid w:val="00FF6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4A"/>
    <w:rPr>
      <w:sz w:val="24"/>
      <w:szCs w:val="24"/>
    </w:rPr>
  </w:style>
  <w:style w:type="paragraph" w:styleId="1">
    <w:name w:val="heading 1"/>
    <w:basedOn w:val="a"/>
    <w:next w:val="a"/>
    <w:qFormat/>
    <w:rsid w:val="003C6E4A"/>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C6E4A"/>
    <w:pPr>
      <w:jc w:val="center"/>
    </w:pPr>
    <w:rPr>
      <w:sz w:val="28"/>
      <w:lang w:val="uk-UA"/>
    </w:rPr>
  </w:style>
  <w:style w:type="paragraph" w:styleId="a4">
    <w:name w:val="Body Text"/>
    <w:basedOn w:val="a"/>
    <w:link w:val="a5"/>
    <w:semiHidden/>
    <w:rsid w:val="003C6E4A"/>
    <w:pPr>
      <w:jc w:val="both"/>
    </w:pPr>
    <w:rPr>
      <w:sz w:val="28"/>
      <w:lang w:val="uk-UA"/>
    </w:rPr>
  </w:style>
  <w:style w:type="paragraph" w:styleId="2">
    <w:name w:val="Body Text Indent 2"/>
    <w:basedOn w:val="a"/>
    <w:link w:val="20"/>
    <w:unhideWhenUsed/>
    <w:rsid w:val="000A364F"/>
    <w:pPr>
      <w:spacing w:after="120" w:line="480" w:lineRule="auto"/>
      <w:ind w:left="283"/>
    </w:pPr>
  </w:style>
  <w:style w:type="character" w:customStyle="1" w:styleId="20">
    <w:name w:val="Основной текст с отступом 2 Знак"/>
    <w:basedOn w:val="a0"/>
    <w:link w:val="2"/>
    <w:rsid w:val="000A364F"/>
    <w:rPr>
      <w:sz w:val="24"/>
      <w:szCs w:val="24"/>
    </w:rPr>
  </w:style>
  <w:style w:type="paragraph" w:styleId="a6">
    <w:name w:val="Body Text Indent"/>
    <w:basedOn w:val="a"/>
    <w:link w:val="a7"/>
    <w:unhideWhenUsed/>
    <w:rsid w:val="00666645"/>
    <w:pPr>
      <w:spacing w:after="120"/>
      <w:ind w:left="283"/>
    </w:pPr>
  </w:style>
  <w:style w:type="character" w:customStyle="1" w:styleId="a7">
    <w:name w:val="Основной текст с отступом Знак"/>
    <w:basedOn w:val="a0"/>
    <w:link w:val="a6"/>
    <w:rsid w:val="00666645"/>
    <w:rPr>
      <w:sz w:val="24"/>
      <w:szCs w:val="24"/>
    </w:rPr>
  </w:style>
  <w:style w:type="paragraph" w:styleId="a8">
    <w:name w:val="Balloon Text"/>
    <w:basedOn w:val="a"/>
    <w:semiHidden/>
    <w:rsid w:val="00A01C5D"/>
    <w:rPr>
      <w:rFonts w:ascii="Tahoma" w:hAnsi="Tahoma" w:cs="Tahoma"/>
      <w:sz w:val="16"/>
      <w:szCs w:val="16"/>
    </w:rPr>
  </w:style>
  <w:style w:type="paragraph" w:styleId="a9">
    <w:name w:val="header"/>
    <w:basedOn w:val="a"/>
    <w:rsid w:val="00E02F44"/>
    <w:pPr>
      <w:tabs>
        <w:tab w:val="center" w:pos="4677"/>
        <w:tab w:val="right" w:pos="9355"/>
      </w:tabs>
    </w:pPr>
  </w:style>
  <w:style w:type="character" w:styleId="aa">
    <w:name w:val="page number"/>
    <w:basedOn w:val="a0"/>
    <w:rsid w:val="00E02F44"/>
  </w:style>
  <w:style w:type="paragraph" w:styleId="ab">
    <w:name w:val="footer"/>
    <w:basedOn w:val="a"/>
    <w:rsid w:val="00142DF8"/>
    <w:pPr>
      <w:tabs>
        <w:tab w:val="center" w:pos="4677"/>
        <w:tab w:val="right" w:pos="9355"/>
      </w:tabs>
    </w:pPr>
  </w:style>
  <w:style w:type="character" w:customStyle="1" w:styleId="a5">
    <w:name w:val="Основной текст Знак"/>
    <w:basedOn w:val="a0"/>
    <w:link w:val="a4"/>
    <w:semiHidden/>
    <w:rsid w:val="00EB3E49"/>
    <w:rPr>
      <w:sz w:val="28"/>
      <w:szCs w:val="24"/>
      <w:lang w:eastAsia="ru-RU"/>
    </w:rPr>
  </w:style>
  <w:style w:type="paragraph" w:styleId="ac">
    <w:name w:val="Normal (Web)"/>
    <w:basedOn w:val="a"/>
    <w:uiPriority w:val="99"/>
    <w:unhideWhenUsed/>
    <w:rsid w:val="00360C75"/>
    <w:pPr>
      <w:spacing w:before="100" w:beforeAutospacing="1" w:after="100" w:afterAutospacing="1"/>
    </w:pPr>
  </w:style>
  <w:style w:type="paragraph" w:customStyle="1" w:styleId="justifyfull">
    <w:name w:val="justifyfull"/>
    <w:basedOn w:val="a"/>
    <w:uiPriority w:val="99"/>
    <w:rsid w:val="00D5486C"/>
    <w:pPr>
      <w:spacing w:before="100" w:beforeAutospacing="1" w:after="100" w:afterAutospacing="1"/>
    </w:pPr>
  </w:style>
  <w:style w:type="paragraph" w:customStyle="1" w:styleId="21">
    <w:name w:val="Основной текст 21"/>
    <w:basedOn w:val="a"/>
    <w:rsid w:val="00D5486C"/>
    <w:pPr>
      <w:suppressAutoHyphens/>
      <w:spacing w:after="120" w:line="480" w:lineRule="auto"/>
    </w:pPr>
    <w:rPr>
      <w:kern w:val="2"/>
      <w:sz w:val="20"/>
      <w:szCs w:val="20"/>
      <w:lang w:val="uk-UA" w:eastAsia="ar-SA"/>
    </w:rPr>
  </w:style>
  <w:style w:type="paragraph" w:styleId="ad">
    <w:name w:val="List Paragraph"/>
    <w:basedOn w:val="a"/>
    <w:uiPriority w:val="34"/>
    <w:qFormat/>
    <w:rsid w:val="00D548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3">
    <w:name w:val="Основной текст 213"/>
    <w:basedOn w:val="a"/>
    <w:uiPriority w:val="99"/>
    <w:rsid w:val="00612A5A"/>
    <w:pPr>
      <w:suppressAutoHyphens/>
      <w:spacing w:after="120" w:line="480" w:lineRule="auto"/>
    </w:pPr>
    <w:rPr>
      <w:kern w:val="2"/>
      <w:sz w:val="20"/>
      <w:szCs w:val="20"/>
      <w:lang w:val="uk-UA" w:eastAsia="ar-SA"/>
    </w:rPr>
  </w:style>
  <w:style w:type="paragraph" w:customStyle="1" w:styleId="25">
    <w:name w:val="Основной текст 25"/>
    <w:basedOn w:val="a"/>
    <w:uiPriority w:val="99"/>
    <w:rsid w:val="00F64A28"/>
    <w:pPr>
      <w:suppressAutoHyphens/>
      <w:spacing w:after="120" w:line="480" w:lineRule="auto"/>
    </w:pPr>
    <w:rPr>
      <w:kern w:val="2"/>
      <w:sz w:val="20"/>
      <w:szCs w:val="20"/>
      <w:lang w:val="uk-UA" w:eastAsia="ar-SA"/>
    </w:rPr>
  </w:style>
  <w:style w:type="paragraph" w:customStyle="1" w:styleId="27">
    <w:name w:val="Основной текст 27"/>
    <w:basedOn w:val="a"/>
    <w:uiPriority w:val="99"/>
    <w:rsid w:val="00F64A28"/>
    <w:pPr>
      <w:suppressAutoHyphens/>
      <w:spacing w:after="120" w:line="480" w:lineRule="auto"/>
    </w:pPr>
    <w:rPr>
      <w:kern w:val="2"/>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236476110">
      <w:bodyDiv w:val="1"/>
      <w:marLeft w:val="0"/>
      <w:marRight w:val="0"/>
      <w:marTop w:val="0"/>
      <w:marBottom w:val="0"/>
      <w:divBdr>
        <w:top w:val="none" w:sz="0" w:space="0" w:color="auto"/>
        <w:left w:val="none" w:sz="0" w:space="0" w:color="auto"/>
        <w:bottom w:val="none" w:sz="0" w:space="0" w:color="auto"/>
        <w:right w:val="none" w:sz="0" w:space="0" w:color="auto"/>
      </w:divBdr>
    </w:div>
    <w:div w:id="321661957">
      <w:bodyDiv w:val="1"/>
      <w:marLeft w:val="0"/>
      <w:marRight w:val="0"/>
      <w:marTop w:val="0"/>
      <w:marBottom w:val="0"/>
      <w:divBdr>
        <w:top w:val="none" w:sz="0" w:space="0" w:color="auto"/>
        <w:left w:val="none" w:sz="0" w:space="0" w:color="auto"/>
        <w:bottom w:val="none" w:sz="0" w:space="0" w:color="auto"/>
        <w:right w:val="none" w:sz="0" w:space="0" w:color="auto"/>
      </w:divBdr>
    </w:div>
    <w:div w:id="815143326">
      <w:bodyDiv w:val="1"/>
      <w:marLeft w:val="0"/>
      <w:marRight w:val="0"/>
      <w:marTop w:val="0"/>
      <w:marBottom w:val="0"/>
      <w:divBdr>
        <w:top w:val="none" w:sz="0" w:space="0" w:color="auto"/>
        <w:left w:val="none" w:sz="0" w:space="0" w:color="auto"/>
        <w:bottom w:val="none" w:sz="0" w:space="0" w:color="auto"/>
        <w:right w:val="none" w:sz="0" w:space="0" w:color="auto"/>
      </w:divBdr>
    </w:div>
    <w:div w:id="1383480566">
      <w:bodyDiv w:val="1"/>
      <w:marLeft w:val="0"/>
      <w:marRight w:val="0"/>
      <w:marTop w:val="0"/>
      <w:marBottom w:val="0"/>
      <w:divBdr>
        <w:top w:val="none" w:sz="0" w:space="0" w:color="auto"/>
        <w:left w:val="none" w:sz="0" w:space="0" w:color="auto"/>
        <w:bottom w:val="none" w:sz="0" w:space="0" w:color="auto"/>
        <w:right w:val="none" w:sz="0" w:space="0" w:color="auto"/>
      </w:divBdr>
    </w:div>
    <w:div w:id="1545562070">
      <w:bodyDiv w:val="1"/>
      <w:marLeft w:val="0"/>
      <w:marRight w:val="0"/>
      <w:marTop w:val="0"/>
      <w:marBottom w:val="0"/>
      <w:divBdr>
        <w:top w:val="none" w:sz="0" w:space="0" w:color="auto"/>
        <w:left w:val="none" w:sz="0" w:space="0" w:color="auto"/>
        <w:bottom w:val="none" w:sz="0" w:space="0" w:color="auto"/>
        <w:right w:val="none" w:sz="0" w:space="0" w:color="auto"/>
      </w:divBdr>
    </w:div>
    <w:div w:id="18984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1057;&#1077;&#1090;&#1077;&#1074;&#1072;&#1103;\&#1048;.&#1053;\&#1048;&#1088;&#1080;&#1085;&#1072;\&#1056;&#1030;&#1064;,%20&#1044;&#1054;&#1042;&#1030;&#1044;&#1050;&#1048;%20&#1087;&#1088;&#1086;%20&#1074;&#1080;&#1082;&#1086;&#1085;%20&#1073;&#1102;&#1076;&#1078;&#1077;&#1090;&#1091;,%20&#1084;&#1072;&#1090;&#1077;&#1088;&#1110;&#1072;&#1083;&#1080;%20&#1085;&#1072;%20&#1085;&#1072;&#1088;&#1072;&#1076;&#1080;%20&#1090;&#1072;%20&#1082;&#1086;&#1083;&#1077;&#1075;&#1110;&#1111;\2020\&#1076;&#1110;&#1072;&#1075;&#1088;&#1072;&#1084;&#1080;%20&#1089;&#1090;&#1072;&#1085;&#1086;&#1084;%20&#1085;&#1072;%2001.04.2020\&#1089;&#1090;&#1088;&#1091;&#1082;&#1090;&#1091;&#1088;&#1072;%20&#1076;&#1086;&#1093;&#1086;&#1076;&#1110;&#1074;%20&#1047;&#1060;%20&#1090;&#1072;%20&#1057;&#1060;%2001.04.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7;&#1077;&#1090;&#1077;&#1074;&#1072;&#1103;\&#1048;.&#1053;\&#1048;&#1088;&#1080;&#1085;&#1072;\&#1056;&#1030;&#1064;,%20&#1044;&#1054;&#1042;&#1030;&#1044;&#1050;&#1048;%20&#1087;&#1088;&#1086;%20&#1074;&#1080;&#1082;&#1086;&#1085;%20&#1073;&#1102;&#1076;&#1078;&#1077;&#1090;&#1091;,%20&#1084;&#1072;&#1090;&#1077;&#1088;&#1110;&#1072;&#1083;&#1080;%20&#1085;&#1072;%20&#1085;&#1072;&#1088;&#1072;&#1076;&#1080;%20&#1090;&#1072;%20&#1082;&#1086;&#1083;&#1077;&#1075;&#1110;&#1111;\2020\&#1076;&#1110;&#1072;&#1075;&#1088;&#1072;&#1084;&#1080;%20&#1089;&#1090;&#1072;&#1085;&#1086;&#1084;%20&#1085;&#1072;%2001.04.2020\&#1089;&#1090;&#1088;&#1091;&#1082;&#1090;&#1091;&#1088;&#1072;%20&#1076;&#1086;&#1093;&#1086;&#1076;&#1110;&#1074;%20&#1047;&#1060;%20&#1090;&#1072;%20&#1057;&#1060;%2001.04.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ser\Desktop\2020\&#1040;&#1085;&#1072;&#1083;&#1080;&#1079;\1%20&#1082;&#1074;&#1072;&#1088;&#1090;&#1072;&#1083;\&#1044;&#1110;&#1072;&#1075;&#1088;&#1072;&#1084;&#1080;%20%201%20&#1082;&#1074;&#1072;&#1088;&#1090;&#1072;&#1083;%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доходів загального фонду бюджету за</a:t>
            </a:r>
            <a:r>
              <a:rPr lang="en-US" sz="1400">
                <a:latin typeface="Times New Roman" pitchFamily="18" charset="0"/>
                <a:cs typeface="Times New Roman" pitchFamily="18" charset="0"/>
              </a:rPr>
              <a:t> 1 кв</a:t>
            </a:r>
            <a:r>
              <a:rPr lang="uk-UA" sz="1400">
                <a:latin typeface="Times New Roman" pitchFamily="18" charset="0"/>
                <a:cs typeface="Times New Roman" pitchFamily="18" charset="0"/>
              </a:rPr>
              <a:t>артал</a:t>
            </a:r>
            <a:r>
              <a:rPr lang="ru-RU" sz="1400">
                <a:latin typeface="Times New Roman" pitchFamily="18" charset="0"/>
                <a:cs typeface="Times New Roman" pitchFamily="18" charset="0"/>
              </a:rPr>
              <a:t> 20</a:t>
            </a:r>
            <a:r>
              <a:rPr lang="en-US" sz="1400">
                <a:latin typeface="Times New Roman" pitchFamily="18" charset="0"/>
                <a:cs typeface="Times New Roman" pitchFamily="18" charset="0"/>
              </a:rPr>
              <a:t>20</a:t>
            </a:r>
            <a:r>
              <a:rPr lang="ru-RU" sz="1400">
                <a:latin typeface="Times New Roman" pitchFamily="18" charset="0"/>
                <a:cs typeface="Times New Roman" pitchFamily="18" charset="0"/>
              </a:rPr>
              <a:t> </a:t>
            </a:r>
            <a:r>
              <a:rPr lang="en-US" sz="1400">
                <a:latin typeface="Times New Roman" pitchFamily="18" charset="0"/>
                <a:cs typeface="Times New Roman" pitchFamily="18" charset="0"/>
              </a:rPr>
              <a:t>року</a:t>
            </a:r>
            <a:endParaRPr lang="ru-RU" sz="1400">
              <a:latin typeface="Times New Roman" pitchFamily="18" charset="0"/>
              <a:cs typeface="Times New Roman" pitchFamily="18" charset="0"/>
            </a:endParaRPr>
          </a:p>
        </c:rich>
      </c:tx>
      <c:layout/>
    </c:title>
    <c:plotArea>
      <c:layout>
        <c:manualLayout>
          <c:layoutTarget val="inner"/>
          <c:xMode val="edge"/>
          <c:yMode val="edge"/>
          <c:x val="0.17972306867214369"/>
          <c:y val="0.25887012921461788"/>
          <c:w val="0.47726010254910084"/>
          <c:h val="0.74112987078538328"/>
        </c:manualLayout>
      </c:layout>
      <c:doughnutChart>
        <c:varyColors val="1"/>
        <c:ser>
          <c:idx val="0"/>
          <c:order val="0"/>
          <c:tx>
            <c:strRef>
              <c:f>'Структура ЗФ за 2020'!$C$3</c:f>
              <c:strCache>
                <c:ptCount val="1"/>
                <c:pt idx="0">
                  <c:v>Структура загального фонду за 1кв. 2020 року</c:v>
                </c:pt>
              </c:strCache>
            </c:strRef>
          </c:tx>
          <c:spPr>
            <a:ln>
              <a:noFill/>
            </a:ln>
          </c:spPr>
          <c:explosion val="7"/>
          <c:dPt>
            <c:idx val="0"/>
            <c:explosion val="8"/>
          </c:dPt>
          <c:dPt>
            <c:idx val="1"/>
            <c:explosion val="11"/>
          </c:dPt>
          <c:dPt>
            <c:idx val="2"/>
            <c:explosion val="25"/>
          </c:dPt>
          <c:dPt>
            <c:idx val="3"/>
            <c:explosion val="19"/>
          </c:dPt>
          <c:dPt>
            <c:idx val="4"/>
            <c:explosion val="21"/>
          </c:dPt>
          <c:dPt>
            <c:idx val="5"/>
            <c:explosion val="24"/>
          </c:dPt>
          <c:dLbls>
            <c:dLbl>
              <c:idx val="0"/>
              <c:layout>
                <c:manualLayout>
                  <c:x val="-0.23278966833691242"/>
                  <c:y val="4.6425753072256687E-2"/>
                </c:manualLayout>
              </c:layout>
              <c:tx>
                <c:rich>
                  <a:bodyPr/>
                  <a:lstStyle/>
                  <a:p>
                    <a:r>
                      <a:rPr lang="ru-RU" sz="1200">
                        <a:latin typeface="Times New Roman" pitchFamily="18" charset="0"/>
                        <a:cs typeface="Times New Roman" pitchFamily="18" charset="0"/>
                      </a:rPr>
                      <a:t>Податок на доходи фізичних осіб
</a:t>
                    </a:r>
                    <a:r>
                      <a:rPr lang="en-US" sz="1200">
                        <a:latin typeface="Times New Roman" pitchFamily="18" charset="0"/>
                        <a:cs typeface="Times New Roman" pitchFamily="18" charset="0"/>
                      </a:rPr>
                      <a:t>893,2</a:t>
                    </a:r>
                    <a:r>
                      <a:rPr lang="ru-RU" sz="1200">
                        <a:latin typeface="Times New Roman" pitchFamily="18" charset="0"/>
                        <a:cs typeface="Times New Roman" pitchFamily="18" charset="0"/>
                      </a:rPr>
                      <a:t> млн.грн.
6</a:t>
                    </a:r>
                    <a:r>
                      <a:rPr lang="en-US" sz="1200">
                        <a:latin typeface="Times New Roman" pitchFamily="18" charset="0"/>
                        <a:cs typeface="Times New Roman" pitchFamily="18" charset="0"/>
                      </a:rPr>
                      <a:t>1</a:t>
                    </a:r>
                    <a:r>
                      <a:rPr lang="ru-RU" sz="1200">
                        <a:latin typeface="Times New Roman" pitchFamily="18" charset="0"/>
                        <a:cs typeface="Times New Roman" pitchFamily="18" charset="0"/>
                      </a:rPr>
                      <a:t>,</a:t>
                    </a:r>
                    <a:r>
                      <a:rPr lang="en-US" sz="1200">
                        <a:latin typeface="Times New Roman" pitchFamily="18" charset="0"/>
                        <a:cs typeface="Times New Roman" pitchFamily="18" charset="0"/>
                      </a:rPr>
                      <a:t>6</a:t>
                    </a:r>
                    <a:r>
                      <a:rPr lang="ru-RU" sz="1200">
                        <a:latin typeface="Times New Roman" pitchFamily="18" charset="0"/>
                        <a:cs typeface="Times New Roman" pitchFamily="18" charset="0"/>
                      </a:rPr>
                      <a:t>%</a:t>
                    </a:r>
                  </a:p>
                </c:rich>
              </c:tx>
              <c:showLegendKey val="1"/>
              <c:showVal val="1"/>
              <c:showCatName val="1"/>
              <c:showPercent val="1"/>
            </c:dLbl>
            <c:dLbl>
              <c:idx val="1"/>
              <c:layout>
                <c:manualLayout>
                  <c:x val="-0.17212177220362387"/>
                  <c:y val="-1.231683787870887E-2"/>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Податок на прибуток
</a:t>
                    </a:r>
                    <a:r>
                      <a:rPr lang="en-US" sz="1200" b="0" i="0" u="none" strike="noStrike" kern="1200" baseline="0">
                        <a:solidFill>
                          <a:sysClr val="windowText" lastClr="000000"/>
                        </a:solidFill>
                        <a:latin typeface="Times New Roman" pitchFamily="18" charset="0"/>
                        <a:ea typeface="+mn-ea"/>
                        <a:cs typeface="Times New Roman" pitchFamily="18" charset="0"/>
                      </a:rPr>
                      <a:t>37</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3</a:t>
                    </a:r>
                    <a:r>
                      <a:rPr sz="1200" b="0" i="0" u="none" strike="noStrike" kern="1200" baseline="0">
                        <a:solidFill>
                          <a:sysClr val="windowText" lastClr="000000"/>
                        </a:solidFill>
                        <a:latin typeface="Times New Roman" pitchFamily="18" charset="0"/>
                        <a:ea typeface="+mn-ea"/>
                        <a:cs typeface="Times New Roman" pitchFamily="18" charset="0"/>
                      </a:rPr>
                      <a:t> млн.грн.
</a:t>
                    </a:r>
                    <a:r>
                      <a:rPr lang="en-US" sz="1200" b="0" i="0" u="none" strike="noStrike" kern="1200" baseline="0">
                        <a:solidFill>
                          <a:sysClr val="windowText" lastClr="000000"/>
                        </a:solidFill>
                        <a:latin typeface="Times New Roman" pitchFamily="18" charset="0"/>
                        <a:ea typeface="+mn-ea"/>
                        <a:cs typeface="Times New Roman" pitchFamily="18" charset="0"/>
                      </a:rPr>
                      <a:t>2</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6</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2"/>
              <c:layout>
                <c:manualLayout>
                  <c:x val="-0.19941609693997853"/>
                  <c:y val="-0.16020163042533603"/>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Акцизний податок
</a:t>
                    </a:r>
                    <a:r>
                      <a:rPr lang="en-US" sz="1200" b="0" i="0" u="none" strike="noStrike" kern="1200" baseline="0">
                        <a:solidFill>
                          <a:sysClr val="windowText" lastClr="000000"/>
                        </a:solidFill>
                        <a:latin typeface="Times New Roman" pitchFamily="18" charset="0"/>
                        <a:ea typeface="+mn-ea"/>
                        <a:cs typeface="Times New Roman" pitchFamily="18" charset="0"/>
                      </a:rPr>
                      <a:t>71</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2</a:t>
                    </a:r>
                    <a:r>
                      <a:rPr sz="1200" b="0" i="0" u="none" strike="noStrike" kern="1200" baseline="0">
                        <a:solidFill>
                          <a:sysClr val="windowText" lastClr="000000"/>
                        </a:solidFill>
                        <a:latin typeface="Times New Roman" pitchFamily="18" charset="0"/>
                        <a:ea typeface="+mn-ea"/>
                        <a:cs typeface="Times New Roman" pitchFamily="18" charset="0"/>
                      </a:rPr>
                      <a:t> млн.грн.
</a:t>
                    </a:r>
                    <a:r>
                      <a:rPr lang="en-US" sz="1200" b="0" i="0" u="none" strike="noStrike" kern="1200" baseline="0">
                        <a:solidFill>
                          <a:sysClr val="windowText" lastClr="000000"/>
                        </a:solidFill>
                        <a:latin typeface="Times New Roman" pitchFamily="18" charset="0"/>
                        <a:ea typeface="+mn-ea"/>
                        <a:cs typeface="Times New Roman" pitchFamily="18" charset="0"/>
                      </a:rPr>
                      <a:t>4,9</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3"/>
              <c:layout>
                <c:manualLayout>
                  <c:x val="0.18044376471150544"/>
                  <c:y val="-0.10610868459100962"/>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Плата за землю
</a:t>
                    </a:r>
                    <a:r>
                      <a:rPr lang="en-US" sz="1200" b="0" i="0" u="none" strike="noStrike" kern="1200" baseline="0">
                        <a:solidFill>
                          <a:sysClr val="windowText" lastClr="000000"/>
                        </a:solidFill>
                        <a:latin typeface="Times New Roman" pitchFamily="18" charset="0"/>
                        <a:ea typeface="+mn-ea"/>
                        <a:cs typeface="Times New Roman" pitchFamily="18" charset="0"/>
                      </a:rPr>
                      <a:t>222</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4</a:t>
                    </a:r>
                    <a:r>
                      <a:rPr sz="1200" b="0" i="0" u="none" strike="noStrike" kern="1200" baseline="0">
                        <a:solidFill>
                          <a:sysClr val="windowText" lastClr="000000"/>
                        </a:solidFill>
                        <a:latin typeface="Times New Roman" pitchFamily="18" charset="0"/>
                        <a:ea typeface="+mn-ea"/>
                        <a:cs typeface="Times New Roman" pitchFamily="18" charset="0"/>
                      </a:rPr>
                      <a:t> млн.грн.
15,</a:t>
                    </a:r>
                    <a:r>
                      <a:rPr lang="en-US" sz="1200" b="0" i="0" u="none" strike="noStrike" kern="1200" baseline="0">
                        <a:solidFill>
                          <a:sysClr val="windowText" lastClr="000000"/>
                        </a:solidFill>
                        <a:latin typeface="Times New Roman" pitchFamily="18" charset="0"/>
                        <a:ea typeface="+mn-ea"/>
                        <a:cs typeface="Times New Roman" pitchFamily="18" charset="0"/>
                      </a:rPr>
                      <a:t>3</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4"/>
              <c:layout>
                <c:manualLayout>
                  <c:x val="0.18800536882813834"/>
                  <c:y val="-0.10551851231362037"/>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Єдиний податок
</a:t>
                    </a:r>
                    <a:r>
                      <a:rPr lang="en-US" sz="1200" b="0" i="0" u="none" strike="noStrike" kern="1200" baseline="0">
                        <a:solidFill>
                          <a:sysClr val="windowText" lastClr="000000"/>
                        </a:solidFill>
                        <a:latin typeface="Times New Roman" pitchFamily="18" charset="0"/>
                        <a:ea typeface="+mn-ea"/>
                        <a:cs typeface="Times New Roman" pitchFamily="18" charset="0"/>
                      </a:rPr>
                      <a:t>191</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8</a:t>
                    </a:r>
                    <a:r>
                      <a:rPr sz="1200" b="0" i="0" u="none" strike="noStrike" kern="1200" baseline="0">
                        <a:solidFill>
                          <a:sysClr val="windowText" lastClr="000000"/>
                        </a:solidFill>
                        <a:latin typeface="Times New Roman" pitchFamily="18" charset="0"/>
                        <a:ea typeface="+mn-ea"/>
                        <a:cs typeface="Times New Roman" pitchFamily="18" charset="0"/>
                      </a:rPr>
                      <a:t> млн.грн.
</a:t>
                    </a:r>
                    <a:r>
                      <a:rPr lang="en-US" sz="1200" b="0" i="0" u="none" strike="noStrike" kern="1200" baseline="0">
                        <a:solidFill>
                          <a:sysClr val="windowText" lastClr="000000"/>
                        </a:solidFill>
                        <a:latin typeface="Times New Roman" pitchFamily="18" charset="0"/>
                        <a:ea typeface="+mn-ea"/>
                        <a:cs typeface="Times New Roman" pitchFamily="18" charset="0"/>
                      </a:rPr>
                      <a:t>13</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2</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5"/>
              <c:layout>
                <c:manualLayout>
                  <c:x val="0.22013852213845039"/>
                  <c:y val="2.400612591372343E-2"/>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Плата за надання інших адмінпослуг
</a:t>
                    </a:r>
                    <a:r>
                      <a:rPr lang="en-US" sz="1200" b="0" i="0" u="none" strike="noStrike" kern="1200" baseline="0">
                        <a:solidFill>
                          <a:sysClr val="windowText" lastClr="000000"/>
                        </a:solidFill>
                        <a:latin typeface="Times New Roman" pitchFamily="18" charset="0"/>
                        <a:ea typeface="+mn-ea"/>
                        <a:cs typeface="Times New Roman" pitchFamily="18" charset="0"/>
                      </a:rPr>
                      <a:t>8</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5</a:t>
                    </a:r>
                    <a:r>
                      <a:rPr sz="1200" b="0" i="0" u="none" strike="noStrike" kern="1200" baseline="0">
                        <a:solidFill>
                          <a:sysClr val="windowText" lastClr="000000"/>
                        </a:solidFill>
                        <a:latin typeface="Times New Roman" pitchFamily="18" charset="0"/>
                        <a:ea typeface="+mn-ea"/>
                        <a:cs typeface="Times New Roman" pitchFamily="18" charset="0"/>
                      </a:rPr>
                      <a:t> млн.грн.
0,</a:t>
                    </a:r>
                    <a:r>
                      <a:rPr lang="en-US" sz="1200" b="0" i="0" u="none" strike="noStrike" kern="1200" baseline="0">
                        <a:solidFill>
                          <a:sysClr val="windowText" lastClr="000000"/>
                        </a:solidFill>
                        <a:latin typeface="Times New Roman" pitchFamily="18" charset="0"/>
                        <a:ea typeface="+mn-ea"/>
                        <a:cs typeface="Times New Roman" pitchFamily="18" charset="0"/>
                      </a:rPr>
                      <a:t>6</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6"/>
              <c:layout>
                <c:manualLayout>
                  <c:x val="0.15413953377223988"/>
                  <c:y val="0.15751819890076199"/>
                </c:manualLayout>
              </c:layout>
              <c:tx>
                <c:rich>
                  <a:bodyPr/>
                  <a:lstStyle/>
                  <a:p>
                    <a:pPr>
                      <a:defRPr sz="1200">
                        <a:latin typeface="Times New Roman" pitchFamily="18" charset="0"/>
                        <a:cs typeface="Times New Roman" pitchFamily="18" charset="0"/>
                      </a:defRPr>
                    </a:pPr>
                    <a:r>
                      <a:rPr lang="ru-RU" sz="1200"/>
                      <a:t>Інші
</a:t>
                    </a:r>
                    <a:r>
                      <a:rPr lang="en-US" sz="1200"/>
                      <a:t>26</a:t>
                    </a:r>
                    <a:r>
                      <a:rPr lang="ru-RU" sz="1200"/>
                      <a:t>,</a:t>
                    </a:r>
                    <a:r>
                      <a:rPr lang="en-US" sz="1200"/>
                      <a:t>6</a:t>
                    </a:r>
                    <a:r>
                      <a:rPr lang="ru-RU" sz="1200"/>
                      <a:t> млн.грн.
1,8%</a:t>
                    </a:r>
                  </a:p>
                </c:rich>
              </c:tx>
              <c:numFmt formatCode="0.0%" sourceLinked="0"/>
              <c:spPr/>
              <c:showLegendKey val="1"/>
              <c:showVal val="1"/>
              <c:showCatName val="1"/>
              <c:showPercent val="1"/>
            </c:dLbl>
            <c:dLbl>
              <c:idx val="7"/>
              <c:layout>
                <c:manualLayout>
                  <c:x val="8.2953970662620155E-2"/>
                  <c:y val="0.19385342789598117"/>
                </c:manualLayout>
              </c:layout>
              <c:showLegendKey val="1"/>
              <c:showVal val="1"/>
              <c:showCatName val="1"/>
              <c:showPercent val="1"/>
              <c:separator>
</c:separator>
            </c:dLbl>
            <c:numFmt formatCode="0.0%" sourceLinked="0"/>
            <c:txPr>
              <a:bodyPr/>
              <a:lstStyle/>
              <a:p>
                <a:pPr>
                  <a:defRPr sz="1100">
                    <a:latin typeface="Times New Roman" pitchFamily="18" charset="0"/>
                    <a:cs typeface="Times New Roman" pitchFamily="18" charset="0"/>
                  </a:defRPr>
                </a:pPr>
                <a:endParaRPr lang="ru-RU"/>
              </a:p>
            </c:txPr>
            <c:showLegendKey val="1"/>
            <c:showVal val="1"/>
            <c:showCatName val="1"/>
            <c:showPercent val="1"/>
            <c:separator>
</c:separator>
            <c:showLeaderLines val="1"/>
          </c:dLbls>
          <c:cat>
            <c:strRef>
              <c:f>'Структура ЗФ за 2020'!$B$4:$B$10</c:f>
              <c:strCache>
                <c:ptCount val="7"/>
                <c:pt idx="0">
                  <c:v>Податок на доходи фізичних осіб</c:v>
                </c:pt>
                <c:pt idx="1">
                  <c:v>Податок на прибуток</c:v>
                </c:pt>
                <c:pt idx="2">
                  <c:v>Акцизний податок</c:v>
                </c:pt>
                <c:pt idx="3">
                  <c:v>Плата за землю</c:v>
                </c:pt>
                <c:pt idx="4">
                  <c:v>Єдиний податок</c:v>
                </c:pt>
                <c:pt idx="5">
                  <c:v>Плата за надання інших адмінпослуг</c:v>
                </c:pt>
                <c:pt idx="6">
                  <c:v>Інші</c:v>
                </c:pt>
              </c:strCache>
            </c:strRef>
          </c:cat>
          <c:val>
            <c:numRef>
              <c:f>'Структура ЗФ за 2020'!$C$4:$C$10</c:f>
              <c:numCache>
                <c:formatCode>#,##0.0</c:formatCode>
                <c:ptCount val="7"/>
                <c:pt idx="0">
                  <c:v>893.22730000000001</c:v>
                </c:pt>
                <c:pt idx="1">
                  <c:v>37.342400000000005</c:v>
                </c:pt>
                <c:pt idx="2">
                  <c:v>71.215100000000007</c:v>
                </c:pt>
                <c:pt idx="3">
                  <c:v>222.42070000000001</c:v>
                </c:pt>
                <c:pt idx="4">
                  <c:v>191.79240000000001</c:v>
                </c:pt>
                <c:pt idx="5">
                  <c:v>8.4746000000000006</c:v>
                </c:pt>
                <c:pt idx="6">
                  <c:v>26.537100000000091</c:v>
                </c:pt>
              </c:numCache>
            </c:numRef>
          </c:val>
        </c:ser>
        <c:dLbls>
          <c:showPercent val="1"/>
        </c:dLbls>
        <c:firstSliceAng val="92"/>
        <c:holeSize val="31"/>
      </c:doughnut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доходів спеціального фонду бюджету за</a:t>
            </a:r>
            <a:r>
              <a:rPr lang="en-US" sz="1400">
                <a:latin typeface="Times New Roman" pitchFamily="18" charset="0"/>
                <a:cs typeface="Times New Roman" pitchFamily="18" charset="0"/>
              </a:rPr>
              <a:t> 1кв</a:t>
            </a:r>
            <a:r>
              <a:rPr lang="uk-UA" sz="1400">
                <a:latin typeface="Times New Roman" pitchFamily="18" charset="0"/>
                <a:cs typeface="Times New Roman" pitchFamily="18" charset="0"/>
              </a:rPr>
              <a:t>артал </a:t>
            </a:r>
            <a:r>
              <a:rPr lang="ru-RU" sz="1400">
                <a:latin typeface="Times New Roman" pitchFamily="18" charset="0"/>
                <a:cs typeface="Times New Roman" pitchFamily="18" charset="0"/>
              </a:rPr>
              <a:t>20</a:t>
            </a:r>
            <a:r>
              <a:rPr lang="en-US" sz="1400">
                <a:latin typeface="Times New Roman" pitchFamily="18" charset="0"/>
                <a:cs typeface="Times New Roman" pitchFamily="18" charset="0"/>
              </a:rPr>
              <a:t>20</a:t>
            </a:r>
            <a:r>
              <a:rPr lang="ru-RU" sz="1400">
                <a:latin typeface="Times New Roman" pitchFamily="18" charset="0"/>
                <a:cs typeface="Times New Roman" pitchFamily="18" charset="0"/>
              </a:rPr>
              <a:t> р</a:t>
            </a:r>
            <a:r>
              <a:rPr lang="en-US" sz="1400">
                <a:latin typeface="Times New Roman" pitchFamily="18" charset="0"/>
                <a:cs typeface="Times New Roman" pitchFamily="18" charset="0"/>
              </a:rPr>
              <a:t>оку</a:t>
            </a:r>
            <a:endParaRPr lang="ru-RU" sz="1400">
              <a:latin typeface="Times New Roman" pitchFamily="18" charset="0"/>
              <a:cs typeface="Times New Roman" pitchFamily="18" charset="0"/>
            </a:endParaRPr>
          </a:p>
        </c:rich>
      </c:tx>
      <c:layout/>
    </c:title>
    <c:plotArea>
      <c:layout>
        <c:manualLayout>
          <c:layoutTarget val="inner"/>
          <c:xMode val="edge"/>
          <c:yMode val="edge"/>
          <c:x val="0.20424897521389551"/>
          <c:y val="0.21794584887415389"/>
          <c:w val="0.42003259360267448"/>
          <c:h val="0.69784362481005668"/>
        </c:manualLayout>
      </c:layout>
      <c:doughnutChart>
        <c:varyColors val="1"/>
        <c:ser>
          <c:idx val="0"/>
          <c:order val="0"/>
          <c:tx>
            <c:strRef>
              <c:f>'Структура СФ за 2020'!$C$3</c:f>
              <c:strCache>
                <c:ptCount val="1"/>
                <c:pt idx="0">
                  <c:v>Структура спеціального фонду за 1 кв.2020року</c:v>
                </c:pt>
              </c:strCache>
            </c:strRef>
          </c:tx>
          <c:spPr>
            <a:ln cap="rnd"/>
          </c:spPr>
          <c:explosion val="7"/>
          <c:dPt>
            <c:idx val="0"/>
            <c:explosion val="8"/>
          </c:dPt>
          <c:dPt>
            <c:idx val="1"/>
            <c:explosion val="11"/>
          </c:dPt>
          <c:dPt>
            <c:idx val="2"/>
            <c:explosion val="25"/>
          </c:dPt>
          <c:dPt>
            <c:idx val="3"/>
            <c:explosion val="32"/>
          </c:dPt>
          <c:dPt>
            <c:idx val="4"/>
            <c:explosion val="21"/>
          </c:dPt>
          <c:dPt>
            <c:idx val="5"/>
            <c:explosion val="24"/>
          </c:dPt>
          <c:dLbls>
            <c:dLbl>
              <c:idx val="0"/>
              <c:layout>
                <c:manualLayout>
                  <c:x val="-0.28271257958783935"/>
                  <c:y val="4.3386026265562871E-2"/>
                </c:manualLayout>
              </c:layout>
              <c:tx>
                <c:rich>
                  <a:bodyPr/>
                  <a:lstStyle/>
                  <a:p>
                    <a:r>
                      <a:rPr lang="ru-RU" sz="1200" u="none">
                        <a:latin typeface="Times New Roman" pitchFamily="18" charset="0"/>
                        <a:cs typeface="Times New Roman" pitchFamily="18" charset="0"/>
                      </a:rPr>
                      <a:t>Власні надходження бюджетних установ 
</a:t>
                    </a:r>
                    <a:r>
                      <a:rPr lang="en-US" sz="1200" u="none">
                        <a:latin typeface="Times New Roman" pitchFamily="18" charset="0"/>
                        <a:cs typeface="Times New Roman" pitchFamily="18" charset="0"/>
                      </a:rPr>
                      <a:t>36,4 </a:t>
                    </a:r>
                    <a:r>
                      <a:rPr lang="ru-RU" sz="1200" u="none">
                        <a:latin typeface="Times New Roman" pitchFamily="18" charset="0"/>
                        <a:cs typeface="Times New Roman" pitchFamily="18" charset="0"/>
                      </a:rPr>
                      <a:t>млн.грн.
</a:t>
                    </a:r>
                    <a:r>
                      <a:rPr lang="en-US" sz="1200" u="none">
                        <a:latin typeface="Times New Roman" pitchFamily="18" charset="0"/>
                        <a:cs typeface="Times New Roman" pitchFamily="18" charset="0"/>
                      </a:rPr>
                      <a:t>59</a:t>
                    </a:r>
                    <a:r>
                      <a:rPr lang="ru-RU" sz="1200" u="none">
                        <a:latin typeface="Times New Roman" pitchFamily="18" charset="0"/>
                        <a:cs typeface="Times New Roman" pitchFamily="18" charset="0"/>
                      </a:rPr>
                      <a:t>,</a:t>
                    </a:r>
                    <a:r>
                      <a:rPr lang="en-US" sz="1200" u="none">
                        <a:latin typeface="Times New Roman" pitchFamily="18" charset="0"/>
                        <a:cs typeface="Times New Roman" pitchFamily="18" charset="0"/>
                      </a:rPr>
                      <a:t>1</a:t>
                    </a:r>
                    <a:r>
                      <a:rPr lang="ru-RU" sz="1200" u="none">
                        <a:latin typeface="Times New Roman" pitchFamily="18" charset="0"/>
                        <a:cs typeface="Times New Roman" pitchFamily="18" charset="0"/>
                      </a:rPr>
                      <a:t>%</a:t>
                    </a:r>
                    <a:endParaRPr lang="ru-RU" sz="1200">
                      <a:latin typeface="Times New Roman" pitchFamily="18" charset="0"/>
                      <a:cs typeface="Times New Roman" pitchFamily="18" charset="0"/>
                    </a:endParaRPr>
                  </a:p>
                </c:rich>
              </c:tx>
              <c:showLegendKey val="1"/>
              <c:showVal val="1"/>
              <c:showCatName val="1"/>
              <c:showPercent val="1"/>
            </c:dLbl>
            <c:dLbl>
              <c:idx val="1"/>
              <c:layout>
                <c:manualLayout>
                  <c:x val="-0.14382498838362909"/>
                  <c:y val="-0.17374448942989049"/>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Екологічний податок
</a:t>
                    </a:r>
                    <a:r>
                      <a:rPr lang="en-US" sz="1200" b="0" i="0" u="none" strike="noStrike" kern="1200" baseline="0">
                        <a:solidFill>
                          <a:sysClr val="windowText" lastClr="000000"/>
                        </a:solidFill>
                        <a:latin typeface="Times New Roman" pitchFamily="18" charset="0"/>
                        <a:ea typeface="+mn-ea"/>
                        <a:cs typeface="Times New Roman" pitchFamily="18" charset="0"/>
                      </a:rPr>
                      <a:t>5</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6</a:t>
                    </a:r>
                    <a:r>
                      <a:rPr sz="1200" b="0" i="0" u="none" strike="noStrike" kern="1200" baseline="0">
                        <a:solidFill>
                          <a:sysClr val="windowText" lastClr="000000"/>
                        </a:solidFill>
                        <a:latin typeface="Times New Roman" pitchFamily="18" charset="0"/>
                        <a:ea typeface="+mn-ea"/>
                        <a:cs typeface="Times New Roman" pitchFamily="18" charset="0"/>
                      </a:rPr>
                      <a:t> млн.грн.
</a:t>
                    </a:r>
                    <a:r>
                      <a:rPr lang="en-US" sz="1200" b="0" i="0" u="none" strike="noStrike" kern="1200" baseline="0">
                        <a:solidFill>
                          <a:sysClr val="windowText" lastClr="000000"/>
                        </a:solidFill>
                        <a:latin typeface="Times New Roman" pitchFamily="18" charset="0"/>
                        <a:ea typeface="+mn-ea"/>
                        <a:cs typeface="Times New Roman" pitchFamily="18" charset="0"/>
                      </a:rPr>
                      <a:t>9</a:t>
                    </a:r>
                    <a:r>
                      <a:rPr sz="1200" b="0" i="0" u="none" strike="noStrike" kern="1200" baseline="0">
                        <a:solidFill>
                          <a:sysClr val="windowText" lastClr="000000"/>
                        </a:solidFill>
                        <a:latin typeface="Times New Roman" pitchFamily="18" charset="0"/>
                        <a:ea typeface="+mn-ea"/>
                        <a:cs typeface="Times New Roman" pitchFamily="18" charset="0"/>
                      </a:rPr>
                      <a:t>,2%</a:t>
                    </a:r>
                  </a:p>
                </c:rich>
              </c:tx>
              <c:numFmt formatCode="0.0%" sourceLinked="0"/>
              <c:spPr/>
              <c:showLegendKey val="1"/>
              <c:showVal val="1"/>
              <c:showCatName val="1"/>
              <c:showPercent val="1"/>
            </c:dLbl>
            <c:dLbl>
              <c:idx val="2"/>
              <c:layout>
                <c:manualLayout>
                  <c:x val="0.23430770839179693"/>
                  <c:y val="-5.1409502319300263E-2"/>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Кошти від відчуження майна
1</a:t>
                    </a:r>
                    <a:r>
                      <a:rPr lang="en-US" sz="1200" b="0" i="0" u="none" strike="noStrike" kern="1200" baseline="0">
                        <a:solidFill>
                          <a:sysClr val="windowText" lastClr="000000"/>
                        </a:solidFill>
                        <a:latin typeface="Times New Roman" pitchFamily="18" charset="0"/>
                        <a:ea typeface="+mn-ea"/>
                        <a:cs typeface="Times New Roman" pitchFamily="18" charset="0"/>
                      </a:rPr>
                      <a:t>8</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8</a:t>
                    </a:r>
                    <a:r>
                      <a:rPr sz="1200" b="0" i="0" u="none" strike="noStrike" kern="1200" baseline="0">
                        <a:solidFill>
                          <a:sysClr val="windowText" lastClr="000000"/>
                        </a:solidFill>
                        <a:latin typeface="Times New Roman" pitchFamily="18" charset="0"/>
                        <a:ea typeface="+mn-ea"/>
                        <a:cs typeface="Times New Roman" pitchFamily="18" charset="0"/>
                      </a:rPr>
                      <a:t> млн.грн.</a:t>
                    </a:r>
                  </a:p>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lang="en-US" sz="1200" b="0" i="0" u="none" strike="noStrike" kern="1200" baseline="0">
                        <a:solidFill>
                          <a:sysClr val="windowText" lastClr="000000"/>
                        </a:solidFill>
                        <a:latin typeface="Times New Roman" pitchFamily="18" charset="0"/>
                        <a:ea typeface="+mn-ea"/>
                        <a:cs typeface="Times New Roman" pitchFamily="18" charset="0"/>
                      </a:rPr>
                      <a:t>30</a:t>
                    </a:r>
                    <a:r>
                      <a:rPr sz="1200" b="0" i="0" u="none" strike="noStrike" kern="1200" baseline="0">
                        <a:solidFill>
                          <a:sysClr val="windowText" lastClr="000000"/>
                        </a:solidFill>
                        <a:latin typeface="Times New Roman" pitchFamily="18" charset="0"/>
                        <a:ea typeface="+mn-ea"/>
                        <a:cs typeface="Times New Roman" pitchFamily="18" charset="0"/>
                      </a:rPr>
                      <a:t>,</a:t>
                    </a:r>
                    <a:r>
                      <a:rPr lang="en-US" sz="1200" b="0" i="0" u="none" strike="noStrike" kern="1200" baseline="0">
                        <a:solidFill>
                          <a:sysClr val="windowText" lastClr="000000"/>
                        </a:solidFill>
                        <a:latin typeface="Times New Roman" pitchFamily="18" charset="0"/>
                        <a:ea typeface="+mn-ea"/>
                        <a:cs typeface="Times New Roman" pitchFamily="18" charset="0"/>
                      </a:rPr>
                      <a:t>6</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3"/>
              <c:layout>
                <c:manualLayout>
                  <c:x val="0.27220397608693825"/>
                  <c:y val="-8.9017820140903578E-3"/>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Кошти пайової участі
</a:t>
                    </a:r>
                    <a:r>
                      <a:rPr lang="en-US" sz="1200" b="0" i="0" u="none" strike="noStrike" kern="1200" baseline="0">
                        <a:solidFill>
                          <a:sysClr val="windowText" lastClr="000000"/>
                        </a:solidFill>
                        <a:latin typeface="Times New Roman" pitchFamily="18" charset="0"/>
                        <a:ea typeface="+mn-ea"/>
                        <a:cs typeface="Times New Roman" pitchFamily="18" charset="0"/>
                      </a:rPr>
                      <a:t>0,4</a:t>
                    </a:r>
                    <a:r>
                      <a:rPr sz="1200" b="0" i="0" u="none" strike="noStrike" kern="1200" baseline="0">
                        <a:solidFill>
                          <a:sysClr val="windowText" lastClr="000000"/>
                        </a:solidFill>
                        <a:latin typeface="Times New Roman" pitchFamily="18" charset="0"/>
                        <a:ea typeface="+mn-ea"/>
                        <a:cs typeface="Times New Roman" pitchFamily="18" charset="0"/>
                      </a:rPr>
                      <a:t> млн.грн.
</a:t>
                    </a:r>
                    <a:r>
                      <a:rPr lang="en-US" sz="1200" b="0" i="0" u="none" strike="noStrike" kern="1200" baseline="0">
                        <a:solidFill>
                          <a:sysClr val="windowText" lastClr="000000"/>
                        </a:solidFill>
                        <a:latin typeface="Times New Roman" pitchFamily="18" charset="0"/>
                        <a:ea typeface="+mn-ea"/>
                        <a:cs typeface="Times New Roman" pitchFamily="18" charset="0"/>
                      </a:rPr>
                      <a:t>0,7</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4"/>
              <c:delete val="1"/>
            </c:dLbl>
            <c:dLbl>
              <c:idx val="5"/>
              <c:layout>
                <c:manualLayout>
                  <c:x val="0.10000385171979288"/>
                  <c:y val="0.14130735258522351"/>
                </c:manualLayout>
              </c:layout>
              <c:tx>
                <c:rich>
                  <a:bodyPr/>
                  <a:lstStyle/>
                  <a:p>
                    <a:pPr algn="ctr" rtl="0">
                      <a:defRPr lang="ru-RU" sz="1200" b="0" i="0" u="sng" strike="noStrike" kern="1200" baseline="0">
                        <a:solidFill>
                          <a:sysClr val="windowText" lastClr="000000"/>
                        </a:solidFill>
                        <a:latin typeface="Times New Roman" pitchFamily="18" charset="0"/>
                        <a:ea typeface="+mn-ea"/>
                        <a:cs typeface="Times New Roman" pitchFamily="18" charset="0"/>
                      </a:defRPr>
                    </a:pPr>
                    <a:r>
                      <a:rPr sz="1200" b="0" i="0" u="none" strike="noStrike" kern="1200" baseline="0">
                        <a:solidFill>
                          <a:sysClr val="windowText" lastClr="000000"/>
                        </a:solidFill>
                        <a:latin typeface="Times New Roman" pitchFamily="18" charset="0"/>
                        <a:ea typeface="+mn-ea"/>
                        <a:cs typeface="Times New Roman" pitchFamily="18" charset="0"/>
                      </a:rPr>
                      <a:t>Інші
0,</a:t>
                    </a:r>
                    <a:r>
                      <a:rPr lang="en-US" sz="1200" b="0" i="0" u="none" strike="noStrike" kern="1200" baseline="0">
                        <a:solidFill>
                          <a:sysClr val="windowText" lastClr="000000"/>
                        </a:solidFill>
                        <a:latin typeface="Times New Roman" pitchFamily="18" charset="0"/>
                        <a:ea typeface="+mn-ea"/>
                        <a:cs typeface="Times New Roman" pitchFamily="18" charset="0"/>
                      </a:rPr>
                      <a:t>4</a:t>
                    </a:r>
                    <a:r>
                      <a:rPr sz="1200" b="0" i="0" u="none" strike="noStrike" kern="1200" baseline="0">
                        <a:solidFill>
                          <a:sysClr val="windowText" lastClr="000000"/>
                        </a:solidFill>
                        <a:latin typeface="Times New Roman" pitchFamily="18" charset="0"/>
                        <a:ea typeface="+mn-ea"/>
                        <a:cs typeface="Times New Roman" pitchFamily="18" charset="0"/>
                      </a:rPr>
                      <a:t> млн.грн.
0,</a:t>
                    </a:r>
                    <a:r>
                      <a:rPr lang="en-US" sz="1200" b="0" i="0" u="none" strike="noStrike" kern="1200" baseline="0">
                        <a:solidFill>
                          <a:sysClr val="windowText" lastClr="000000"/>
                        </a:solidFill>
                        <a:latin typeface="Times New Roman" pitchFamily="18" charset="0"/>
                        <a:ea typeface="+mn-ea"/>
                        <a:cs typeface="Times New Roman" pitchFamily="18" charset="0"/>
                      </a:rPr>
                      <a:t>4</a:t>
                    </a:r>
                    <a:r>
                      <a:rPr sz="12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6"/>
              <c:layout>
                <c:manualLayout>
                  <c:x val="0.19460485791877044"/>
                  <c:y val="0.20621059581689713"/>
                </c:manualLayout>
              </c:layout>
              <c:showLegendKey val="1"/>
              <c:showVal val="1"/>
              <c:showCatName val="1"/>
              <c:showPercent val="1"/>
            </c:dLbl>
            <c:numFmt formatCode="0.0%" sourceLinked="0"/>
            <c:txPr>
              <a:bodyPr/>
              <a:lstStyle/>
              <a:p>
                <a:pPr>
                  <a:defRPr sz="1200">
                    <a:latin typeface="Times New Roman" pitchFamily="18" charset="0"/>
                    <a:cs typeface="Times New Roman" pitchFamily="18" charset="0"/>
                  </a:defRPr>
                </a:pPr>
                <a:endParaRPr lang="ru-RU"/>
              </a:p>
            </c:txPr>
            <c:showLegendKey val="1"/>
            <c:showVal val="1"/>
            <c:showCatName val="1"/>
            <c:showPercent val="1"/>
            <c:separator>
</c:separator>
            <c:showLeaderLines val="1"/>
          </c:dLbls>
          <c:cat>
            <c:strRef>
              <c:f>'Структура СФ за 2020'!$B$4:$B$9</c:f>
              <c:strCache>
                <c:ptCount val="6"/>
                <c:pt idx="0">
                  <c:v>Власні надходження бюджетних установ </c:v>
                </c:pt>
                <c:pt idx="1">
                  <c:v>Екологічний податок</c:v>
                </c:pt>
                <c:pt idx="2">
                  <c:v>Кошти від відчуження майна</c:v>
                </c:pt>
                <c:pt idx="3">
                  <c:v>Кошти пайової участі</c:v>
                </c:pt>
                <c:pt idx="5">
                  <c:v>Інші</c:v>
                </c:pt>
              </c:strCache>
            </c:strRef>
          </c:cat>
          <c:val>
            <c:numRef>
              <c:f>'Структура СФ за 2020'!$C$4:$C$9</c:f>
              <c:numCache>
                <c:formatCode>#,##0.0</c:formatCode>
                <c:ptCount val="6"/>
                <c:pt idx="0">
                  <c:v>36.428900000000013</c:v>
                </c:pt>
                <c:pt idx="1">
                  <c:v>5.6423999999999985</c:v>
                </c:pt>
                <c:pt idx="2">
                  <c:v>18.837499999999999</c:v>
                </c:pt>
                <c:pt idx="3">
                  <c:v>0.43560000000000032</c:v>
                </c:pt>
                <c:pt idx="5">
                  <c:v>0.26240000000000041</c:v>
                </c:pt>
              </c:numCache>
            </c:numRef>
          </c:val>
        </c:ser>
        <c:dLbls>
          <c:showPercent val="1"/>
        </c:dLbls>
        <c:firstSliceAng val="82"/>
        <c:holeSize val="31"/>
      </c:doughnut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view3D>
      <c:rotX val="50"/>
      <c:perspective val="30"/>
    </c:view3D>
    <c:plotArea>
      <c:layout>
        <c:manualLayout>
          <c:layoutTarget val="inner"/>
          <c:xMode val="edge"/>
          <c:yMode val="edge"/>
          <c:x val="0.18224907327604239"/>
          <c:y val="0.13209090686094144"/>
          <c:w val="0.68661986327160751"/>
          <c:h val="0.66119704663085344"/>
        </c:manualLayout>
      </c:layout>
      <c:pie3DChart>
        <c:varyColors val="1"/>
        <c:ser>
          <c:idx val="0"/>
          <c:order val="0"/>
          <c:spPr>
            <a:ln>
              <a:solidFill>
                <a:schemeClr val="accent2">
                  <a:lumMod val="50000"/>
                </a:schemeClr>
              </a:solidFill>
            </a:ln>
            <a:scene3d>
              <a:camera prst="orthographicFront"/>
              <a:lightRig rig="threePt" dir="t">
                <a:rot lat="0" lon="0" rev="1200000"/>
              </a:lightRig>
            </a:scene3d>
            <a:sp3d>
              <a:bevelT w="406400" h="368300"/>
              <a:bevelB w="57150" h="184150"/>
            </a:sp3d>
          </c:spPr>
          <c:explosion val="9"/>
          <c:dLbls>
            <c:dLbl>
              <c:idx val="0"/>
              <c:layout>
                <c:manualLayout>
                  <c:x val="9.5287036008675316E-2"/>
                  <c:y val="-9.1675703710689532E-3"/>
                </c:manualLayout>
              </c:layout>
              <c:tx>
                <c:rich>
                  <a:bodyPr/>
                  <a:lstStyle/>
                  <a:p>
                    <a:r>
                      <a:rPr lang="ru-RU" sz="1100" b="0"/>
                      <a:t>О</a:t>
                    </a:r>
                    <a:r>
                      <a:rPr lang="ru-RU"/>
                      <a:t>світа</a:t>
                    </a:r>
                  </a:p>
                  <a:p>
                    <a:r>
                      <a:rPr lang="ru-RU"/>
                      <a:t> 622,9 млн.грн. 35%</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81F-4C08-A118-AFE8A8FFBE25}"/>
                </c:ext>
              </c:extLst>
            </c:dLbl>
            <c:dLbl>
              <c:idx val="1"/>
              <c:layout>
                <c:manualLayout>
                  <c:x val="0.14752458015011674"/>
                  <c:y val="-8.5895454656952933E-2"/>
                </c:manualLayout>
              </c:layout>
              <c:tx>
                <c:rich>
                  <a:bodyPr/>
                  <a:lstStyle/>
                  <a:p>
                    <a:r>
                      <a:rPr lang="ru-RU" sz="1100" b="0"/>
                      <a:t>О</a:t>
                    </a:r>
                    <a:r>
                      <a:rPr lang="ru-RU"/>
                      <a:t>хорона здоров'я</a:t>
                    </a:r>
                  </a:p>
                  <a:p>
                    <a:r>
                      <a:rPr lang="ru-RU"/>
                      <a:t>253,7 млн.грн. 14%</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81F-4C08-A118-AFE8A8FFBE25}"/>
                </c:ext>
              </c:extLst>
            </c:dLbl>
            <c:dLbl>
              <c:idx val="2"/>
              <c:layout>
                <c:manualLayout>
                  <c:x val="0.25197202714148281"/>
                  <c:y val="7.7074104054750195E-2"/>
                </c:manualLayout>
              </c:layout>
              <c:tx>
                <c:rich>
                  <a:bodyPr/>
                  <a:lstStyle/>
                  <a:p>
                    <a:r>
                      <a:rPr lang="ru-RU" sz="1100" b="0"/>
                      <a:t>К</a:t>
                    </a:r>
                    <a:r>
                      <a:rPr lang="ru-RU"/>
                      <a:t>ультура </a:t>
                    </a:r>
                  </a:p>
                  <a:p>
                    <a:r>
                      <a:rPr lang="ru-RU"/>
                      <a:t>18,1 млн.грн.</a:t>
                    </a:r>
                  </a:p>
                  <a:p>
                    <a:r>
                      <a:rPr lang="ru-RU"/>
                      <a:t> 1%</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81F-4C08-A118-AFE8A8FFBE25}"/>
                </c:ext>
              </c:extLst>
            </c:dLbl>
            <c:dLbl>
              <c:idx val="3"/>
              <c:layout>
                <c:manualLayout>
                  <c:x val="3.0257641811776717E-2"/>
                  <c:y val="0.1281519366153997"/>
                </c:manualLayout>
              </c:layout>
              <c:tx>
                <c:rich>
                  <a:bodyPr/>
                  <a:lstStyle/>
                  <a:p>
                    <a:r>
                      <a:rPr lang="ru-RU" sz="1100" b="0"/>
                      <a:t>Ф</a:t>
                    </a:r>
                    <a:r>
                      <a:rPr lang="ru-RU"/>
                      <a:t>ізична культура і спорт </a:t>
                    </a:r>
                  </a:p>
                  <a:p>
                    <a:r>
                      <a:rPr lang="ru-RU"/>
                      <a:t>26,7 млн.грн.</a:t>
                    </a:r>
                  </a:p>
                  <a:p>
                    <a:r>
                      <a:rPr lang="ru-RU"/>
                      <a:t> 1%</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81F-4C08-A118-AFE8A8FFBE25}"/>
                </c:ext>
              </c:extLst>
            </c:dLbl>
            <c:dLbl>
              <c:idx val="4"/>
              <c:layout>
                <c:manualLayout>
                  <c:x val="-0.18055511392638088"/>
                  <c:y val="6.383717222263105E-2"/>
                </c:manualLayout>
              </c:layout>
              <c:tx>
                <c:rich>
                  <a:bodyPr/>
                  <a:lstStyle/>
                  <a:p>
                    <a:r>
                      <a:rPr lang="ru-RU" sz="1100" b="0"/>
                      <a:t>У</a:t>
                    </a:r>
                    <a:r>
                      <a:rPr lang="ru-RU"/>
                      <a:t>тримання та заходи установ соціального захисту</a:t>
                    </a:r>
                  </a:p>
                  <a:p>
                    <a:r>
                      <a:rPr lang="ru-RU"/>
                      <a:t>14,3 млн.грн.</a:t>
                    </a:r>
                  </a:p>
                  <a:p>
                    <a:r>
                      <a:rPr lang="ru-RU"/>
                      <a:t>1%</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81F-4C08-A118-AFE8A8FFBE25}"/>
                </c:ext>
              </c:extLst>
            </c:dLbl>
            <c:dLbl>
              <c:idx val="5"/>
              <c:layout>
                <c:manualLayout>
                  <c:x val="-0.32517492699172434"/>
                  <c:y val="-0.16077440086344347"/>
                </c:manualLayout>
              </c:layout>
              <c:tx>
                <c:rich>
                  <a:bodyPr/>
                  <a:lstStyle/>
                  <a:p>
                    <a:r>
                      <a:rPr lang="ru-RU" sz="1100" b="0"/>
                      <a:t>П</a:t>
                    </a:r>
                    <a:r>
                      <a:rPr lang="ru-RU"/>
                      <a:t>рограм соціального захисту </a:t>
                    </a:r>
                  </a:p>
                  <a:p>
                    <a:r>
                      <a:rPr lang="ru-RU"/>
                      <a:t>19,9 млн.грн.</a:t>
                    </a:r>
                  </a:p>
                  <a:p>
                    <a:r>
                      <a:rPr lang="ru-RU"/>
                      <a:t> 1%</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81F-4C08-A118-AFE8A8FFBE25}"/>
                </c:ext>
              </c:extLst>
            </c:dLbl>
            <c:dLbl>
              <c:idx val="6"/>
              <c:layout>
                <c:manualLayout>
                  <c:x val="-0.14843666061402261"/>
                  <c:y val="-0.23232148551524517"/>
                </c:manualLayout>
              </c:layout>
              <c:tx>
                <c:rich>
                  <a:bodyPr/>
                  <a:lstStyle/>
                  <a:p>
                    <a:r>
                      <a:rPr lang="ru-RU" sz="1100" b="0"/>
                      <a:t>Ж</a:t>
                    </a:r>
                    <a:r>
                      <a:rPr lang="ru-RU"/>
                      <a:t>итлово-комунальне  господарство</a:t>
                    </a:r>
                  </a:p>
                  <a:p>
                    <a:r>
                      <a:rPr lang="ru-RU"/>
                      <a:t> 381,0 млн.грн. 21%</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81F-4C08-A118-AFE8A8FFBE25}"/>
                </c:ext>
              </c:extLst>
            </c:dLbl>
            <c:dLbl>
              <c:idx val="7"/>
              <c:layout>
                <c:manualLayout>
                  <c:x val="-5.1022283213535601E-2"/>
                  <c:y val="-0.12934211494591213"/>
                </c:manualLayout>
              </c:layout>
              <c:tx>
                <c:rich>
                  <a:bodyPr/>
                  <a:lstStyle/>
                  <a:p>
                    <a:r>
                      <a:rPr lang="ru-RU" sz="1100" b="0"/>
                      <a:t>К</a:t>
                    </a:r>
                    <a:r>
                      <a:rPr lang="ru-RU"/>
                      <a:t>ошти, що передаються до  держаного бюджету</a:t>
                    </a:r>
                  </a:p>
                  <a:p>
                    <a:r>
                      <a:rPr lang="ru-RU"/>
                      <a:t>119,4 млн.грн.</a:t>
                    </a:r>
                  </a:p>
                  <a:p>
                    <a:r>
                      <a:rPr lang="ru-RU"/>
                      <a:t>7%</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81F-4C08-A118-AFE8A8FFBE25}"/>
                </c:ext>
              </c:extLst>
            </c:dLbl>
            <c:dLbl>
              <c:idx val="8"/>
              <c:layout>
                <c:manualLayout>
                  <c:x val="9.8759570569088045E-2"/>
                  <c:y val="-0.10118968773763093"/>
                </c:manualLayout>
              </c:layout>
              <c:tx>
                <c:rich>
                  <a:bodyPr/>
                  <a:lstStyle/>
                  <a:p>
                    <a:r>
                      <a:rPr lang="ru-RU" sz="1100" b="0"/>
                      <a:t>Т</a:t>
                    </a:r>
                    <a:r>
                      <a:rPr lang="ru-RU"/>
                      <a:t>ранспорт</a:t>
                    </a:r>
                  </a:p>
                  <a:p>
                    <a:r>
                      <a:rPr lang="ru-RU"/>
                      <a:t>182,7 млн.грн. 10%</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81F-4C08-A118-AFE8A8FFBE25}"/>
                </c:ext>
              </c:extLst>
            </c:dLbl>
            <c:dLbl>
              <c:idx val="9"/>
              <c:layout>
                <c:manualLayout>
                  <c:x val="0.28555216102227887"/>
                  <c:y val="-5.6550285256259096E-2"/>
                </c:manualLayout>
              </c:layout>
              <c:tx>
                <c:rich>
                  <a:bodyPr/>
                  <a:lstStyle/>
                  <a:p>
                    <a:r>
                      <a:rPr lang="ru-RU" sz="1100" b="0"/>
                      <a:t>І</a:t>
                    </a:r>
                    <a:r>
                      <a:rPr lang="ru-RU"/>
                      <a:t>нші видатки </a:t>
                    </a:r>
                  </a:p>
                  <a:p>
                    <a:r>
                      <a:rPr lang="ru-RU"/>
                      <a:t>155,5 млн.грн.</a:t>
                    </a:r>
                  </a:p>
                  <a:p>
                    <a:r>
                      <a:rPr lang="ru-RU"/>
                      <a:t> 9%</a:t>
                    </a:r>
                  </a:p>
                </c:rich>
              </c:tx>
              <c:showVal val="1"/>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181F-4C08-A118-AFE8A8FFBE25}"/>
                </c:ext>
              </c:extLst>
            </c:dLbl>
            <c:spPr>
              <a:solidFill>
                <a:schemeClr val="bg1"/>
              </a:solidFill>
              <a:scene3d>
                <a:camera prst="orthographicFront"/>
                <a:lightRig rig="threePt" dir="t"/>
              </a:scene3d>
              <a:sp3d prstMaterial="flat"/>
            </c:spPr>
            <c:txPr>
              <a:bodyPr/>
              <a:lstStyle/>
              <a:p>
                <a:pPr>
                  <a:defRPr sz="1100" b="0">
                    <a:latin typeface="Times New Roman" pitchFamily="18" charset="0"/>
                    <a:cs typeface="Times New Roman" pitchFamily="18" charset="0"/>
                  </a:defRPr>
                </a:pPr>
                <a:endParaRPr lang="ru-RU"/>
              </a:p>
            </c:txPr>
            <c:showVal val="1"/>
            <c:showCatName val="1"/>
            <c:showPercent val="1"/>
            <c:separator>
</c:separator>
            <c:showLeaderLines val="1"/>
            <c:leaderLines>
              <c:spPr>
                <a:ln w="6350" cap="rnd">
                  <a:bevel/>
                </a:ln>
              </c:spPr>
            </c:leaderLines>
            <c:extLst xmlns:c16r2="http://schemas.microsoft.com/office/drawing/2015/06/chart">
              <c:ext xmlns:c15="http://schemas.microsoft.com/office/drawing/2012/chart" uri="{CE6537A1-D6FC-4f65-9D91-7224C49458BB}"/>
            </c:extLst>
          </c:dLbls>
          <c:cat>
            <c:strRef>
              <c:f>'з+с ф. функц.'!$A$1:$A$10</c:f>
              <c:strCache>
                <c:ptCount val="10"/>
                <c:pt idx="0">
                  <c:v>Освіта</c:v>
                </c:pt>
                <c:pt idx="1">
                  <c:v>Охорона здоров'я</c:v>
                </c:pt>
                <c:pt idx="2">
                  <c:v>Культура</c:v>
                </c:pt>
                <c:pt idx="3">
                  <c:v>Фізична культура і спорт</c:v>
                </c:pt>
                <c:pt idx="4">
                  <c:v>Утримання та заходи установ соціального захисту</c:v>
                </c:pt>
                <c:pt idx="5">
                  <c:v>Програм соціального захисту </c:v>
                </c:pt>
                <c:pt idx="6">
                  <c:v>Житлово-комунальне  господарство</c:v>
                </c:pt>
                <c:pt idx="7">
                  <c:v>Кошти, що передаються до  держаного бюджету</c:v>
                </c:pt>
                <c:pt idx="8">
                  <c:v>Транспорт</c:v>
                </c:pt>
                <c:pt idx="9">
                  <c:v>Інші видатки</c:v>
                </c:pt>
              </c:strCache>
            </c:strRef>
          </c:cat>
          <c:val>
            <c:numRef>
              <c:f>'з+с ф. функц.'!$B$1:$B$10</c:f>
              <c:numCache>
                <c:formatCode>#,##0.0</c:formatCode>
                <c:ptCount val="10"/>
                <c:pt idx="0">
                  <c:v>622.9</c:v>
                </c:pt>
                <c:pt idx="1">
                  <c:v>253.7</c:v>
                </c:pt>
                <c:pt idx="2">
                  <c:v>18.100000000000001</c:v>
                </c:pt>
                <c:pt idx="3">
                  <c:v>26.7</c:v>
                </c:pt>
                <c:pt idx="4">
                  <c:v>14.3</c:v>
                </c:pt>
                <c:pt idx="5">
                  <c:v>19.899999999999999</c:v>
                </c:pt>
                <c:pt idx="6">
                  <c:v>381</c:v>
                </c:pt>
                <c:pt idx="7">
                  <c:v>119.4</c:v>
                </c:pt>
                <c:pt idx="8">
                  <c:v>182.7</c:v>
                </c:pt>
                <c:pt idx="9">
                  <c:v>155.5</c:v>
                </c:pt>
              </c:numCache>
            </c:numRef>
          </c:val>
          <c:extLst xmlns:c16r2="http://schemas.microsoft.com/office/drawing/2015/06/chart">
            <c:ext xmlns:c16="http://schemas.microsoft.com/office/drawing/2014/chart" uri="{C3380CC4-5D6E-409C-BE32-E72D297353CC}">
              <c16:uniqueId val="{0000000A-181F-4C08-A118-AFE8A8FFBE25}"/>
            </c:ext>
          </c:extLst>
        </c:ser>
        <c:dLbls>
          <c:showVal val="1"/>
          <c:showCatName val="1"/>
        </c:dLbls>
      </c:pie3DChart>
      <c:spPr>
        <a:effectLst>
          <a:outerShdw blurRad="50800" dist="50800" dir="5400000" algn="ctr" rotWithShape="0">
            <a:srgbClr val="DCFCEE"/>
          </a:outerShdw>
        </a:effectLst>
      </c:spPr>
    </c:plotArea>
    <c:plotVisOnly val="1"/>
    <c:dispBlanksAs val="zero"/>
  </c:chart>
  <c:spPr>
    <a:noFill/>
    <a:ln>
      <a:noFill/>
    </a:ln>
    <a:effectLst>
      <a:outerShdw blurRad="50800" dist="50800" dir="5400000" sx="1000" sy="1000" algn="ctr" rotWithShape="0">
        <a:srgbClr val="000000"/>
      </a:outerShdw>
    </a:effectLst>
    <a:scene3d>
      <a:camera prst="orthographicFront"/>
      <a:lightRig rig="threePt" dir="t"/>
    </a:scene3d>
    <a:sp3d prstMaterial="translucentPowder">
      <a:bevelT w="165100" prst="coolSlant"/>
      <a:bevelB w="63500" h="165100"/>
    </a:sp3d>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DA68A2-0464-4EE9-9413-352AA5BB2F90}" type="doc">
      <dgm:prSet loTypeId="urn:microsoft.com/office/officeart/2005/8/layout/hierarchy4" loCatId="list" qsTypeId="urn:microsoft.com/office/officeart/2005/8/quickstyle/simple5" qsCatId="simple" csTypeId="urn:microsoft.com/office/officeart/2005/8/colors/accent4_5" csCatId="accent4" phldr="1"/>
      <dgm:spPr/>
      <dgm:t>
        <a:bodyPr/>
        <a:lstStyle/>
        <a:p>
          <a:endParaRPr lang="ru-RU"/>
        </a:p>
      </dgm:t>
    </dgm:pt>
    <dgm:pt modelId="{DF103BE6-9D31-44BE-A11E-6447184827B7}">
      <dgm:prSet phldrT="[Текст]"/>
      <dgm:spPr/>
      <dgm:t>
        <a:bodyPr/>
        <a:lstStyle/>
        <a:p>
          <a:r>
            <a:rPr lang="ru-RU"/>
            <a:t>Структура доходної частини бюджету за </a:t>
          </a:r>
          <a:r>
            <a:rPr lang="en-US"/>
            <a:t> I </a:t>
          </a:r>
          <a:r>
            <a:rPr lang="ru-RU"/>
            <a:t>квартал 20</a:t>
          </a:r>
          <a:r>
            <a:rPr lang="en-US"/>
            <a:t>20</a:t>
          </a:r>
          <a:r>
            <a:rPr lang="ru-RU"/>
            <a:t> року</a:t>
          </a:r>
        </a:p>
      </dgm:t>
    </dgm:pt>
    <dgm:pt modelId="{B7D1B373-E7B8-431C-A93A-F684D0535122}" type="parTrans" cxnId="{C1E0C038-5216-4617-AF00-3AA67A191C73}">
      <dgm:prSet/>
      <dgm:spPr/>
      <dgm:t>
        <a:bodyPr/>
        <a:lstStyle/>
        <a:p>
          <a:endParaRPr lang="ru-RU"/>
        </a:p>
      </dgm:t>
    </dgm:pt>
    <dgm:pt modelId="{15B71809-88AF-4C71-AEEA-F3DB69680084}" type="sibTrans" cxnId="{C1E0C038-5216-4617-AF00-3AA67A191C73}">
      <dgm:prSet/>
      <dgm:spPr/>
      <dgm:t>
        <a:bodyPr/>
        <a:lstStyle/>
        <a:p>
          <a:endParaRPr lang="ru-RU"/>
        </a:p>
      </dgm:t>
    </dgm:pt>
    <dgm:pt modelId="{52594BD4-6A12-4357-AF1B-35641AD4E3C4}">
      <dgm:prSet phldrT="[Текст]" custT="1"/>
      <dgm:spPr/>
      <dgm:t>
        <a:bodyPr/>
        <a:lstStyle/>
        <a:p>
          <a:r>
            <a:rPr lang="ru-RU" sz="1400">
              <a:solidFill>
                <a:schemeClr val="lt1"/>
              </a:solidFill>
              <a:latin typeface="+mn-lt"/>
              <a:ea typeface="+mn-ea"/>
              <a:cs typeface="+mn-cs"/>
            </a:rPr>
            <a:t>Доходи загального фонду бюджету </a:t>
          </a:r>
        </a:p>
        <a:p>
          <a:r>
            <a:rPr lang="ru-RU" sz="1400">
              <a:solidFill>
                <a:schemeClr val="lt1"/>
              </a:solidFill>
              <a:latin typeface="+mn-lt"/>
              <a:ea typeface="+mn-ea"/>
              <a:cs typeface="+mn-cs"/>
            </a:rPr>
            <a:t>1</a:t>
          </a:r>
          <a:r>
            <a:rPr lang="en-US" sz="1400">
              <a:solidFill>
                <a:schemeClr val="lt1"/>
              </a:solidFill>
              <a:latin typeface="+mn-lt"/>
              <a:ea typeface="+mn-ea"/>
              <a:cs typeface="+mn-cs"/>
            </a:rPr>
            <a:t>451</a:t>
          </a:r>
          <a:r>
            <a:rPr lang="ru-RU" sz="1400">
              <a:solidFill>
                <a:schemeClr val="lt1"/>
              </a:solidFill>
              <a:latin typeface="+mn-lt"/>
              <a:ea typeface="+mn-ea"/>
              <a:cs typeface="+mn-cs"/>
            </a:rPr>
            <a:t>,</a:t>
          </a:r>
          <a:r>
            <a:rPr lang="en-US" sz="1400">
              <a:solidFill>
                <a:schemeClr val="lt1"/>
              </a:solidFill>
              <a:latin typeface="+mn-lt"/>
              <a:ea typeface="+mn-ea"/>
              <a:cs typeface="+mn-cs"/>
            </a:rPr>
            <a:t>0 </a:t>
          </a:r>
          <a:r>
            <a:rPr lang="ru-RU" sz="1400">
              <a:solidFill>
                <a:schemeClr val="lt1"/>
              </a:solidFill>
              <a:latin typeface="+mn-lt"/>
              <a:ea typeface="+mn-ea"/>
              <a:cs typeface="+mn-cs"/>
            </a:rPr>
            <a:t>млн.грн. (</a:t>
          </a:r>
          <a:r>
            <a:rPr lang="en-US" sz="1400">
              <a:solidFill>
                <a:schemeClr val="lt1"/>
              </a:solidFill>
              <a:latin typeface="+mn-lt"/>
              <a:ea typeface="+mn-ea"/>
              <a:cs typeface="+mn-cs"/>
            </a:rPr>
            <a:t>77</a:t>
          </a:r>
          <a:r>
            <a:rPr lang="ru-RU" sz="1400">
              <a:solidFill>
                <a:schemeClr val="lt1"/>
              </a:solidFill>
              <a:latin typeface="+mn-lt"/>
              <a:ea typeface="+mn-ea"/>
              <a:cs typeface="+mn-cs"/>
            </a:rPr>
            <a:t>,8%)</a:t>
          </a:r>
          <a:endParaRPr lang="ru-RU" sz="1400"/>
        </a:p>
      </dgm:t>
    </dgm:pt>
    <dgm:pt modelId="{36DC4C27-1ED6-4A26-B103-BAF95A58A4FF}" type="parTrans" cxnId="{0C8B8572-2614-4591-9DA3-55A226526FD8}">
      <dgm:prSet/>
      <dgm:spPr/>
      <dgm:t>
        <a:bodyPr/>
        <a:lstStyle/>
        <a:p>
          <a:endParaRPr lang="ru-RU"/>
        </a:p>
      </dgm:t>
    </dgm:pt>
    <dgm:pt modelId="{8D5E0C95-2DA4-4D46-AA7E-ACC30D2E38D2}" type="sibTrans" cxnId="{0C8B8572-2614-4591-9DA3-55A226526FD8}">
      <dgm:prSet/>
      <dgm:spPr/>
      <dgm:t>
        <a:bodyPr/>
        <a:lstStyle/>
        <a:p>
          <a:endParaRPr lang="ru-RU"/>
        </a:p>
      </dgm:t>
    </dgm:pt>
    <dgm:pt modelId="{24429F00-0DFF-454A-9439-1BAF40F478EE}">
      <dgm:prSet phldrT="[Текст]" custT="1"/>
      <dgm:spPr/>
      <dgm:t>
        <a:bodyPr/>
        <a:lstStyle/>
        <a:p>
          <a:r>
            <a:rPr lang="ru-RU" sz="1400">
              <a:solidFill>
                <a:schemeClr val="lt1"/>
              </a:solidFill>
              <a:latin typeface="+mn-lt"/>
              <a:ea typeface="+mn-ea"/>
              <a:cs typeface="+mn-cs"/>
            </a:rPr>
            <a:t>Доходи спеціального фонду бюджету </a:t>
          </a:r>
          <a:r>
            <a:rPr lang="en-US" sz="1400">
              <a:solidFill>
                <a:schemeClr val="lt1"/>
              </a:solidFill>
              <a:latin typeface="+mn-lt"/>
              <a:ea typeface="+mn-ea"/>
              <a:cs typeface="+mn-cs"/>
            </a:rPr>
            <a:t> </a:t>
          </a:r>
          <a:endParaRPr lang="ru-RU" sz="1400"/>
        </a:p>
        <a:p>
          <a:r>
            <a:rPr lang="en-US" sz="1400">
              <a:solidFill>
                <a:schemeClr val="lt1"/>
              </a:solidFill>
              <a:latin typeface="+mn-lt"/>
              <a:ea typeface="+mn-ea"/>
              <a:cs typeface="+mn-cs"/>
            </a:rPr>
            <a:t>61</a:t>
          </a:r>
          <a:r>
            <a:rPr lang="ru-RU" sz="1400">
              <a:solidFill>
                <a:schemeClr val="lt1"/>
              </a:solidFill>
              <a:latin typeface="+mn-lt"/>
              <a:ea typeface="+mn-ea"/>
              <a:cs typeface="+mn-cs"/>
            </a:rPr>
            <a:t>,</a:t>
          </a:r>
          <a:r>
            <a:rPr lang="en-US" sz="1400">
              <a:solidFill>
                <a:schemeClr val="lt1"/>
              </a:solidFill>
              <a:latin typeface="+mn-lt"/>
              <a:ea typeface="+mn-ea"/>
              <a:cs typeface="+mn-cs"/>
            </a:rPr>
            <a:t>6</a:t>
          </a:r>
          <a:r>
            <a:rPr lang="ru-RU" sz="1400">
              <a:solidFill>
                <a:schemeClr val="lt1"/>
              </a:solidFill>
              <a:latin typeface="+mn-lt"/>
              <a:ea typeface="+mn-ea"/>
              <a:cs typeface="+mn-cs"/>
            </a:rPr>
            <a:t> млн.грн. </a:t>
          </a:r>
          <a:r>
            <a:rPr lang="en-US" sz="1400">
              <a:solidFill>
                <a:schemeClr val="lt1"/>
              </a:solidFill>
              <a:latin typeface="+mn-lt"/>
              <a:ea typeface="+mn-ea"/>
              <a:cs typeface="+mn-cs"/>
            </a:rPr>
            <a:t>     </a:t>
          </a:r>
          <a:endParaRPr lang="uk-UA" sz="1400">
            <a:solidFill>
              <a:schemeClr val="lt1"/>
            </a:solidFill>
            <a:latin typeface="+mn-lt"/>
            <a:ea typeface="+mn-ea"/>
            <a:cs typeface="+mn-cs"/>
          </a:endParaRPr>
        </a:p>
        <a:p>
          <a:r>
            <a:rPr lang="ru-RU" sz="1400">
              <a:solidFill>
                <a:schemeClr val="lt1"/>
              </a:solidFill>
              <a:latin typeface="+mn-lt"/>
              <a:ea typeface="+mn-ea"/>
              <a:cs typeface="+mn-cs"/>
            </a:rPr>
            <a:t>(</a:t>
          </a:r>
          <a:r>
            <a:rPr lang="en-US" sz="1400">
              <a:solidFill>
                <a:schemeClr val="lt1"/>
              </a:solidFill>
              <a:latin typeface="+mn-lt"/>
              <a:ea typeface="+mn-ea"/>
              <a:cs typeface="+mn-cs"/>
            </a:rPr>
            <a:t>3</a:t>
          </a:r>
          <a:r>
            <a:rPr lang="ru-RU" sz="1400">
              <a:solidFill>
                <a:schemeClr val="lt1"/>
              </a:solidFill>
              <a:latin typeface="+mn-lt"/>
              <a:ea typeface="+mn-ea"/>
              <a:cs typeface="+mn-cs"/>
            </a:rPr>
            <a:t>,</a:t>
          </a:r>
          <a:r>
            <a:rPr lang="en-US" sz="1400">
              <a:solidFill>
                <a:schemeClr val="lt1"/>
              </a:solidFill>
              <a:latin typeface="+mn-lt"/>
              <a:ea typeface="+mn-ea"/>
              <a:cs typeface="+mn-cs"/>
            </a:rPr>
            <a:t>3</a:t>
          </a:r>
          <a:r>
            <a:rPr lang="ru-RU" sz="1400">
              <a:solidFill>
                <a:schemeClr val="lt1"/>
              </a:solidFill>
              <a:latin typeface="+mn-lt"/>
              <a:ea typeface="+mn-ea"/>
              <a:cs typeface="+mn-cs"/>
            </a:rPr>
            <a:t>%)</a:t>
          </a:r>
          <a:endParaRPr lang="ru-RU" sz="1400"/>
        </a:p>
      </dgm:t>
    </dgm:pt>
    <dgm:pt modelId="{641306BA-7D3F-45D1-8892-27710182835E}" type="parTrans" cxnId="{E474EDCC-BC97-420B-9E63-29A67518526C}">
      <dgm:prSet/>
      <dgm:spPr/>
      <dgm:t>
        <a:bodyPr/>
        <a:lstStyle/>
        <a:p>
          <a:endParaRPr lang="ru-RU"/>
        </a:p>
      </dgm:t>
    </dgm:pt>
    <dgm:pt modelId="{CBEDC1EE-EC89-4B75-BAB2-BDBF14BFA6CD}" type="sibTrans" cxnId="{E474EDCC-BC97-420B-9E63-29A67518526C}">
      <dgm:prSet/>
      <dgm:spPr/>
      <dgm:t>
        <a:bodyPr/>
        <a:lstStyle/>
        <a:p>
          <a:endParaRPr lang="ru-RU"/>
        </a:p>
      </dgm:t>
    </dgm:pt>
    <dgm:pt modelId="{032F85E7-9B93-4CD5-9B3E-6E97E822D391}">
      <dgm:prSet phldrT="[Текст]" custT="1"/>
      <dgm:spPr/>
      <dgm:t>
        <a:bodyPr/>
        <a:lstStyle/>
        <a:p>
          <a:r>
            <a:rPr lang="ru-RU" sz="1400">
              <a:solidFill>
                <a:schemeClr val="lt1"/>
              </a:solidFill>
              <a:latin typeface="+mn-lt"/>
              <a:ea typeface="+mn-ea"/>
              <a:cs typeface="+mn-cs"/>
            </a:rPr>
            <a:t>Офіційні трансферти </a:t>
          </a:r>
          <a:r>
            <a:rPr lang="en-US" sz="1400">
              <a:solidFill>
                <a:schemeClr val="lt1"/>
              </a:solidFill>
              <a:latin typeface="+mn-lt"/>
              <a:ea typeface="+mn-ea"/>
              <a:cs typeface="+mn-cs"/>
            </a:rPr>
            <a:t>   </a:t>
          </a:r>
          <a:r>
            <a:rPr lang="uk-UA" sz="1400">
              <a:solidFill>
                <a:schemeClr val="lt1"/>
              </a:solidFill>
              <a:latin typeface="+mn-lt"/>
              <a:ea typeface="+mn-ea"/>
              <a:cs typeface="+mn-cs"/>
            </a:rPr>
            <a:t> </a:t>
          </a:r>
          <a:r>
            <a:rPr lang="en-US" sz="1400">
              <a:solidFill>
                <a:schemeClr val="lt1"/>
              </a:solidFill>
              <a:latin typeface="+mn-lt"/>
              <a:ea typeface="+mn-ea"/>
              <a:cs typeface="+mn-cs"/>
            </a:rPr>
            <a:t>353</a:t>
          </a:r>
          <a:r>
            <a:rPr lang="ru-RU" sz="1400">
              <a:solidFill>
                <a:schemeClr val="lt1"/>
              </a:solidFill>
              <a:latin typeface="+mn-lt"/>
              <a:ea typeface="+mn-ea"/>
              <a:cs typeface="+mn-cs"/>
            </a:rPr>
            <a:t>,</a:t>
          </a:r>
          <a:r>
            <a:rPr lang="en-US" sz="1400">
              <a:solidFill>
                <a:schemeClr val="lt1"/>
              </a:solidFill>
              <a:latin typeface="+mn-lt"/>
              <a:ea typeface="+mn-ea"/>
              <a:cs typeface="+mn-cs"/>
            </a:rPr>
            <a:t>6</a:t>
          </a:r>
          <a:r>
            <a:rPr lang="ru-RU" sz="1400">
              <a:solidFill>
                <a:schemeClr val="lt1"/>
              </a:solidFill>
              <a:latin typeface="+mn-lt"/>
              <a:ea typeface="+mn-ea"/>
              <a:cs typeface="+mn-cs"/>
            </a:rPr>
            <a:t> млн.грн.</a:t>
          </a:r>
          <a:r>
            <a:rPr lang="en-US" sz="1400">
              <a:solidFill>
                <a:schemeClr val="lt1"/>
              </a:solidFill>
              <a:latin typeface="+mn-lt"/>
              <a:ea typeface="+mn-ea"/>
              <a:cs typeface="+mn-cs"/>
            </a:rPr>
            <a:t>     </a:t>
          </a:r>
          <a:endParaRPr lang="uk-UA" sz="1400">
            <a:solidFill>
              <a:schemeClr val="lt1"/>
            </a:solidFill>
            <a:latin typeface="+mn-lt"/>
            <a:ea typeface="+mn-ea"/>
            <a:cs typeface="+mn-cs"/>
          </a:endParaRPr>
        </a:p>
        <a:p>
          <a:r>
            <a:rPr lang="ru-RU" sz="1400">
              <a:solidFill>
                <a:schemeClr val="lt1"/>
              </a:solidFill>
              <a:latin typeface="+mn-lt"/>
              <a:ea typeface="+mn-ea"/>
              <a:cs typeface="+mn-cs"/>
            </a:rPr>
            <a:t>(</a:t>
          </a:r>
          <a:r>
            <a:rPr lang="en-US" sz="1400">
              <a:solidFill>
                <a:schemeClr val="lt1"/>
              </a:solidFill>
              <a:latin typeface="+mn-lt"/>
              <a:ea typeface="+mn-ea"/>
              <a:cs typeface="+mn-cs"/>
            </a:rPr>
            <a:t>18,9</a:t>
          </a:r>
          <a:r>
            <a:rPr lang="ru-RU" sz="1400">
              <a:solidFill>
                <a:schemeClr val="lt1"/>
              </a:solidFill>
              <a:latin typeface="+mn-lt"/>
              <a:ea typeface="+mn-ea"/>
              <a:cs typeface="+mn-cs"/>
            </a:rPr>
            <a:t>%) </a:t>
          </a:r>
          <a:endParaRPr lang="ru-RU" sz="1400"/>
        </a:p>
      </dgm:t>
    </dgm:pt>
    <dgm:pt modelId="{0C6C3FE4-52FF-4EEF-BDBB-637FFC589217}" type="parTrans" cxnId="{B4FE311B-6B06-4902-9D59-06D2A97B8A2C}">
      <dgm:prSet/>
      <dgm:spPr/>
      <dgm:t>
        <a:bodyPr/>
        <a:lstStyle/>
        <a:p>
          <a:endParaRPr lang="ru-RU"/>
        </a:p>
      </dgm:t>
    </dgm:pt>
    <dgm:pt modelId="{F87FD95F-4C79-4B43-BA87-5A28840AB541}" type="sibTrans" cxnId="{B4FE311B-6B06-4902-9D59-06D2A97B8A2C}">
      <dgm:prSet/>
      <dgm:spPr/>
      <dgm:t>
        <a:bodyPr/>
        <a:lstStyle/>
        <a:p>
          <a:endParaRPr lang="ru-RU"/>
        </a:p>
      </dgm:t>
    </dgm:pt>
    <dgm:pt modelId="{92E1C9B2-9664-48B7-8ED3-1EFA2324A914}" type="pres">
      <dgm:prSet presAssocID="{90DA68A2-0464-4EE9-9413-352AA5BB2F90}" presName="Name0" presStyleCnt="0">
        <dgm:presLayoutVars>
          <dgm:chPref val="1"/>
          <dgm:dir/>
          <dgm:animOne val="branch"/>
          <dgm:animLvl val="lvl"/>
          <dgm:resizeHandles/>
        </dgm:presLayoutVars>
      </dgm:prSet>
      <dgm:spPr/>
      <dgm:t>
        <a:bodyPr/>
        <a:lstStyle/>
        <a:p>
          <a:endParaRPr lang="ru-RU"/>
        </a:p>
      </dgm:t>
    </dgm:pt>
    <dgm:pt modelId="{4D835E16-1F71-45A0-973D-FE07465E3266}" type="pres">
      <dgm:prSet presAssocID="{DF103BE6-9D31-44BE-A11E-6447184827B7}" presName="vertOne" presStyleCnt="0"/>
      <dgm:spPr/>
    </dgm:pt>
    <dgm:pt modelId="{DDC931A5-14F0-464D-A305-BF8491344A19}" type="pres">
      <dgm:prSet presAssocID="{DF103BE6-9D31-44BE-A11E-6447184827B7}" presName="txOne" presStyleLbl="node0" presStyleIdx="0" presStyleCnt="1" custScaleY="64964">
        <dgm:presLayoutVars>
          <dgm:chPref val="3"/>
        </dgm:presLayoutVars>
      </dgm:prSet>
      <dgm:spPr/>
      <dgm:t>
        <a:bodyPr/>
        <a:lstStyle/>
        <a:p>
          <a:endParaRPr lang="ru-RU"/>
        </a:p>
      </dgm:t>
    </dgm:pt>
    <dgm:pt modelId="{4D04AA0F-6D37-48A8-B917-8273188E5F78}" type="pres">
      <dgm:prSet presAssocID="{DF103BE6-9D31-44BE-A11E-6447184827B7}" presName="parTransOne" presStyleCnt="0"/>
      <dgm:spPr/>
    </dgm:pt>
    <dgm:pt modelId="{1F50CAA0-06C0-40CC-804D-2A1D36B0CE64}" type="pres">
      <dgm:prSet presAssocID="{DF103BE6-9D31-44BE-A11E-6447184827B7}" presName="horzOne" presStyleCnt="0"/>
      <dgm:spPr/>
    </dgm:pt>
    <dgm:pt modelId="{9D7ADA0B-9FFF-4F9F-944E-742AC806D9AA}" type="pres">
      <dgm:prSet presAssocID="{52594BD4-6A12-4357-AF1B-35641AD4E3C4}" presName="vertTwo" presStyleCnt="0"/>
      <dgm:spPr/>
    </dgm:pt>
    <dgm:pt modelId="{9E71348A-2892-4E0D-83B5-15A8AA0741A3}" type="pres">
      <dgm:prSet presAssocID="{52594BD4-6A12-4357-AF1B-35641AD4E3C4}" presName="txTwo" presStyleLbl="node2" presStyleIdx="0" presStyleCnt="3">
        <dgm:presLayoutVars>
          <dgm:chPref val="3"/>
        </dgm:presLayoutVars>
      </dgm:prSet>
      <dgm:spPr/>
      <dgm:t>
        <a:bodyPr/>
        <a:lstStyle/>
        <a:p>
          <a:endParaRPr lang="ru-RU"/>
        </a:p>
      </dgm:t>
    </dgm:pt>
    <dgm:pt modelId="{CB697729-78CB-493A-A02B-8F0A5BA5698D}" type="pres">
      <dgm:prSet presAssocID="{52594BD4-6A12-4357-AF1B-35641AD4E3C4}" presName="horzTwo" presStyleCnt="0"/>
      <dgm:spPr/>
    </dgm:pt>
    <dgm:pt modelId="{4552E69D-B863-4675-9C51-DB560EADC99E}" type="pres">
      <dgm:prSet presAssocID="{8D5E0C95-2DA4-4D46-AA7E-ACC30D2E38D2}" presName="sibSpaceTwo" presStyleCnt="0"/>
      <dgm:spPr/>
    </dgm:pt>
    <dgm:pt modelId="{348B3BA0-F4C4-4D3C-8052-5A02C208C321}" type="pres">
      <dgm:prSet presAssocID="{24429F00-0DFF-454A-9439-1BAF40F478EE}" presName="vertTwo" presStyleCnt="0"/>
      <dgm:spPr/>
    </dgm:pt>
    <dgm:pt modelId="{22B70AAB-1F01-44BD-8C86-280DFCC25A82}" type="pres">
      <dgm:prSet presAssocID="{24429F00-0DFF-454A-9439-1BAF40F478EE}" presName="txTwo" presStyleLbl="node2" presStyleIdx="1" presStyleCnt="3">
        <dgm:presLayoutVars>
          <dgm:chPref val="3"/>
        </dgm:presLayoutVars>
      </dgm:prSet>
      <dgm:spPr/>
      <dgm:t>
        <a:bodyPr/>
        <a:lstStyle/>
        <a:p>
          <a:endParaRPr lang="ru-RU"/>
        </a:p>
      </dgm:t>
    </dgm:pt>
    <dgm:pt modelId="{2B751C69-C63C-4E31-9604-7C5FDE351947}" type="pres">
      <dgm:prSet presAssocID="{24429F00-0DFF-454A-9439-1BAF40F478EE}" presName="horzTwo" presStyleCnt="0"/>
      <dgm:spPr/>
    </dgm:pt>
    <dgm:pt modelId="{086A18D3-191B-49F3-8D8A-CF458639FD9B}" type="pres">
      <dgm:prSet presAssocID="{CBEDC1EE-EC89-4B75-BAB2-BDBF14BFA6CD}" presName="sibSpaceTwo" presStyleCnt="0"/>
      <dgm:spPr/>
    </dgm:pt>
    <dgm:pt modelId="{84DC1EB3-8EE1-4F31-B98B-B08E6E6AFBAA}" type="pres">
      <dgm:prSet presAssocID="{032F85E7-9B93-4CD5-9B3E-6E97E822D391}" presName="vertTwo" presStyleCnt="0"/>
      <dgm:spPr/>
    </dgm:pt>
    <dgm:pt modelId="{BF35DE20-2FFE-4066-B1D3-6558A301840F}" type="pres">
      <dgm:prSet presAssocID="{032F85E7-9B93-4CD5-9B3E-6E97E822D391}" presName="txTwo" presStyleLbl="node2" presStyleIdx="2" presStyleCnt="3">
        <dgm:presLayoutVars>
          <dgm:chPref val="3"/>
        </dgm:presLayoutVars>
      </dgm:prSet>
      <dgm:spPr/>
      <dgm:t>
        <a:bodyPr/>
        <a:lstStyle/>
        <a:p>
          <a:endParaRPr lang="ru-RU"/>
        </a:p>
      </dgm:t>
    </dgm:pt>
    <dgm:pt modelId="{039F3D6E-EE40-408A-A254-69598DFDFFDA}" type="pres">
      <dgm:prSet presAssocID="{032F85E7-9B93-4CD5-9B3E-6E97E822D391}" presName="horzTwo" presStyleCnt="0"/>
      <dgm:spPr/>
    </dgm:pt>
  </dgm:ptLst>
  <dgm:cxnLst>
    <dgm:cxn modelId="{7D9D2E6F-89F1-4573-8A34-5F17FC123AE6}" type="presOf" srcId="{032F85E7-9B93-4CD5-9B3E-6E97E822D391}" destId="{BF35DE20-2FFE-4066-B1D3-6558A301840F}" srcOrd="0" destOrd="0" presId="urn:microsoft.com/office/officeart/2005/8/layout/hierarchy4"/>
    <dgm:cxn modelId="{B4FE311B-6B06-4902-9D59-06D2A97B8A2C}" srcId="{DF103BE6-9D31-44BE-A11E-6447184827B7}" destId="{032F85E7-9B93-4CD5-9B3E-6E97E822D391}" srcOrd="2" destOrd="0" parTransId="{0C6C3FE4-52FF-4EEF-BDBB-637FFC589217}" sibTransId="{F87FD95F-4C79-4B43-BA87-5A28840AB541}"/>
    <dgm:cxn modelId="{F02728D5-CBF8-443C-9DA0-9968BB8B771E}" type="presOf" srcId="{52594BD4-6A12-4357-AF1B-35641AD4E3C4}" destId="{9E71348A-2892-4E0D-83B5-15A8AA0741A3}" srcOrd="0" destOrd="0" presId="urn:microsoft.com/office/officeart/2005/8/layout/hierarchy4"/>
    <dgm:cxn modelId="{B6DCC1B0-9F7B-485D-A2D5-F0FA3706081D}" type="presOf" srcId="{24429F00-0DFF-454A-9439-1BAF40F478EE}" destId="{22B70AAB-1F01-44BD-8C86-280DFCC25A82}" srcOrd="0" destOrd="0" presId="urn:microsoft.com/office/officeart/2005/8/layout/hierarchy4"/>
    <dgm:cxn modelId="{D255C65C-1540-49FB-9F27-074CFDA2BF1E}" type="presOf" srcId="{DF103BE6-9D31-44BE-A11E-6447184827B7}" destId="{DDC931A5-14F0-464D-A305-BF8491344A19}" srcOrd="0" destOrd="0" presId="urn:microsoft.com/office/officeart/2005/8/layout/hierarchy4"/>
    <dgm:cxn modelId="{C1E0C038-5216-4617-AF00-3AA67A191C73}" srcId="{90DA68A2-0464-4EE9-9413-352AA5BB2F90}" destId="{DF103BE6-9D31-44BE-A11E-6447184827B7}" srcOrd="0" destOrd="0" parTransId="{B7D1B373-E7B8-431C-A93A-F684D0535122}" sibTransId="{15B71809-88AF-4C71-AEEA-F3DB69680084}"/>
    <dgm:cxn modelId="{0C8B8572-2614-4591-9DA3-55A226526FD8}" srcId="{DF103BE6-9D31-44BE-A11E-6447184827B7}" destId="{52594BD4-6A12-4357-AF1B-35641AD4E3C4}" srcOrd="0" destOrd="0" parTransId="{36DC4C27-1ED6-4A26-B103-BAF95A58A4FF}" sibTransId="{8D5E0C95-2DA4-4D46-AA7E-ACC30D2E38D2}"/>
    <dgm:cxn modelId="{E474EDCC-BC97-420B-9E63-29A67518526C}" srcId="{DF103BE6-9D31-44BE-A11E-6447184827B7}" destId="{24429F00-0DFF-454A-9439-1BAF40F478EE}" srcOrd="1" destOrd="0" parTransId="{641306BA-7D3F-45D1-8892-27710182835E}" sibTransId="{CBEDC1EE-EC89-4B75-BAB2-BDBF14BFA6CD}"/>
    <dgm:cxn modelId="{A50DB0A3-1AE9-44A9-9580-8DEE3714A3DC}" type="presOf" srcId="{90DA68A2-0464-4EE9-9413-352AA5BB2F90}" destId="{92E1C9B2-9664-48B7-8ED3-1EFA2324A914}" srcOrd="0" destOrd="0" presId="urn:microsoft.com/office/officeart/2005/8/layout/hierarchy4"/>
    <dgm:cxn modelId="{75A2FEAC-C891-40DB-9934-05AADDB3F443}" type="presParOf" srcId="{92E1C9B2-9664-48B7-8ED3-1EFA2324A914}" destId="{4D835E16-1F71-45A0-973D-FE07465E3266}" srcOrd="0" destOrd="0" presId="urn:microsoft.com/office/officeart/2005/8/layout/hierarchy4"/>
    <dgm:cxn modelId="{16C1FD0B-F5B6-41D3-B7A4-66C01D03DEC4}" type="presParOf" srcId="{4D835E16-1F71-45A0-973D-FE07465E3266}" destId="{DDC931A5-14F0-464D-A305-BF8491344A19}" srcOrd="0" destOrd="0" presId="urn:microsoft.com/office/officeart/2005/8/layout/hierarchy4"/>
    <dgm:cxn modelId="{DEDF4E41-AECE-49A3-BEBE-56C5A86F864C}" type="presParOf" srcId="{4D835E16-1F71-45A0-973D-FE07465E3266}" destId="{4D04AA0F-6D37-48A8-B917-8273188E5F78}" srcOrd="1" destOrd="0" presId="urn:microsoft.com/office/officeart/2005/8/layout/hierarchy4"/>
    <dgm:cxn modelId="{CBD5867F-4D5C-4975-9C86-6874B4BFC729}" type="presParOf" srcId="{4D835E16-1F71-45A0-973D-FE07465E3266}" destId="{1F50CAA0-06C0-40CC-804D-2A1D36B0CE64}" srcOrd="2" destOrd="0" presId="urn:microsoft.com/office/officeart/2005/8/layout/hierarchy4"/>
    <dgm:cxn modelId="{A4946E3A-4A94-41C8-AD1B-C31FB2344968}" type="presParOf" srcId="{1F50CAA0-06C0-40CC-804D-2A1D36B0CE64}" destId="{9D7ADA0B-9FFF-4F9F-944E-742AC806D9AA}" srcOrd="0" destOrd="0" presId="urn:microsoft.com/office/officeart/2005/8/layout/hierarchy4"/>
    <dgm:cxn modelId="{574EE99C-7585-425A-A2D8-59326327593C}" type="presParOf" srcId="{9D7ADA0B-9FFF-4F9F-944E-742AC806D9AA}" destId="{9E71348A-2892-4E0D-83B5-15A8AA0741A3}" srcOrd="0" destOrd="0" presId="urn:microsoft.com/office/officeart/2005/8/layout/hierarchy4"/>
    <dgm:cxn modelId="{FDC4064A-D592-44AF-AD6D-58F60C44D258}" type="presParOf" srcId="{9D7ADA0B-9FFF-4F9F-944E-742AC806D9AA}" destId="{CB697729-78CB-493A-A02B-8F0A5BA5698D}" srcOrd="1" destOrd="0" presId="urn:microsoft.com/office/officeart/2005/8/layout/hierarchy4"/>
    <dgm:cxn modelId="{1BC12777-A7B9-4AD9-ABD1-71815DD20AFC}" type="presParOf" srcId="{1F50CAA0-06C0-40CC-804D-2A1D36B0CE64}" destId="{4552E69D-B863-4675-9C51-DB560EADC99E}" srcOrd="1" destOrd="0" presId="urn:microsoft.com/office/officeart/2005/8/layout/hierarchy4"/>
    <dgm:cxn modelId="{2392EE2B-B817-49E4-857A-FF7A64C4DF9E}" type="presParOf" srcId="{1F50CAA0-06C0-40CC-804D-2A1D36B0CE64}" destId="{348B3BA0-F4C4-4D3C-8052-5A02C208C321}" srcOrd="2" destOrd="0" presId="urn:microsoft.com/office/officeart/2005/8/layout/hierarchy4"/>
    <dgm:cxn modelId="{99D999D2-3545-4E27-B165-47ED62DA42B4}" type="presParOf" srcId="{348B3BA0-F4C4-4D3C-8052-5A02C208C321}" destId="{22B70AAB-1F01-44BD-8C86-280DFCC25A82}" srcOrd="0" destOrd="0" presId="urn:microsoft.com/office/officeart/2005/8/layout/hierarchy4"/>
    <dgm:cxn modelId="{17125B22-FCF1-4438-8648-58350FF0B984}" type="presParOf" srcId="{348B3BA0-F4C4-4D3C-8052-5A02C208C321}" destId="{2B751C69-C63C-4E31-9604-7C5FDE351947}" srcOrd="1" destOrd="0" presId="urn:microsoft.com/office/officeart/2005/8/layout/hierarchy4"/>
    <dgm:cxn modelId="{548C030B-6F8F-4360-87B7-5709B2C8FE37}" type="presParOf" srcId="{1F50CAA0-06C0-40CC-804D-2A1D36B0CE64}" destId="{086A18D3-191B-49F3-8D8A-CF458639FD9B}" srcOrd="3" destOrd="0" presId="urn:microsoft.com/office/officeart/2005/8/layout/hierarchy4"/>
    <dgm:cxn modelId="{C8D5DDC0-CD34-4983-982F-5F65185E6F93}" type="presParOf" srcId="{1F50CAA0-06C0-40CC-804D-2A1D36B0CE64}" destId="{84DC1EB3-8EE1-4F31-B98B-B08E6E6AFBAA}" srcOrd="4" destOrd="0" presId="urn:microsoft.com/office/officeart/2005/8/layout/hierarchy4"/>
    <dgm:cxn modelId="{A194D7FC-6FD5-4851-96CB-AE494312B88E}" type="presParOf" srcId="{84DC1EB3-8EE1-4F31-B98B-B08E6E6AFBAA}" destId="{BF35DE20-2FFE-4066-B1D3-6558A301840F}" srcOrd="0" destOrd="0" presId="urn:microsoft.com/office/officeart/2005/8/layout/hierarchy4"/>
    <dgm:cxn modelId="{549EBA3E-51AB-4F42-83A5-F8EB2832F8DF}" type="presParOf" srcId="{84DC1EB3-8EE1-4F31-B98B-B08E6E6AFBAA}" destId="{039F3D6E-EE40-408A-A254-69598DFDFFDA}" srcOrd="1" destOrd="0" presId="urn:microsoft.com/office/officeart/2005/8/layout/hierarchy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C931A5-14F0-464D-A305-BF8491344A19}">
      <dsp:nvSpPr>
        <dsp:cNvPr id="0" name=""/>
        <dsp:cNvSpPr/>
      </dsp:nvSpPr>
      <dsp:spPr>
        <a:xfrm>
          <a:off x="2188" y="1062"/>
          <a:ext cx="6085273" cy="713170"/>
        </a:xfrm>
        <a:prstGeom prst="roundRect">
          <a:avLst>
            <a:gd name="adj" fmla="val 10000"/>
          </a:avLst>
        </a:prstGeom>
        <a:gradFill rotWithShape="0">
          <a:gsLst>
            <a:gs pos="0">
              <a:schemeClr val="accent4">
                <a:alpha val="80000"/>
                <a:hueOff val="0"/>
                <a:satOff val="0"/>
                <a:lumOff val="0"/>
                <a:alphaOff val="0"/>
                <a:shade val="51000"/>
                <a:satMod val="130000"/>
              </a:schemeClr>
            </a:gs>
            <a:gs pos="80000">
              <a:schemeClr val="accent4">
                <a:alpha val="80000"/>
                <a:hueOff val="0"/>
                <a:satOff val="0"/>
                <a:lumOff val="0"/>
                <a:alphaOff val="0"/>
                <a:shade val="93000"/>
                <a:satMod val="130000"/>
              </a:schemeClr>
            </a:gs>
            <a:gs pos="100000">
              <a:schemeClr val="accent4">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Структура доходної частини бюджету за </a:t>
          </a:r>
          <a:r>
            <a:rPr lang="en-US" sz="1800" kern="1200"/>
            <a:t> I </a:t>
          </a:r>
          <a:r>
            <a:rPr lang="ru-RU" sz="1800" kern="1200"/>
            <a:t>квартал 20</a:t>
          </a:r>
          <a:r>
            <a:rPr lang="en-US" sz="1800" kern="1200"/>
            <a:t>20</a:t>
          </a:r>
          <a:r>
            <a:rPr lang="ru-RU" sz="1800" kern="1200"/>
            <a:t> року</a:t>
          </a:r>
        </a:p>
      </dsp:txBody>
      <dsp:txXfrm>
        <a:off x="2188" y="1062"/>
        <a:ext cx="6085273" cy="713170"/>
      </dsp:txXfrm>
    </dsp:sp>
    <dsp:sp modelId="{9E71348A-2892-4E0D-83B5-15A8AA0741A3}">
      <dsp:nvSpPr>
        <dsp:cNvPr id="0" name=""/>
        <dsp:cNvSpPr/>
      </dsp:nvSpPr>
      <dsp:spPr>
        <a:xfrm>
          <a:off x="2188" y="901394"/>
          <a:ext cx="1920856" cy="1097793"/>
        </a:xfrm>
        <a:prstGeom prst="roundRect">
          <a:avLst>
            <a:gd name="adj" fmla="val 10000"/>
          </a:avLst>
        </a:prstGeom>
        <a:gradFill rotWithShape="0">
          <a:gsLst>
            <a:gs pos="0">
              <a:schemeClr val="accent4">
                <a:alpha val="70000"/>
                <a:hueOff val="0"/>
                <a:satOff val="0"/>
                <a:lumOff val="0"/>
                <a:alphaOff val="0"/>
                <a:shade val="51000"/>
                <a:satMod val="130000"/>
              </a:schemeClr>
            </a:gs>
            <a:gs pos="80000">
              <a:schemeClr val="accent4">
                <a:alpha val="70000"/>
                <a:hueOff val="0"/>
                <a:satOff val="0"/>
                <a:lumOff val="0"/>
                <a:alphaOff val="0"/>
                <a:shade val="93000"/>
                <a:satMod val="130000"/>
              </a:schemeClr>
            </a:gs>
            <a:gs pos="100000">
              <a:schemeClr val="accent4">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lt1"/>
              </a:solidFill>
              <a:latin typeface="+mn-lt"/>
              <a:ea typeface="+mn-ea"/>
              <a:cs typeface="+mn-cs"/>
            </a:rPr>
            <a:t>Доходи загального фонду бюджету </a:t>
          </a:r>
        </a:p>
        <a:p>
          <a:pPr lvl="0" algn="ctr" defTabSz="622300">
            <a:lnSpc>
              <a:spcPct val="90000"/>
            </a:lnSpc>
            <a:spcBef>
              <a:spcPct val="0"/>
            </a:spcBef>
            <a:spcAft>
              <a:spcPct val="35000"/>
            </a:spcAft>
          </a:pPr>
          <a:r>
            <a:rPr lang="ru-RU" sz="1400" kern="1200">
              <a:solidFill>
                <a:schemeClr val="lt1"/>
              </a:solidFill>
              <a:latin typeface="+mn-lt"/>
              <a:ea typeface="+mn-ea"/>
              <a:cs typeface="+mn-cs"/>
            </a:rPr>
            <a:t>1</a:t>
          </a:r>
          <a:r>
            <a:rPr lang="en-US" sz="1400" kern="1200">
              <a:solidFill>
                <a:schemeClr val="lt1"/>
              </a:solidFill>
              <a:latin typeface="+mn-lt"/>
              <a:ea typeface="+mn-ea"/>
              <a:cs typeface="+mn-cs"/>
            </a:rPr>
            <a:t>451</a:t>
          </a:r>
          <a:r>
            <a:rPr lang="ru-RU" sz="1400" kern="1200">
              <a:solidFill>
                <a:schemeClr val="lt1"/>
              </a:solidFill>
              <a:latin typeface="+mn-lt"/>
              <a:ea typeface="+mn-ea"/>
              <a:cs typeface="+mn-cs"/>
            </a:rPr>
            <a:t>,</a:t>
          </a:r>
          <a:r>
            <a:rPr lang="en-US" sz="1400" kern="1200">
              <a:solidFill>
                <a:schemeClr val="lt1"/>
              </a:solidFill>
              <a:latin typeface="+mn-lt"/>
              <a:ea typeface="+mn-ea"/>
              <a:cs typeface="+mn-cs"/>
            </a:rPr>
            <a:t>0 </a:t>
          </a:r>
          <a:r>
            <a:rPr lang="ru-RU" sz="1400" kern="1200">
              <a:solidFill>
                <a:schemeClr val="lt1"/>
              </a:solidFill>
              <a:latin typeface="+mn-lt"/>
              <a:ea typeface="+mn-ea"/>
              <a:cs typeface="+mn-cs"/>
            </a:rPr>
            <a:t>млн.грн. (</a:t>
          </a:r>
          <a:r>
            <a:rPr lang="en-US" sz="1400" kern="1200">
              <a:solidFill>
                <a:schemeClr val="lt1"/>
              </a:solidFill>
              <a:latin typeface="+mn-lt"/>
              <a:ea typeface="+mn-ea"/>
              <a:cs typeface="+mn-cs"/>
            </a:rPr>
            <a:t>77</a:t>
          </a:r>
          <a:r>
            <a:rPr lang="ru-RU" sz="1400" kern="1200">
              <a:solidFill>
                <a:schemeClr val="lt1"/>
              </a:solidFill>
              <a:latin typeface="+mn-lt"/>
              <a:ea typeface="+mn-ea"/>
              <a:cs typeface="+mn-cs"/>
            </a:rPr>
            <a:t>,8%)</a:t>
          </a:r>
          <a:endParaRPr lang="ru-RU" sz="1400" kern="1200"/>
        </a:p>
      </dsp:txBody>
      <dsp:txXfrm>
        <a:off x="2188" y="901394"/>
        <a:ext cx="1920856" cy="1097793"/>
      </dsp:txXfrm>
    </dsp:sp>
    <dsp:sp modelId="{22B70AAB-1F01-44BD-8C86-280DFCC25A82}">
      <dsp:nvSpPr>
        <dsp:cNvPr id="0" name=""/>
        <dsp:cNvSpPr/>
      </dsp:nvSpPr>
      <dsp:spPr>
        <a:xfrm>
          <a:off x="2084396" y="901394"/>
          <a:ext cx="1920856" cy="1097793"/>
        </a:xfrm>
        <a:prstGeom prst="roundRect">
          <a:avLst>
            <a:gd name="adj" fmla="val 10000"/>
          </a:avLst>
        </a:prstGeom>
        <a:gradFill rotWithShape="0">
          <a:gsLst>
            <a:gs pos="0">
              <a:schemeClr val="accent4">
                <a:alpha val="70000"/>
                <a:hueOff val="0"/>
                <a:satOff val="0"/>
                <a:lumOff val="0"/>
                <a:alphaOff val="0"/>
                <a:shade val="51000"/>
                <a:satMod val="130000"/>
              </a:schemeClr>
            </a:gs>
            <a:gs pos="80000">
              <a:schemeClr val="accent4">
                <a:alpha val="70000"/>
                <a:hueOff val="0"/>
                <a:satOff val="0"/>
                <a:lumOff val="0"/>
                <a:alphaOff val="0"/>
                <a:shade val="93000"/>
                <a:satMod val="130000"/>
              </a:schemeClr>
            </a:gs>
            <a:gs pos="100000">
              <a:schemeClr val="accent4">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lt1"/>
              </a:solidFill>
              <a:latin typeface="+mn-lt"/>
              <a:ea typeface="+mn-ea"/>
              <a:cs typeface="+mn-cs"/>
            </a:rPr>
            <a:t>Доходи спеціального фонду бюджету </a:t>
          </a:r>
          <a:r>
            <a:rPr lang="en-US" sz="1400" kern="1200">
              <a:solidFill>
                <a:schemeClr val="lt1"/>
              </a:solidFill>
              <a:latin typeface="+mn-lt"/>
              <a:ea typeface="+mn-ea"/>
              <a:cs typeface="+mn-cs"/>
            </a:rPr>
            <a:t> </a:t>
          </a:r>
          <a:endParaRPr lang="ru-RU" sz="1400" kern="1200"/>
        </a:p>
        <a:p>
          <a:pPr lvl="0" algn="ctr" defTabSz="622300">
            <a:lnSpc>
              <a:spcPct val="90000"/>
            </a:lnSpc>
            <a:spcBef>
              <a:spcPct val="0"/>
            </a:spcBef>
            <a:spcAft>
              <a:spcPct val="35000"/>
            </a:spcAft>
          </a:pPr>
          <a:r>
            <a:rPr lang="en-US" sz="1400" kern="1200">
              <a:solidFill>
                <a:schemeClr val="lt1"/>
              </a:solidFill>
              <a:latin typeface="+mn-lt"/>
              <a:ea typeface="+mn-ea"/>
              <a:cs typeface="+mn-cs"/>
            </a:rPr>
            <a:t>61</a:t>
          </a:r>
          <a:r>
            <a:rPr lang="ru-RU" sz="1400" kern="1200">
              <a:solidFill>
                <a:schemeClr val="lt1"/>
              </a:solidFill>
              <a:latin typeface="+mn-lt"/>
              <a:ea typeface="+mn-ea"/>
              <a:cs typeface="+mn-cs"/>
            </a:rPr>
            <a:t>,</a:t>
          </a:r>
          <a:r>
            <a:rPr lang="en-US" sz="1400" kern="1200">
              <a:solidFill>
                <a:schemeClr val="lt1"/>
              </a:solidFill>
              <a:latin typeface="+mn-lt"/>
              <a:ea typeface="+mn-ea"/>
              <a:cs typeface="+mn-cs"/>
            </a:rPr>
            <a:t>6</a:t>
          </a:r>
          <a:r>
            <a:rPr lang="ru-RU" sz="1400" kern="1200">
              <a:solidFill>
                <a:schemeClr val="lt1"/>
              </a:solidFill>
              <a:latin typeface="+mn-lt"/>
              <a:ea typeface="+mn-ea"/>
              <a:cs typeface="+mn-cs"/>
            </a:rPr>
            <a:t> млн.грн. </a:t>
          </a:r>
          <a:r>
            <a:rPr lang="en-US" sz="1400" kern="1200">
              <a:solidFill>
                <a:schemeClr val="lt1"/>
              </a:solidFill>
              <a:latin typeface="+mn-lt"/>
              <a:ea typeface="+mn-ea"/>
              <a:cs typeface="+mn-cs"/>
            </a:rPr>
            <a:t>     </a:t>
          </a:r>
          <a:endParaRPr lang="uk-UA" sz="1400" kern="1200">
            <a:solidFill>
              <a:schemeClr val="lt1"/>
            </a:solidFill>
            <a:latin typeface="+mn-lt"/>
            <a:ea typeface="+mn-ea"/>
            <a:cs typeface="+mn-cs"/>
          </a:endParaRPr>
        </a:p>
        <a:p>
          <a:pPr lvl="0" algn="ctr" defTabSz="622300">
            <a:lnSpc>
              <a:spcPct val="90000"/>
            </a:lnSpc>
            <a:spcBef>
              <a:spcPct val="0"/>
            </a:spcBef>
            <a:spcAft>
              <a:spcPct val="35000"/>
            </a:spcAft>
          </a:pPr>
          <a:r>
            <a:rPr lang="ru-RU" sz="1400" kern="1200">
              <a:solidFill>
                <a:schemeClr val="lt1"/>
              </a:solidFill>
              <a:latin typeface="+mn-lt"/>
              <a:ea typeface="+mn-ea"/>
              <a:cs typeface="+mn-cs"/>
            </a:rPr>
            <a:t>(</a:t>
          </a:r>
          <a:r>
            <a:rPr lang="en-US" sz="1400" kern="1200">
              <a:solidFill>
                <a:schemeClr val="lt1"/>
              </a:solidFill>
              <a:latin typeface="+mn-lt"/>
              <a:ea typeface="+mn-ea"/>
              <a:cs typeface="+mn-cs"/>
            </a:rPr>
            <a:t>3</a:t>
          </a:r>
          <a:r>
            <a:rPr lang="ru-RU" sz="1400" kern="1200">
              <a:solidFill>
                <a:schemeClr val="lt1"/>
              </a:solidFill>
              <a:latin typeface="+mn-lt"/>
              <a:ea typeface="+mn-ea"/>
              <a:cs typeface="+mn-cs"/>
            </a:rPr>
            <a:t>,</a:t>
          </a:r>
          <a:r>
            <a:rPr lang="en-US" sz="1400" kern="1200">
              <a:solidFill>
                <a:schemeClr val="lt1"/>
              </a:solidFill>
              <a:latin typeface="+mn-lt"/>
              <a:ea typeface="+mn-ea"/>
              <a:cs typeface="+mn-cs"/>
            </a:rPr>
            <a:t>3</a:t>
          </a:r>
          <a:r>
            <a:rPr lang="ru-RU" sz="1400" kern="1200">
              <a:solidFill>
                <a:schemeClr val="lt1"/>
              </a:solidFill>
              <a:latin typeface="+mn-lt"/>
              <a:ea typeface="+mn-ea"/>
              <a:cs typeface="+mn-cs"/>
            </a:rPr>
            <a:t>%)</a:t>
          </a:r>
          <a:endParaRPr lang="ru-RU" sz="1400" kern="1200"/>
        </a:p>
      </dsp:txBody>
      <dsp:txXfrm>
        <a:off x="2084396" y="901394"/>
        <a:ext cx="1920856" cy="1097793"/>
      </dsp:txXfrm>
    </dsp:sp>
    <dsp:sp modelId="{BF35DE20-2FFE-4066-B1D3-6558A301840F}">
      <dsp:nvSpPr>
        <dsp:cNvPr id="0" name=""/>
        <dsp:cNvSpPr/>
      </dsp:nvSpPr>
      <dsp:spPr>
        <a:xfrm>
          <a:off x="4166605" y="901394"/>
          <a:ext cx="1920856" cy="1097793"/>
        </a:xfrm>
        <a:prstGeom prst="roundRect">
          <a:avLst>
            <a:gd name="adj" fmla="val 10000"/>
          </a:avLst>
        </a:prstGeom>
        <a:gradFill rotWithShape="0">
          <a:gsLst>
            <a:gs pos="0">
              <a:schemeClr val="accent4">
                <a:alpha val="70000"/>
                <a:hueOff val="0"/>
                <a:satOff val="0"/>
                <a:lumOff val="0"/>
                <a:alphaOff val="0"/>
                <a:shade val="51000"/>
                <a:satMod val="130000"/>
              </a:schemeClr>
            </a:gs>
            <a:gs pos="80000">
              <a:schemeClr val="accent4">
                <a:alpha val="70000"/>
                <a:hueOff val="0"/>
                <a:satOff val="0"/>
                <a:lumOff val="0"/>
                <a:alphaOff val="0"/>
                <a:shade val="93000"/>
                <a:satMod val="130000"/>
              </a:schemeClr>
            </a:gs>
            <a:gs pos="100000">
              <a:schemeClr val="accent4">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chemeClr val="lt1"/>
              </a:solidFill>
              <a:latin typeface="+mn-lt"/>
              <a:ea typeface="+mn-ea"/>
              <a:cs typeface="+mn-cs"/>
            </a:rPr>
            <a:t>Офіційні трансферти </a:t>
          </a:r>
          <a:r>
            <a:rPr lang="en-US" sz="1400" kern="1200">
              <a:solidFill>
                <a:schemeClr val="lt1"/>
              </a:solidFill>
              <a:latin typeface="+mn-lt"/>
              <a:ea typeface="+mn-ea"/>
              <a:cs typeface="+mn-cs"/>
            </a:rPr>
            <a:t>   </a:t>
          </a:r>
          <a:r>
            <a:rPr lang="uk-UA" sz="1400" kern="1200">
              <a:solidFill>
                <a:schemeClr val="lt1"/>
              </a:solidFill>
              <a:latin typeface="+mn-lt"/>
              <a:ea typeface="+mn-ea"/>
              <a:cs typeface="+mn-cs"/>
            </a:rPr>
            <a:t> </a:t>
          </a:r>
          <a:r>
            <a:rPr lang="en-US" sz="1400" kern="1200">
              <a:solidFill>
                <a:schemeClr val="lt1"/>
              </a:solidFill>
              <a:latin typeface="+mn-lt"/>
              <a:ea typeface="+mn-ea"/>
              <a:cs typeface="+mn-cs"/>
            </a:rPr>
            <a:t>353</a:t>
          </a:r>
          <a:r>
            <a:rPr lang="ru-RU" sz="1400" kern="1200">
              <a:solidFill>
                <a:schemeClr val="lt1"/>
              </a:solidFill>
              <a:latin typeface="+mn-lt"/>
              <a:ea typeface="+mn-ea"/>
              <a:cs typeface="+mn-cs"/>
            </a:rPr>
            <a:t>,</a:t>
          </a:r>
          <a:r>
            <a:rPr lang="en-US" sz="1400" kern="1200">
              <a:solidFill>
                <a:schemeClr val="lt1"/>
              </a:solidFill>
              <a:latin typeface="+mn-lt"/>
              <a:ea typeface="+mn-ea"/>
              <a:cs typeface="+mn-cs"/>
            </a:rPr>
            <a:t>6</a:t>
          </a:r>
          <a:r>
            <a:rPr lang="ru-RU" sz="1400" kern="1200">
              <a:solidFill>
                <a:schemeClr val="lt1"/>
              </a:solidFill>
              <a:latin typeface="+mn-lt"/>
              <a:ea typeface="+mn-ea"/>
              <a:cs typeface="+mn-cs"/>
            </a:rPr>
            <a:t> млн.грн.</a:t>
          </a:r>
          <a:r>
            <a:rPr lang="en-US" sz="1400" kern="1200">
              <a:solidFill>
                <a:schemeClr val="lt1"/>
              </a:solidFill>
              <a:latin typeface="+mn-lt"/>
              <a:ea typeface="+mn-ea"/>
              <a:cs typeface="+mn-cs"/>
            </a:rPr>
            <a:t>     </a:t>
          </a:r>
          <a:endParaRPr lang="uk-UA" sz="1400" kern="1200">
            <a:solidFill>
              <a:schemeClr val="lt1"/>
            </a:solidFill>
            <a:latin typeface="+mn-lt"/>
            <a:ea typeface="+mn-ea"/>
            <a:cs typeface="+mn-cs"/>
          </a:endParaRPr>
        </a:p>
        <a:p>
          <a:pPr lvl="0" algn="ctr" defTabSz="622300">
            <a:lnSpc>
              <a:spcPct val="90000"/>
            </a:lnSpc>
            <a:spcBef>
              <a:spcPct val="0"/>
            </a:spcBef>
            <a:spcAft>
              <a:spcPct val="35000"/>
            </a:spcAft>
          </a:pPr>
          <a:r>
            <a:rPr lang="ru-RU" sz="1400" kern="1200">
              <a:solidFill>
                <a:schemeClr val="lt1"/>
              </a:solidFill>
              <a:latin typeface="+mn-lt"/>
              <a:ea typeface="+mn-ea"/>
              <a:cs typeface="+mn-cs"/>
            </a:rPr>
            <a:t>(</a:t>
          </a:r>
          <a:r>
            <a:rPr lang="en-US" sz="1400" kern="1200">
              <a:solidFill>
                <a:schemeClr val="lt1"/>
              </a:solidFill>
              <a:latin typeface="+mn-lt"/>
              <a:ea typeface="+mn-ea"/>
              <a:cs typeface="+mn-cs"/>
            </a:rPr>
            <a:t>18,9</a:t>
          </a:r>
          <a:r>
            <a:rPr lang="ru-RU" sz="1400" kern="1200">
              <a:solidFill>
                <a:schemeClr val="lt1"/>
              </a:solidFill>
              <a:latin typeface="+mn-lt"/>
              <a:ea typeface="+mn-ea"/>
              <a:cs typeface="+mn-cs"/>
            </a:rPr>
            <a:t>%) </a:t>
          </a:r>
          <a:endParaRPr lang="ru-RU" sz="1400" kern="1200"/>
        </a:p>
      </dsp:txBody>
      <dsp:txXfrm>
        <a:off x="4166605" y="901394"/>
        <a:ext cx="1920856" cy="10977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AFD8B-85A1-490B-A777-610A3AAA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8</Pages>
  <Words>2022</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Jilia20</dc:creator>
  <cp:lastModifiedBy>Логвиненко</cp:lastModifiedBy>
  <cp:revision>14</cp:revision>
  <cp:lastPrinted>2019-05-06T06:22:00Z</cp:lastPrinted>
  <dcterms:created xsi:type="dcterms:W3CDTF">2020-05-07T12:22:00Z</dcterms:created>
  <dcterms:modified xsi:type="dcterms:W3CDTF">2020-05-15T12:34:00Z</dcterms:modified>
</cp:coreProperties>
</file>