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Довідка про</w:t>
      </w:r>
      <w:r w:rsidR="00675437" w:rsidRPr="005F3723">
        <w:rPr>
          <w:b/>
          <w:bCs/>
          <w:szCs w:val="28"/>
        </w:rPr>
        <w:t xml:space="preserve"> виконання бюджету</w:t>
      </w:r>
      <w:r>
        <w:rPr>
          <w:b/>
          <w:bCs/>
          <w:szCs w:val="28"/>
        </w:rPr>
        <w:t xml:space="preserve"> міста Запоріжжя</w:t>
      </w:r>
    </w:p>
    <w:p w:rsidR="00675437" w:rsidRPr="005F3723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5F3723">
        <w:rPr>
          <w:b/>
          <w:bCs/>
          <w:szCs w:val="28"/>
        </w:rPr>
        <w:t xml:space="preserve">за </w:t>
      </w:r>
      <w:r w:rsidR="00DB2BBA">
        <w:rPr>
          <w:b/>
          <w:bCs/>
          <w:szCs w:val="28"/>
        </w:rPr>
        <w:t>І</w:t>
      </w:r>
      <w:r w:rsidR="00510FEF">
        <w:rPr>
          <w:b/>
          <w:bCs/>
          <w:szCs w:val="28"/>
        </w:rPr>
        <w:t xml:space="preserve"> квартал </w:t>
      </w:r>
      <w:r w:rsidR="00050D58" w:rsidRPr="005F3723">
        <w:rPr>
          <w:b/>
          <w:bCs/>
          <w:szCs w:val="28"/>
        </w:rPr>
        <w:t>201</w:t>
      </w:r>
      <w:r w:rsidR="00510FEF">
        <w:rPr>
          <w:b/>
          <w:bCs/>
          <w:szCs w:val="28"/>
        </w:rPr>
        <w:t>7</w:t>
      </w:r>
      <w:r w:rsidRPr="005F3723">
        <w:rPr>
          <w:b/>
          <w:bCs/>
          <w:szCs w:val="28"/>
        </w:rPr>
        <w:t xml:space="preserve"> р</w:t>
      </w:r>
      <w:r w:rsidR="00FD2F5C" w:rsidRPr="005F3723">
        <w:rPr>
          <w:b/>
          <w:bCs/>
          <w:szCs w:val="28"/>
        </w:rPr>
        <w:t>о</w:t>
      </w:r>
      <w:r w:rsidR="00D853F7" w:rsidRPr="005F3723">
        <w:rPr>
          <w:b/>
          <w:bCs/>
          <w:szCs w:val="28"/>
        </w:rPr>
        <w:t>к</w:t>
      </w:r>
      <w:r w:rsidR="00FD2F5C" w:rsidRPr="005F3723">
        <w:rPr>
          <w:b/>
          <w:bCs/>
          <w:szCs w:val="28"/>
        </w:rPr>
        <w:t>у</w:t>
      </w:r>
    </w:p>
    <w:p w:rsidR="00971F58" w:rsidRPr="00345E08" w:rsidRDefault="00971F58" w:rsidP="00675437">
      <w:pPr>
        <w:pStyle w:val="a4"/>
        <w:ind w:firstLine="708"/>
        <w:jc w:val="center"/>
        <w:rPr>
          <w:b/>
          <w:bCs/>
          <w:sz w:val="27"/>
          <w:szCs w:val="27"/>
        </w:rPr>
      </w:pPr>
    </w:p>
    <w:p w:rsidR="00DA7551" w:rsidRPr="00D47F30" w:rsidRDefault="00DA7551" w:rsidP="00DA7551">
      <w:pPr>
        <w:ind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>За І квартал поточного року до бюджету міста надійшло 2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009,2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млн.грн., в тому числі податків, зборів та обов’язкових платежів, що формують загальний фонд бюджету, – 1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002,7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млн.грн., спеціальний фонд – 59,6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млн.грн. та офіційних трансфертів – 946,9</w:t>
      </w:r>
      <w:r w:rsidRPr="00D47F30">
        <w:rPr>
          <w:sz w:val="28"/>
          <w:szCs w:val="28"/>
        </w:rPr>
        <w:t> </w:t>
      </w:r>
      <w:r w:rsidRPr="00D47F30">
        <w:rPr>
          <w:sz w:val="28"/>
          <w:szCs w:val="28"/>
          <w:lang w:val="uk-UA"/>
        </w:rPr>
        <w:t>млн.грн.</w:t>
      </w:r>
    </w:p>
    <w:p w:rsidR="00DA7551" w:rsidRDefault="00DA7551" w:rsidP="00DA7551">
      <w:pPr>
        <w:jc w:val="both"/>
        <w:rPr>
          <w:sz w:val="28"/>
          <w:szCs w:val="28"/>
          <w:lang w:val="uk-UA"/>
        </w:rPr>
      </w:pPr>
      <w:r w:rsidRPr="005D090F">
        <w:rPr>
          <w:noProof/>
          <w:sz w:val="28"/>
          <w:szCs w:val="28"/>
        </w:rPr>
        <w:drawing>
          <wp:inline distT="0" distB="0" distL="0" distR="0">
            <wp:extent cx="6082135" cy="3717750"/>
            <wp:effectExtent l="57150" t="19050" r="138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F30" w:rsidRPr="00D47F30" w:rsidRDefault="00D47F30" w:rsidP="00DA7551">
      <w:pPr>
        <w:jc w:val="both"/>
        <w:rPr>
          <w:sz w:val="28"/>
          <w:szCs w:val="28"/>
          <w:lang w:val="uk-UA"/>
        </w:rPr>
      </w:pPr>
    </w:p>
    <w:p w:rsidR="00DA7551" w:rsidRPr="00D47F30" w:rsidRDefault="00DA7551" w:rsidP="00D47F30">
      <w:pPr>
        <w:ind w:firstLine="709"/>
        <w:contextualSpacing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 xml:space="preserve">План по доходах загального фонду (без урахування офіційних трансфертів) виконаний на 105,3%, понад плану отримано 50,2 млн.грн. Планові показники виконані по всіх основних джерелах доходів. У порівнянні з відповідним періодом минулого року відбулось збільшення зазначених доходів на 41,4% або на 293,6 млн.грн. </w:t>
      </w:r>
    </w:p>
    <w:p w:rsidR="00DA7551" w:rsidRPr="00D47F30" w:rsidRDefault="00DA7551" w:rsidP="00D47F30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 xml:space="preserve">Більше половини обсягу загального фонду припадає на надходження податку на доходи фізичних осіб, а саме 535,7 млн.грн. План виконаний на 104,3%. Порівняно з показником відповідного періоду </w:t>
      </w:r>
      <w:r w:rsidR="008C63F4">
        <w:rPr>
          <w:sz w:val="28"/>
          <w:szCs w:val="28"/>
          <w:lang w:val="uk-UA"/>
        </w:rPr>
        <w:t>минулого</w:t>
      </w:r>
      <w:r w:rsidRPr="00D47F30">
        <w:rPr>
          <w:sz w:val="28"/>
          <w:szCs w:val="28"/>
          <w:lang w:val="uk-UA"/>
        </w:rPr>
        <w:t xml:space="preserve"> року надходження збільшились на 34,9% або на 138,5 млн.грн. в основному за рахунок зростання податку, перерахованого з доходів у вигляді заробітної плати (на 137,4 млн.грн.). Основні чинники, які вплинули на його збільшення: встановлення мінімальної заробітної плати з 01.01.2017 року в сумі 3 200 грн. та збільшення прожиткового мінімуму до 1 600 грн. </w:t>
      </w:r>
    </w:p>
    <w:p w:rsidR="00DA7551" w:rsidRPr="00D47F30" w:rsidRDefault="00DA7551" w:rsidP="00D47F30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 xml:space="preserve">Крім того збільшились надходження податку, утриманого з військовослужбовців на 2,4 млн.грн. та з інших (ніж заробітна плата) доходів платників – на 1,1 млн.грн. </w:t>
      </w:r>
    </w:p>
    <w:p w:rsidR="00DA7551" w:rsidRDefault="00DA7551" w:rsidP="00DA7551">
      <w:pPr>
        <w:contextualSpacing/>
        <w:jc w:val="both"/>
        <w:rPr>
          <w:sz w:val="28"/>
          <w:szCs w:val="28"/>
        </w:rPr>
      </w:pPr>
      <w:r w:rsidRPr="005173C7">
        <w:rPr>
          <w:noProof/>
          <w:sz w:val="28"/>
          <w:szCs w:val="28"/>
        </w:rPr>
        <w:lastRenderedPageBreak/>
        <w:drawing>
          <wp:inline distT="0" distB="0" distL="0" distR="0">
            <wp:extent cx="6077445" cy="4068000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7551" w:rsidRPr="00D47F30" w:rsidRDefault="00DA7551" w:rsidP="00DA75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 xml:space="preserve">До бюджету міста надійшло місцевих податків і зборів в обсязі 364,1 млн.грн. або 105,0% до плану. Найбільшим з них є податок на майно (його питома вага становить 70,9%) – 258,2 млн.грн. </w:t>
      </w:r>
    </w:p>
    <w:p w:rsidR="00DA7551" w:rsidRPr="00D47F30" w:rsidRDefault="00DA7551" w:rsidP="00DA75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>В складі податку на майно найбільшим джерелом є плата за землю, її надходження склали 250,9 млн.грн. або 105,0% до плану. В порівнянні з І кварталом минулого року плата зросла на 82,7 млн.грн. або на 49,2%, що пов’язане з продовженням впровадження в місті нової нормативної грошової оцінки землі, сплатою значних сум земельного податку та орендної плати за землю в рахунок майбутніх зобов’язань (46,9 млн.грн.) та стягненням податкової заборгованості на суму 2,5 млн.грн.</w:t>
      </w:r>
    </w:p>
    <w:p w:rsidR="00DA7551" w:rsidRPr="00D47F30" w:rsidRDefault="00DA7551" w:rsidP="00DA75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>Податок на нерухоме майно, відмінне від земельної ділянки, сплачений в обсязі 6,7 млн.грн., план виконаний на 104,8%. Його збільшення в порівнянні з минулорічним показником на 2,3 млн.грн. обумовлено постійним з</w:t>
      </w:r>
      <w:r w:rsidR="008C63F4">
        <w:rPr>
          <w:sz w:val="28"/>
          <w:szCs w:val="28"/>
          <w:lang w:val="uk-UA"/>
        </w:rPr>
        <w:t>ростанням</w:t>
      </w:r>
      <w:r w:rsidRPr="00D47F30">
        <w:rPr>
          <w:sz w:val="28"/>
          <w:szCs w:val="28"/>
          <w:lang w:val="uk-UA"/>
        </w:rPr>
        <w:t xml:space="preserve"> кількості платників за об’єкти нежитлової нерухомості та ставок податку за 1</w:t>
      </w:r>
      <w:r w:rsidR="008C63F4">
        <w:rPr>
          <w:sz w:val="28"/>
          <w:szCs w:val="28"/>
          <w:lang w:val="uk-UA"/>
        </w:rPr>
        <w:t> </w:t>
      </w:r>
      <w:proofErr w:type="spellStart"/>
      <w:r w:rsidRPr="00D47F30">
        <w:rPr>
          <w:sz w:val="28"/>
          <w:szCs w:val="28"/>
          <w:lang w:val="uk-UA"/>
        </w:rPr>
        <w:t>кв.м</w:t>
      </w:r>
      <w:proofErr w:type="spellEnd"/>
      <w:r w:rsidRPr="00D47F30">
        <w:rPr>
          <w:sz w:val="28"/>
          <w:szCs w:val="28"/>
          <w:lang w:val="uk-UA"/>
        </w:rPr>
        <w:t xml:space="preserve"> бази оподаткування на 16,1%.</w:t>
      </w:r>
    </w:p>
    <w:p w:rsidR="00DA7551" w:rsidRDefault="00DA7551" w:rsidP="00DA75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 xml:space="preserve">В порівнянні з минулорічним показником більш ніж у 1,5 рази або на 36,5 млн.грн. зріс обсяг єдиного податку, який станом на </w:t>
      </w:r>
      <w:r w:rsidR="008C63F4">
        <w:rPr>
          <w:sz w:val="28"/>
          <w:szCs w:val="28"/>
          <w:lang w:val="uk-UA"/>
        </w:rPr>
        <w:t>звітну дату</w:t>
      </w:r>
      <w:r w:rsidRPr="00D47F30">
        <w:rPr>
          <w:sz w:val="28"/>
          <w:szCs w:val="28"/>
          <w:lang w:val="uk-UA"/>
        </w:rPr>
        <w:t xml:space="preserve"> </w:t>
      </w:r>
      <w:r w:rsidR="008C63F4">
        <w:rPr>
          <w:sz w:val="28"/>
          <w:szCs w:val="28"/>
          <w:lang w:val="uk-UA"/>
        </w:rPr>
        <w:t>надійшов в сумі</w:t>
      </w:r>
      <w:r w:rsidRPr="00D47F30">
        <w:rPr>
          <w:sz w:val="28"/>
          <w:szCs w:val="28"/>
          <w:lang w:val="uk-UA"/>
        </w:rPr>
        <w:t xml:space="preserve"> 105,9 млн.грн. Зазначене пояснюється збільшенням надходжень по платниках ІІ групи єдиного податку, пов’язаним зі зростанням ставок, встановлених у відсотках до мінімальної заробітної плати. Крім того поступове підвищення загального рівня цін на товари і послуги вплинуло на зростання доходів юридичних та фізичних осіб та відповідно перерахованого обсягу даного податку.</w:t>
      </w:r>
    </w:p>
    <w:p w:rsidR="008C63F4" w:rsidRPr="008D002E" w:rsidRDefault="008C63F4" w:rsidP="008C63F4">
      <w:pPr>
        <w:pStyle w:val="a4"/>
        <w:ind w:firstLine="708"/>
        <w:rPr>
          <w:szCs w:val="28"/>
        </w:rPr>
      </w:pPr>
      <w:r w:rsidRPr="008D002E">
        <w:rPr>
          <w:szCs w:val="28"/>
        </w:rPr>
        <w:t xml:space="preserve">Надходження акцизного податку з реалізації суб’єктами господарювання роздрібної торгівлі підакцизних товарів у звітному кварталі склали 69,4 млн.грн. або 105,1% до плану. В порівнянні з минулорічним показником відбулось зростання надходжень на 36,8% або на 18,7 млн.грн., що пояснюється </w:t>
      </w:r>
      <w:r w:rsidRPr="008D002E">
        <w:rPr>
          <w:szCs w:val="28"/>
        </w:rPr>
        <w:lastRenderedPageBreak/>
        <w:t xml:space="preserve">підвищенням вартості підакцизних товарів у зв’язку зі збільшенням ставок акцизного податку з пива на 12,0%, з тютюнових виробів – на 30,0%, зі спирту етилового - на 17,6% та з інших алкогольних напоїв – на 12,0%. </w:t>
      </w:r>
    </w:p>
    <w:p w:rsidR="00DA7551" w:rsidRPr="00D47F30" w:rsidRDefault="00DA7551" w:rsidP="00DA7551">
      <w:pPr>
        <w:ind w:firstLine="709"/>
        <w:contextualSpacing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>З метою наповнення доходної частини бюджету міста та ефективного використання бюджетних коштів на депозитному банківському рахунку розміщено тимчасово вільні бюджетні кошти в сумі 525,0 млн.грн. В звітному кварталі бюджет міста отримав плати від їх розміщення в розмірі 2,1 млн.грн.</w:t>
      </w:r>
    </w:p>
    <w:p w:rsidR="00DA7551" w:rsidRPr="00D47F30" w:rsidRDefault="00DA7551" w:rsidP="00DA7551">
      <w:pPr>
        <w:ind w:firstLine="709"/>
        <w:contextualSpacing/>
        <w:jc w:val="both"/>
        <w:rPr>
          <w:sz w:val="28"/>
          <w:szCs w:val="28"/>
          <w:lang w:val="uk-UA"/>
        </w:rPr>
      </w:pPr>
      <w:r w:rsidRPr="00D47F30">
        <w:rPr>
          <w:sz w:val="28"/>
          <w:szCs w:val="28"/>
          <w:lang w:val="uk-UA"/>
        </w:rPr>
        <w:t>Також до бюджету надійшло податку на прибуток підприємств комунальної власності в сумі 12,9 млн.грн., плати за надання інших адміністративних послуг – 5,6 млн.грн., орендної плати за користування майном комунальної власності – 4,7 млн.грн., адміністративного збору за проведення державної реєстрації юридичних осіб, фізичних осіб – підприємств та громадських формувань – 0,6 млн.грн., адміністративного збору за державну реєстрацію речових прав на нерухоме майно та їх обтяжень – 0,3 млн.грн. та інших податків, зборів і обов’язкових платежів на загальну суму 7,4 млн.грн.</w:t>
      </w:r>
    </w:p>
    <w:p w:rsidR="00DA7551" w:rsidRDefault="00DA7551" w:rsidP="00DA7551">
      <w:pPr>
        <w:contextualSpacing/>
        <w:jc w:val="both"/>
        <w:rPr>
          <w:sz w:val="28"/>
          <w:szCs w:val="28"/>
          <w:lang w:val="uk-UA"/>
        </w:rPr>
      </w:pPr>
      <w:r w:rsidRPr="00276334">
        <w:rPr>
          <w:noProof/>
          <w:sz w:val="28"/>
          <w:szCs w:val="28"/>
        </w:rPr>
        <w:drawing>
          <wp:inline distT="0" distB="0" distL="0" distR="0">
            <wp:extent cx="6200775" cy="4086225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974" w:rsidRPr="00256974" w:rsidRDefault="00256974" w:rsidP="00DA7551">
      <w:pPr>
        <w:contextualSpacing/>
        <w:jc w:val="both"/>
        <w:rPr>
          <w:sz w:val="28"/>
          <w:szCs w:val="28"/>
          <w:lang w:val="uk-UA"/>
        </w:rPr>
      </w:pPr>
    </w:p>
    <w:p w:rsidR="00DA7551" w:rsidRPr="00256974" w:rsidRDefault="00DA7551" w:rsidP="00DA7551">
      <w:pPr>
        <w:ind w:firstLine="708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В порівнянні з </w:t>
      </w:r>
      <w:r w:rsidR="008C63F4">
        <w:rPr>
          <w:sz w:val="28"/>
          <w:szCs w:val="28"/>
          <w:lang w:val="uk-UA"/>
        </w:rPr>
        <w:t>відповідним періодом</w:t>
      </w:r>
      <w:r w:rsidRPr="00256974">
        <w:rPr>
          <w:sz w:val="28"/>
          <w:szCs w:val="28"/>
          <w:lang w:val="uk-UA"/>
        </w:rPr>
        <w:t xml:space="preserve"> минулого року доходи спеціального фонду бюджету міста зросли на 11,9 млн.грн., в тому числі власні надходження бюджетних установ - на 7,4 млн.грн., кошти від відчуження майна (за рахунок приватизації ПАТ «Запорізький </w:t>
      </w:r>
      <w:proofErr w:type="spellStart"/>
      <w:r w:rsidRPr="00256974">
        <w:rPr>
          <w:sz w:val="28"/>
          <w:szCs w:val="28"/>
          <w:lang w:val="uk-UA"/>
        </w:rPr>
        <w:t>оліяжиркомбінат</w:t>
      </w:r>
      <w:proofErr w:type="spellEnd"/>
      <w:r w:rsidRPr="00256974">
        <w:rPr>
          <w:sz w:val="28"/>
          <w:szCs w:val="28"/>
          <w:lang w:val="uk-UA"/>
        </w:rPr>
        <w:t>» об’єкта права комунальної власності) – на 4,0 млн.грн., надходження коштів пайової участі у розвитку інфраструктури міста – на 0,7 млн.грн. та екологічному податку – на 0,5 млн.грн. Бюджет розвитку в звітному кварталі поповнився на 7,0 млн.грн.</w:t>
      </w:r>
    </w:p>
    <w:p w:rsidR="00DA7551" w:rsidRPr="00256974" w:rsidRDefault="00DA7551" w:rsidP="00DA75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У січні – березні поточного року бюджет міста отримав офіційних трансфертів з державного бюджету на загальну суму 946,9 млн.грн., в тому числі: </w:t>
      </w:r>
    </w:p>
    <w:p w:rsidR="00DA7551" w:rsidRPr="00256974" w:rsidRDefault="00DA7551" w:rsidP="00DA755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lastRenderedPageBreak/>
        <w:t>субвенції соціального характеру (надання державної допомоги, пільг, житлових субсидій) – 617,6 млн.грн.;</w:t>
      </w:r>
    </w:p>
    <w:p w:rsidR="00DA7551" w:rsidRPr="00256974" w:rsidRDefault="00DA7551" w:rsidP="00DA755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>освітня субвенція – 163,9 млн.грн.;</w:t>
      </w:r>
    </w:p>
    <w:p w:rsidR="00DA7551" w:rsidRPr="00256974" w:rsidRDefault="00DA7551" w:rsidP="00DA755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>медична субвенція – 160,7 млн.грн.;</w:t>
      </w:r>
    </w:p>
    <w:p w:rsidR="00DA7551" w:rsidRPr="00256974" w:rsidRDefault="00DA7551" w:rsidP="00DA755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>субвенція на надання державної підтримки особам з особливими освітніми потребами – 4,7 млн.грн.</w:t>
      </w:r>
    </w:p>
    <w:p w:rsidR="007D0073" w:rsidRPr="00DA7551" w:rsidRDefault="007D0073" w:rsidP="00D5486C">
      <w:pPr>
        <w:ind w:firstLine="720"/>
        <w:jc w:val="both"/>
        <w:rPr>
          <w:rFonts w:eastAsia="Calibri"/>
          <w:sz w:val="28"/>
          <w:szCs w:val="28"/>
        </w:rPr>
      </w:pPr>
    </w:p>
    <w:p w:rsidR="00D5486C" w:rsidRPr="00256974" w:rsidRDefault="00D5486C" w:rsidP="00D5486C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Видатки бюджету міста проведено в обсязі </w:t>
      </w:r>
      <w:r w:rsidR="003A5E27" w:rsidRPr="00256974">
        <w:rPr>
          <w:rFonts w:eastAsia="Calibri"/>
          <w:sz w:val="28"/>
          <w:szCs w:val="28"/>
          <w:lang w:val="uk-UA"/>
        </w:rPr>
        <w:t>1</w:t>
      </w:r>
      <w:r w:rsidRPr="00256974">
        <w:rPr>
          <w:rFonts w:eastAsia="Calibri"/>
          <w:sz w:val="28"/>
          <w:szCs w:val="28"/>
          <w:lang w:val="uk-UA"/>
        </w:rPr>
        <w:t> </w:t>
      </w:r>
      <w:r w:rsidR="001812AC" w:rsidRPr="00256974">
        <w:rPr>
          <w:rFonts w:eastAsia="Calibri"/>
          <w:sz w:val="28"/>
          <w:szCs w:val="28"/>
          <w:lang w:val="uk-UA"/>
        </w:rPr>
        <w:t>800</w:t>
      </w:r>
      <w:r w:rsidRPr="00256974">
        <w:rPr>
          <w:rFonts w:eastAsia="Calibri"/>
          <w:sz w:val="28"/>
          <w:szCs w:val="28"/>
          <w:lang w:val="uk-UA"/>
        </w:rPr>
        <w:t>,</w:t>
      </w:r>
      <w:r w:rsidR="001812AC" w:rsidRPr="00256974">
        <w:rPr>
          <w:rFonts w:eastAsia="Calibri"/>
          <w:sz w:val="28"/>
          <w:szCs w:val="28"/>
          <w:lang w:val="uk-UA"/>
        </w:rPr>
        <w:t>2</w:t>
      </w:r>
      <w:r w:rsidRPr="00256974">
        <w:rPr>
          <w:rFonts w:eastAsia="Calibri"/>
          <w:sz w:val="28"/>
          <w:szCs w:val="28"/>
          <w:lang w:val="uk-UA"/>
        </w:rPr>
        <w:t xml:space="preserve"> млн.грн., в тому числі по загальному фонду – </w:t>
      </w:r>
      <w:r w:rsidR="001812AC" w:rsidRPr="00256974">
        <w:rPr>
          <w:rFonts w:eastAsia="Calibri"/>
          <w:sz w:val="28"/>
          <w:szCs w:val="28"/>
          <w:lang w:val="uk-UA"/>
        </w:rPr>
        <w:t>1</w:t>
      </w:r>
      <w:r w:rsidRPr="00256974">
        <w:rPr>
          <w:rFonts w:eastAsia="Calibri"/>
          <w:sz w:val="28"/>
          <w:szCs w:val="28"/>
          <w:lang w:val="uk-UA"/>
        </w:rPr>
        <w:t> </w:t>
      </w:r>
      <w:r w:rsidR="001812AC" w:rsidRPr="00256974">
        <w:rPr>
          <w:rFonts w:eastAsia="Calibri"/>
          <w:sz w:val="28"/>
          <w:szCs w:val="28"/>
          <w:lang w:val="uk-UA"/>
        </w:rPr>
        <w:t>724</w:t>
      </w:r>
      <w:r w:rsidRPr="00256974">
        <w:rPr>
          <w:rFonts w:eastAsia="Calibri"/>
          <w:sz w:val="28"/>
          <w:szCs w:val="28"/>
          <w:lang w:val="uk-UA"/>
        </w:rPr>
        <w:t>,</w:t>
      </w:r>
      <w:r w:rsidR="001812AC" w:rsidRPr="00256974">
        <w:rPr>
          <w:rFonts w:eastAsia="Calibri"/>
          <w:sz w:val="28"/>
          <w:szCs w:val="28"/>
          <w:lang w:val="uk-UA"/>
        </w:rPr>
        <w:t>9</w:t>
      </w:r>
      <w:r w:rsidRPr="00256974">
        <w:rPr>
          <w:rFonts w:eastAsia="Calibri"/>
          <w:sz w:val="28"/>
          <w:szCs w:val="28"/>
          <w:lang w:val="uk-UA"/>
        </w:rPr>
        <w:t> млн.грн. або 9</w:t>
      </w:r>
      <w:r w:rsidR="001812AC" w:rsidRPr="00256974">
        <w:rPr>
          <w:rFonts w:eastAsia="Calibri"/>
          <w:sz w:val="28"/>
          <w:szCs w:val="28"/>
          <w:lang w:val="uk-UA"/>
        </w:rPr>
        <w:t>2</w:t>
      </w:r>
      <w:r w:rsidRPr="00256974">
        <w:rPr>
          <w:rFonts w:eastAsia="Calibri"/>
          <w:sz w:val="28"/>
          <w:szCs w:val="28"/>
          <w:lang w:val="uk-UA"/>
        </w:rPr>
        <w:t>,</w:t>
      </w:r>
      <w:r w:rsidR="001812AC" w:rsidRPr="00256974">
        <w:rPr>
          <w:rFonts w:eastAsia="Calibri"/>
          <w:sz w:val="28"/>
          <w:szCs w:val="28"/>
          <w:lang w:val="uk-UA"/>
        </w:rPr>
        <w:t>7</w:t>
      </w:r>
      <w:r w:rsidRPr="00256974">
        <w:rPr>
          <w:rFonts w:eastAsia="Calibri"/>
          <w:sz w:val="28"/>
          <w:szCs w:val="28"/>
          <w:lang w:val="uk-UA"/>
        </w:rPr>
        <w:t xml:space="preserve">% планових показників на відповідний період, по спеціальному фонду – </w:t>
      </w:r>
      <w:r w:rsidR="001812AC" w:rsidRPr="00256974">
        <w:rPr>
          <w:rFonts w:eastAsia="Calibri"/>
          <w:sz w:val="28"/>
          <w:szCs w:val="28"/>
          <w:lang w:val="uk-UA"/>
        </w:rPr>
        <w:t>75,3</w:t>
      </w:r>
      <w:r w:rsidRPr="00256974">
        <w:rPr>
          <w:rFonts w:eastAsia="Calibri"/>
          <w:sz w:val="28"/>
          <w:szCs w:val="28"/>
          <w:lang w:val="uk-UA"/>
        </w:rPr>
        <w:t xml:space="preserve"> млн.грн., з яких видатки бюджету розвитку – </w:t>
      </w:r>
      <w:r w:rsidR="001812AC" w:rsidRPr="00256974">
        <w:rPr>
          <w:rFonts w:eastAsia="Calibri"/>
          <w:sz w:val="28"/>
          <w:szCs w:val="28"/>
          <w:lang w:val="uk-UA"/>
        </w:rPr>
        <w:t>32,5</w:t>
      </w:r>
      <w:r w:rsidRPr="00256974">
        <w:rPr>
          <w:rFonts w:eastAsia="Calibri"/>
          <w:sz w:val="28"/>
          <w:szCs w:val="28"/>
          <w:lang w:val="uk-UA"/>
        </w:rPr>
        <w:t xml:space="preserve"> млн.грн., що становить </w:t>
      </w:r>
      <w:r w:rsidR="001812AC" w:rsidRPr="00256974">
        <w:rPr>
          <w:rFonts w:eastAsia="Calibri"/>
          <w:sz w:val="28"/>
          <w:szCs w:val="28"/>
          <w:lang w:val="uk-UA"/>
        </w:rPr>
        <w:t>28,2</w:t>
      </w:r>
      <w:r w:rsidRPr="00256974">
        <w:rPr>
          <w:rFonts w:eastAsia="Calibri"/>
          <w:sz w:val="28"/>
          <w:szCs w:val="28"/>
          <w:lang w:val="uk-UA"/>
        </w:rPr>
        <w:t>% планових показників на відповідний період. До державного бюджету перерахован</w:t>
      </w:r>
      <w:r w:rsidR="001812AC" w:rsidRPr="00256974">
        <w:rPr>
          <w:rFonts w:eastAsia="Calibri"/>
          <w:sz w:val="28"/>
          <w:szCs w:val="28"/>
          <w:lang w:val="uk-UA"/>
        </w:rPr>
        <w:t>о реверсної дотації в сумі 57,1</w:t>
      </w:r>
      <w:r w:rsidRPr="00256974">
        <w:rPr>
          <w:rFonts w:eastAsia="Calibri"/>
          <w:sz w:val="28"/>
          <w:szCs w:val="28"/>
          <w:lang w:val="uk-UA"/>
        </w:rPr>
        <w:t> млн.грн., що дорівнює плановим показникам.</w:t>
      </w:r>
    </w:p>
    <w:p w:rsidR="00B93491" w:rsidRPr="00217327" w:rsidRDefault="00B93491" w:rsidP="00D5486C">
      <w:pPr>
        <w:ind w:firstLine="720"/>
        <w:jc w:val="both"/>
        <w:rPr>
          <w:rFonts w:eastAsia="Calibri"/>
          <w:sz w:val="27"/>
          <w:szCs w:val="27"/>
          <w:lang w:val="uk-UA"/>
        </w:rPr>
      </w:pPr>
    </w:p>
    <w:p w:rsidR="00D5486C" w:rsidRDefault="00DB2BBA" w:rsidP="00D5486C">
      <w:pPr>
        <w:jc w:val="both"/>
        <w:rPr>
          <w:rFonts w:eastAsia="Calibri"/>
          <w:sz w:val="27"/>
          <w:szCs w:val="27"/>
          <w:lang w:val="uk-UA"/>
        </w:rPr>
      </w:pPr>
      <w:r w:rsidRPr="00DB2BBA">
        <w:rPr>
          <w:rFonts w:eastAsia="Calibri"/>
          <w:noProof/>
          <w:sz w:val="27"/>
          <w:szCs w:val="27"/>
        </w:rPr>
        <w:drawing>
          <wp:inline distT="0" distB="0" distL="0" distR="0">
            <wp:extent cx="6122550" cy="45936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486C" w:rsidRPr="009B4030" w:rsidRDefault="00D5486C" w:rsidP="00D5486C">
      <w:pPr>
        <w:jc w:val="both"/>
        <w:rPr>
          <w:rFonts w:eastAsia="Calibri"/>
          <w:color w:val="FF0000"/>
          <w:sz w:val="27"/>
          <w:szCs w:val="27"/>
          <w:lang w:val="uk-UA"/>
        </w:rPr>
      </w:pPr>
    </w:p>
    <w:p w:rsidR="00D5486C" w:rsidRPr="00256974" w:rsidRDefault="00395CF5" w:rsidP="00D5486C">
      <w:pPr>
        <w:ind w:firstLine="426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>Понад 8</w:t>
      </w:r>
      <w:r w:rsidR="00D5486C" w:rsidRPr="00256974">
        <w:rPr>
          <w:rFonts w:eastAsia="Calibri"/>
          <w:sz w:val="28"/>
          <w:szCs w:val="28"/>
          <w:lang w:val="uk-UA"/>
        </w:rPr>
        <w:t xml:space="preserve">0,0% загального обсягу витрат склали захищені статті видатків, на які спрямовано </w:t>
      </w:r>
      <w:r w:rsidRPr="00256974">
        <w:rPr>
          <w:rFonts w:eastAsia="Calibri"/>
          <w:sz w:val="28"/>
          <w:szCs w:val="28"/>
          <w:lang w:val="uk-UA"/>
        </w:rPr>
        <w:t>1 485,5</w:t>
      </w:r>
      <w:r w:rsidR="00D5486C" w:rsidRPr="00256974">
        <w:rPr>
          <w:rFonts w:eastAsia="Calibri"/>
          <w:sz w:val="28"/>
          <w:szCs w:val="28"/>
          <w:lang w:val="uk-UA"/>
        </w:rPr>
        <w:t> млн.грн.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D5486C" w:rsidRPr="00256974" w:rsidRDefault="00D5486C" w:rsidP="00D5486C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>За функціональною ознакою напрямки використання коштів наведені в діаграмі</w:t>
      </w:r>
      <w:r w:rsidR="00394572" w:rsidRPr="00256974">
        <w:rPr>
          <w:rFonts w:eastAsia="Calibri"/>
          <w:sz w:val="28"/>
          <w:szCs w:val="28"/>
          <w:lang w:val="uk-UA"/>
        </w:rPr>
        <w:t>.</w:t>
      </w:r>
    </w:p>
    <w:p w:rsidR="00256974" w:rsidRDefault="00256974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</w:p>
    <w:p w:rsidR="00256974" w:rsidRDefault="00256974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</w:p>
    <w:p w:rsidR="00256974" w:rsidRDefault="00256974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</w:p>
    <w:p w:rsidR="00D5486C" w:rsidRPr="009B4030" w:rsidRDefault="00D5486C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  <w:r w:rsidRPr="009B4030">
        <w:rPr>
          <w:b/>
          <w:i/>
          <w:sz w:val="27"/>
          <w:szCs w:val="27"/>
          <w:lang w:val="uk-UA"/>
        </w:rPr>
        <w:lastRenderedPageBreak/>
        <w:t xml:space="preserve">Структура видатків бюджету міста за функціональною ознакою </w:t>
      </w:r>
    </w:p>
    <w:p w:rsidR="00D5486C" w:rsidRDefault="00D5486C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  <w:r w:rsidRPr="009B4030">
        <w:rPr>
          <w:b/>
          <w:i/>
          <w:sz w:val="27"/>
          <w:szCs w:val="27"/>
          <w:lang w:val="uk-UA"/>
        </w:rPr>
        <w:t xml:space="preserve">за </w:t>
      </w:r>
      <w:r w:rsidR="00395CF5">
        <w:rPr>
          <w:b/>
          <w:i/>
          <w:sz w:val="27"/>
          <w:szCs w:val="27"/>
          <w:lang w:val="uk-UA"/>
        </w:rPr>
        <w:t>І квартал</w:t>
      </w:r>
      <w:r w:rsidRPr="009B4030">
        <w:rPr>
          <w:b/>
          <w:i/>
          <w:sz w:val="27"/>
          <w:szCs w:val="27"/>
          <w:lang w:val="uk-UA"/>
        </w:rPr>
        <w:t xml:space="preserve"> 201</w:t>
      </w:r>
      <w:r w:rsidR="00395CF5">
        <w:rPr>
          <w:b/>
          <w:i/>
          <w:sz w:val="27"/>
          <w:szCs w:val="27"/>
          <w:lang w:val="uk-UA"/>
        </w:rPr>
        <w:t>7</w:t>
      </w:r>
      <w:r w:rsidRPr="009B4030">
        <w:rPr>
          <w:b/>
          <w:i/>
          <w:sz w:val="27"/>
          <w:szCs w:val="27"/>
          <w:lang w:val="uk-UA"/>
        </w:rPr>
        <w:t xml:space="preserve"> року</w:t>
      </w:r>
    </w:p>
    <w:p w:rsidR="00D5486C" w:rsidRPr="009B4030" w:rsidRDefault="00395CF5" w:rsidP="00395CF5">
      <w:pPr>
        <w:rPr>
          <w:b/>
          <w:i/>
          <w:sz w:val="27"/>
          <w:szCs w:val="27"/>
          <w:lang w:val="uk-UA"/>
        </w:rPr>
      </w:pPr>
      <w:r w:rsidRPr="00395CF5">
        <w:rPr>
          <w:b/>
          <w:i/>
          <w:noProof/>
          <w:sz w:val="27"/>
          <w:szCs w:val="27"/>
        </w:rPr>
        <w:drawing>
          <wp:inline distT="0" distB="0" distL="0" distR="0">
            <wp:extent cx="6000610" cy="3897750"/>
            <wp:effectExtent l="0" t="1905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486C" w:rsidRPr="00256974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D5486C" w:rsidRPr="00256974" w:rsidRDefault="00D5486C" w:rsidP="00D548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захисту витрачено </w:t>
      </w:r>
      <w:r w:rsidR="00395CF5" w:rsidRPr="00256974">
        <w:rPr>
          <w:rFonts w:eastAsia="Calibri"/>
          <w:sz w:val="28"/>
          <w:szCs w:val="28"/>
          <w:lang w:val="uk-UA"/>
        </w:rPr>
        <w:t>662,9</w:t>
      </w:r>
      <w:r w:rsidRPr="00256974">
        <w:rPr>
          <w:rFonts w:eastAsia="Calibri"/>
          <w:sz w:val="28"/>
          <w:szCs w:val="28"/>
          <w:lang w:val="uk-UA"/>
        </w:rPr>
        <w:t> млн.грн. або 9</w:t>
      </w:r>
      <w:r w:rsidR="00E43155" w:rsidRPr="00256974">
        <w:rPr>
          <w:rFonts w:eastAsia="Calibri"/>
          <w:sz w:val="28"/>
          <w:szCs w:val="28"/>
          <w:lang w:val="uk-UA"/>
        </w:rPr>
        <w:t>7,4</w:t>
      </w:r>
      <w:r w:rsidRPr="00256974">
        <w:rPr>
          <w:rFonts w:eastAsia="Calibri"/>
          <w:sz w:val="28"/>
          <w:szCs w:val="28"/>
          <w:lang w:val="uk-UA"/>
        </w:rPr>
        <w:t xml:space="preserve">% до плану на звітний період, з яких за рахунок відповідних субвенцій з державного бюджету – </w:t>
      </w:r>
      <w:r w:rsidR="00E43155" w:rsidRPr="00256974">
        <w:rPr>
          <w:rFonts w:eastAsia="Calibri"/>
          <w:sz w:val="28"/>
          <w:szCs w:val="28"/>
          <w:lang w:val="uk-UA"/>
        </w:rPr>
        <w:t>616,9</w:t>
      </w:r>
      <w:r w:rsidRPr="00256974">
        <w:rPr>
          <w:rFonts w:eastAsia="Calibri"/>
          <w:sz w:val="28"/>
          <w:szCs w:val="28"/>
          <w:lang w:val="uk-UA"/>
        </w:rPr>
        <w:t> млн.грн.</w:t>
      </w:r>
    </w:p>
    <w:p w:rsidR="00D5486C" w:rsidRPr="00256974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</w:t>
      </w:r>
      <w:r w:rsidR="00E43155" w:rsidRPr="00256974">
        <w:rPr>
          <w:rFonts w:eastAsia="Calibri"/>
          <w:sz w:val="28"/>
          <w:szCs w:val="28"/>
          <w:lang w:val="uk-UA"/>
        </w:rPr>
        <w:t>171,6</w:t>
      </w:r>
      <w:r w:rsidRPr="00256974">
        <w:rPr>
          <w:rFonts w:eastAsia="Calibri"/>
          <w:sz w:val="28"/>
          <w:szCs w:val="28"/>
          <w:lang w:val="uk-UA"/>
        </w:rPr>
        <w:t xml:space="preserve"> млн.грн., надання пільг і субсидій населенню при оплаті електроенергії, природного газу, послуг </w:t>
      </w:r>
      <w:proofErr w:type="spellStart"/>
      <w:r w:rsidRPr="00256974">
        <w:rPr>
          <w:rFonts w:eastAsia="Calibri"/>
          <w:sz w:val="28"/>
          <w:szCs w:val="28"/>
          <w:lang w:val="uk-UA"/>
        </w:rPr>
        <w:t>тепло-</w:t>
      </w:r>
      <w:proofErr w:type="spellEnd"/>
      <w:r w:rsidRPr="00256974">
        <w:rPr>
          <w:rFonts w:eastAsia="Calibri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4</w:t>
      </w:r>
      <w:r w:rsidR="00E43155" w:rsidRPr="00256974">
        <w:rPr>
          <w:rFonts w:eastAsia="Calibri"/>
          <w:sz w:val="28"/>
          <w:szCs w:val="28"/>
          <w:lang w:val="uk-UA"/>
        </w:rPr>
        <w:t>45,3</w:t>
      </w:r>
      <w:r w:rsidRPr="00256974">
        <w:rPr>
          <w:rFonts w:eastAsia="Calibri"/>
          <w:sz w:val="28"/>
          <w:szCs w:val="28"/>
          <w:lang w:val="uk-UA"/>
        </w:rPr>
        <w:t xml:space="preserve"> млн.грн. </w:t>
      </w:r>
    </w:p>
    <w:p w:rsidR="000C5129" w:rsidRPr="00256974" w:rsidRDefault="00256974" w:rsidP="000C5129">
      <w:pPr>
        <w:ind w:firstLine="709"/>
        <w:jc w:val="both"/>
        <w:rPr>
          <w:sz w:val="28"/>
          <w:szCs w:val="28"/>
          <w:lang w:val="uk-UA"/>
        </w:rPr>
      </w:pPr>
      <w:r w:rsidRPr="00427253">
        <w:rPr>
          <w:rFonts w:eastAsia="Calibri"/>
          <w:sz w:val="28"/>
          <w:szCs w:val="28"/>
          <w:lang w:val="uk-UA"/>
        </w:rPr>
        <w:t xml:space="preserve">На кінець звітного періоду </w:t>
      </w:r>
      <w:r w:rsidR="00427253" w:rsidRPr="00427253">
        <w:rPr>
          <w:rFonts w:eastAsia="Calibri"/>
          <w:sz w:val="28"/>
          <w:szCs w:val="28"/>
          <w:lang w:val="uk-UA"/>
        </w:rPr>
        <w:t xml:space="preserve">через відсутність відповідної субвенції з державного бюджету </w:t>
      </w:r>
      <w:r w:rsidRPr="00427253">
        <w:rPr>
          <w:rFonts w:eastAsia="Calibri"/>
          <w:sz w:val="28"/>
          <w:szCs w:val="28"/>
          <w:lang w:val="uk-UA"/>
        </w:rPr>
        <w:t xml:space="preserve">по зазначених видатках </w:t>
      </w:r>
      <w:r w:rsidR="00427253" w:rsidRPr="00427253">
        <w:rPr>
          <w:rFonts w:eastAsia="Calibri"/>
          <w:sz w:val="28"/>
          <w:szCs w:val="28"/>
          <w:lang w:val="uk-UA"/>
        </w:rPr>
        <w:t>виникла</w:t>
      </w:r>
      <w:r w:rsidRPr="00427253">
        <w:rPr>
          <w:rFonts w:eastAsia="Calibri"/>
          <w:sz w:val="28"/>
          <w:szCs w:val="28"/>
          <w:lang w:val="uk-UA"/>
        </w:rPr>
        <w:t xml:space="preserve"> кредиторська заборгованість у сумі 59</w:t>
      </w:r>
      <w:r w:rsidR="002E5FC9">
        <w:rPr>
          <w:rFonts w:eastAsia="Calibri"/>
          <w:sz w:val="28"/>
          <w:szCs w:val="28"/>
          <w:lang w:val="uk-UA"/>
        </w:rPr>
        <w:t>9,3</w:t>
      </w:r>
      <w:r w:rsidRPr="00427253">
        <w:rPr>
          <w:rFonts w:eastAsia="Calibri"/>
          <w:sz w:val="28"/>
          <w:szCs w:val="28"/>
          <w:lang w:val="uk-UA"/>
        </w:rPr>
        <w:t> млн.грн.</w:t>
      </w:r>
      <w:r w:rsidR="00427253" w:rsidRPr="00427253">
        <w:rPr>
          <w:rFonts w:eastAsia="Calibri"/>
          <w:sz w:val="28"/>
          <w:szCs w:val="28"/>
          <w:lang w:val="uk-UA"/>
        </w:rPr>
        <w:t xml:space="preserve"> </w:t>
      </w:r>
      <w:r w:rsidR="000C5129" w:rsidRPr="00427253">
        <w:rPr>
          <w:rFonts w:eastAsia="Calibri"/>
          <w:sz w:val="28"/>
          <w:szCs w:val="28"/>
          <w:lang w:val="uk-UA"/>
        </w:rPr>
        <w:t>Д</w:t>
      </w:r>
      <w:r w:rsidR="000C5129" w:rsidRPr="00427253">
        <w:rPr>
          <w:sz w:val="28"/>
          <w:szCs w:val="28"/>
          <w:lang w:val="uk-UA"/>
        </w:rPr>
        <w:t xml:space="preserve">оведений обсяг планових асигнувань </w:t>
      </w:r>
      <w:r w:rsidR="00427253" w:rsidRPr="00427253">
        <w:rPr>
          <w:sz w:val="28"/>
          <w:szCs w:val="28"/>
          <w:lang w:val="uk-UA"/>
        </w:rPr>
        <w:t>за субвенцією забезпечує лише третину річної потреби в коштах.</w:t>
      </w:r>
      <w:r w:rsidR="00427253">
        <w:rPr>
          <w:sz w:val="28"/>
          <w:szCs w:val="28"/>
          <w:lang w:val="uk-UA"/>
        </w:rPr>
        <w:t xml:space="preserve"> </w:t>
      </w:r>
    </w:p>
    <w:p w:rsidR="00D5486C" w:rsidRPr="00256974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FD7AF6">
        <w:rPr>
          <w:rFonts w:eastAsia="Calibri"/>
          <w:sz w:val="28"/>
          <w:szCs w:val="28"/>
          <w:lang w:val="uk-UA"/>
        </w:rPr>
        <w:t xml:space="preserve">За звітний період пільгами на житлово-комунальні послуги охоплено </w:t>
      </w:r>
      <w:r w:rsidR="00427253" w:rsidRPr="00FD7AF6">
        <w:rPr>
          <w:rFonts w:eastAsia="Calibri"/>
          <w:sz w:val="28"/>
          <w:szCs w:val="28"/>
          <w:lang w:val="uk-UA"/>
        </w:rPr>
        <w:t>55,7</w:t>
      </w:r>
      <w:r w:rsidRPr="00FD7AF6">
        <w:rPr>
          <w:rFonts w:eastAsia="Calibri"/>
          <w:sz w:val="28"/>
          <w:szCs w:val="28"/>
          <w:lang w:val="uk-UA"/>
        </w:rPr>
        <w:t> </w:t>
      </w:r>
      <w:proofErr w:type="spellStart"/>
      <w:r w:rsidRPr="00FD7AF6">
        <w:rPr>
          <w:rFonts w:eastAsia="Calibri"/>
          <w:sz w:val="28"/>
          <w:szCs w:val="28"/>
          <w:lang w:val="uk-UA"/>
        </w:rPr>
        <w:t>тис.чол</w:t>
      </w:r>
      <w:proofErr w:type="spellEnd"/>
      <w:r w:rsidRPr="00FD7AF6">
        <w:rPr>
          <w:rFonts w:eastAsia="Calibri"/>
          <w:sz w:val="28"/>
          <w:szCs w:val="28"/>
          <w:lang w:val="uk-UA"/>
        </w:rPr>
        <w:t xml:space="preserve">. </w:t>
      </w:r>
      <w:r w:rsidR="00427253" w:rsidRPr="00FD7AF6">
        <w:rPr>
          <w:rFonts w:eastAsia="Calibri"/>
          <w:sz w:val="28"/>
          <w:szCs w:val="28"/>
          <w:lang w:val="uk-UA"/>
        </w:rPr>
        <w:t>В</w:t>
      </w:r>
      <w:r w:rsidRPr="00FD7AF6">
        <w:rPr>
          <w:rFonts w:eastAsia="Calibri"/>
          <w:sz w:val="28"/>
          <w:szCs w:val="28"/>
          <w:lang w:val="uk-UA"/>
        </w:rPr>
        <w:t xml:space="preserve"> </w:t>
      </w:r>
      <w:r w:rsidR="00427253" w:rsidRPr="00FD7AF6">
        <w:rPr>
          <w:rFonts w:eastAsia="Calibri"/>
          <w:sz w:val="28"/>
          <w:szCs w:val="28"/>
          <w:lang w:val="uk-UA"/>
        </w:rPr>
        <w:t>1,6</w:t>
      </w:r>
      <w:r w:rsidRPr="00FD7AF6">
        <w:rPr>
          <w:rFonts w:eastAsia="Calibri"/>
          <w:sz w:val="28"/>
          <w:szCs w:val="28"/>
          <w:lang w:val="uk-UA"/>
        </w:rPr>
        <w:t xml:space="preserve"> рази зросла кількість домогосподарств, які отримали житлові субсидії, таким правом скористалось понад </w:t>
      </w:r>
      <w:r w:rsidR="00427253" w:rsidRPr="00FD7AF6">
        <w:rPr>
          <w:rFonts w:eastAsia="Calibri"/>
          <w:sz w:val="28"/>
          <w:szCs w:val="28"/>
          <w:lang w:val="uk-UA"/>
        </w:rPr>
        <w:t>14</w:t>
      </w:r>
      <w:r w:rsidR="000602F8" w:rsidRPr="00FD7AF6">
        <w:rPr>
          <w:rFonts w:eastAsia="Calibri"/>
          <w:sz w:val="28"/>
          <w:szCs w:val="28"/>
          <w:lang w:val="uk-UA"/>
        </w:rPr>
        <w:t>0</w:t>
      </w:r>
      <w:r w:rsidR="00C92CE6" w:rsidRPr="00FD7AF6">
        <w:rPr>
          <w:rFonts w:eastAsia="Calibri"/>
          <w:sz w:val="28"/>
          <w:szCs w:val="28"/>
          <w:lang w:val="uk-UA"/>
        </w:rPr>
        <w:t>,0</w:t>
      </w:r>
      <w:r w:rsidRPr="00FD7AF6">
        <w:rPr>
          <w:rFonts w:eastAsia="Calibri"/>
          <w:sz w:val="28"/>
          <w:szCs w:val="28"/>
          <w:lang w:val="uk-UA"/>
        </w:rPr>
        <w:t xml:space="preserve"> тис. сімей.</w:t>
      </w:r>
      <w:r w:rsidR="00A51B2B" w:rsidRPr="00256974">
        <w:rPr>
          <w:rFonts w:eastAsia="Calibri"/>
          <w:sz w:val="28"/>
          <w:szCs w:val="28"/>
          <w:lang w:val="uk-UA"/>
        </w:rPr>
        <w:t xml:space="preserve"> </w:t>
      </w:r>
    </w:p>
    <w:p w:rsidR="00D5486C" w:rsidRPr="00256974" w:rsidRDefault="00E43155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>Н</w:t>
      </w:r>
      <w:r w:rsidR="00D5486C" w:rsidRPr="00256974">
        <w:rPr>
          <w:rFonts w:eastAsia="Calibri"/>
          <w:sz w:val="28"/>
          <w:szCs w:val="28"/>
          <w:lang w:val="uk-UA"/>
        </w:rPr>
        <w:t>а надання пільг на послуги зв’язку та інших, передбачених законодавством пільг</w:t>
      </w:r>
      <w:r w:rsidR="00DC3E94">
        <w:rPr>
          <w:rFonts w:eastAsia="Calibri"/>
          <w:sz w:val="28"/>
          <w:szCs w:val="28"/>
          <w:lang w:val="uk-UA"/>
        </w:rPr>
        <w:t>,</w:t>
      </w:r>
      <w:r w:rsidR="00D5486C" w:rsidRPr="00256974">
        <w:rPr>
          <w:rFonts w:eastAsia="Calibri"/>
          <w:sz w:val="28"/>
          <w:szCs w:val="28"/>
          <w:lang w:val="uk-UA"/>
        </w:rPr>
        <w:t xml:space="preserve"> </w:t>
      </w:r>
      <w:r w:rsidRPr="00256974">
        <w:rPr>
          <w:rFonts w:eastAsia="Calibri"/>
          <w:sz w:val="28"/>
          <w:szCs w:val="28"/>
          <w:lang w:val="uk-UA"/>
        </w:rPr>
        <w:t>спрямовано</w:t>
      </w:r>
      <w:r w:rsidR="00D5486C" w:rsidRPr="00256974">
        <w:rPr>
          <w:rFonts w:eastAsia="Calibri"/>
          <w:sz w:val="28"/>
          <w:szCs w:val="28"/>
          <w:lang w:val="uk-UA"/>
        </w:rPr>
        <w:t xml:space="preserve"> </w:t>
      </w:r>
      <w:r w:rsidRPr="00256974">
        <w:rPr>
          <w:rFonts w:eastAsia="Calibri"/>
          <w:sz w:val="28"/>
          <w:szCs w:val="28"/>
          <w:lang w:val="uk-UA"/>
        </w:rPr>
        <w:t>1,0</w:t>
      </w:r>
      <w:r w:rsidR="00D5486C" w:rsidRPr="00256974">
        <w:rPr>
          <w:rFonts w:eastAsia="Calibri"/>
          <w:sz w:val="28"/>
          <w:szCs w:val="28"/>
          <w:lang w:val="uk-UA"/>
        </w:rPr>
        <w:t xml:space="preserve"> млн.грн. </w:t>
      </w:r>
      <w:r w:rsidR="00D5486C" w:rsidRPr="00FD7AF6">
        <w:rPr>
          <w:rFonts w:eastAsia="Calibri"/>
          <w:sz w:val="28"/>
          <w:szCs w:val="28"/>
          <w:lang w:val="uk-UA"/>
        </w:rPr>
        <w:t>Цими пільгами скористалось 1</w:t>
      </w:r>
      <w:r w:rsidR="00427253" w:rsidRPr="00FD7AF6">
        <w:rPr>
          <w:rFonts w:eastAsia="Calibri"/>
          <w:sz w:val="28"/>
          <w:szCs w:val="28"/>
          <w:lang w:val="uk-UA"/>
        </w:rPr>
        <w:t>2,1</w:t>
      </w:r>
      <w:r w:rsidR="00D5486C" w:rsidRPr="00FD7AF6">
        <w:rPr>
          <w:rFonts w:eastAsia="Calibri"/>
          <w:sz w:val="28"/>
          <w:szCs w:val="28"/>
          <w:lang w:val="uk-UA"/>
        </w:rPr>
        <w:t> </w:t>
      </w:r>
      <w:proofErr w:type="spellStart"/>
      <w:r w:rsidR="00D5486C" w:rsidRPr="00FD7AF6">
        <w:rPr>
          <w:rFonts w:eastAsia="Calibri"/>
          <w:sz w:val="28"/>
          <w:szCs w:val="28"/>
          <w:lang w:val="uk-UA"/>
        </w:rPr>
        <w:t>тис.чол</w:t>
      </w:r>
      <w:proofErr w:type="spellEnd"/>
      <w:r w:rsidR="00D5486C" w:rsidRPr="00FD7AF6">
        <w:rPr>
          <w:rFonts w:eastAsia="Calibri"/>
          <w:sz w:val="28"/>
          <w:szCs w:val="28"/>
          <w:lang w:val="uk-UA"/>
        </w:rPr>
        <w:t xml:space="preserve">. На компенсацію пільгового перевезення окремих категорій громадян різними видами транспорту використано </w:t>
      </w:r>
      <w:r w:rsidRPr="00FD7AF6">
        <w:rPr>
          <w:rFonts w:eastAsia="Calibri"/>
          <w:sz w:val="28"/>
          <w:szCs w:val="28"/>
          <w:lang w:val="uk-UA"/>
        </w:rPr>
        <w:t>19,0</w:t>
      </w:r>
      <w:r w:rsidR="00D5486C" w:rsidRPr="00FD7AF6">
        <w:rPr>
          <w:rFonts w:eastAsia="Calibri"/>
          <w:sz w:val="28"/>
          <w:szCs w:val="28"/>
          <w:lang w:val="uk-UA"/>
        </w:rPr>
        <w:t> млн.грн. Крім того, з метою забезпечення належної та безпе</w:t>
      </w:r>
      <w:r w:rsidR="00D5486C" w:rsidRPr="00256974">
        <w:rPr>
          <w:rFonts w:eastAsia="Calibri"/>
          <w:sz w:val="28"/>
          <w:szCs w:val="28"/>
          <w:lang w:val="uk-UA"/>
        </w:rPr>
        <w:t>ребійної роботи ЗКП МЕТ «</w:t>
      </w:r>
      <w:proofErr w:type="spellStart"/>
      <w:r w:rsidR="00D5486C" w:rsidRPr="00256974">
        <w:rPr>
          <w:rFonts w:eastAsia="Calibri"/>
          <w:sz w:val="28"/>
          <w:szCs w:val="28"/>
          <w:lang w:val="uk-UA"/>
        </w:rPr>
        <w:t>Запоріжелектротранс</w:t>
      </w:r>
      <w:proofErr w:type="spellEnd"/>
      <w:r w:rsidR="00D5486C" w:rsidRPr="00256974">
        <w:rPr>
          <w:rFonts w:eastAsia="Calibri"/>
          <w:sz w:val="28"/>
          <w:szCs w:val="28"/>
          <w:lang w:val="uk-UA"/>
        </w:rPr>
        <w:t xml:space="preserve">» надано фінансової підтримки на суму </w:t>
      </w:r>
      <w:r w:rsidRPr="00256974">
        <w:rPr>
          <w:rFonts w:eastAsia="Calibri"/>
          <w:sz w:val="28"/>
          <w:szCs w:val="28"/>
          <w:lang w:val="uk-UA"/>
        </w:rPr>
        <w:t>21,7</w:t>
      </w:r>
      <w:r w:rsidR="00D5486C" w:rsidRPr="00256974">
        <w:rPr>
          <w:rFonts w:eastAsia="Calibri"/>
          <w:sz w:val="28"/>
          <w:szCs w:val="28"/>
          <w:lang w:val="uk-UA"/>
        </w:rPr>
        <w:t> млн.грн.</w:t>
      </w:r>
    </w:p>
    <w:p w:rsidR="00D5486C" w:rsidRPr="00256974" w:rsidRDefault="002E5FC9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На </w:t>
      </w:r>
      <w:r w:rsidR="00D5486C" w:rsidRPr="00256974">
        <w:rPr>
          <w:rFonts w:eastAsia="Calibri"/>
          <w:sz w:val="28"/>
          <w:szCs w:val="28"/>
          <w:lang w:val="uk-UA"/>
        </w:rPr>
        <w:t xml:space="preserve">підтримку ветеранських організацій міста витрачено </w:t>
      </w:r>
      <w:r w:rsidR="00E43155" w:rsidRPr="00256974">
        <w:rPr>
          <w:rFonts w:eastAsia="Calibri"/>
          <w:sz w:val="28"/>
          <w:szCs w:val="28"/>
          <w:lang w:val="uk-UA"/>
        </w:rPr>
        <w:t>0,6</w:t>
      </w:r>
      <w:r w:rsidR="00D5486C" w:rsidRPr="00256974">
        <w:rPr>
          <w:rFonts w:eastAsia="Calibri"/>
          <w:sz w:val="28"/>
          <w:szCs w:val="28"/>
          <w:lang w:val="uk-UA"/>
        </w:rPr>
        <w:t xml:space="preserve"> млн.грн. Виплати грошової компенсації фізичним особам, які надають соціальні послуги громадянам похилого віку, інвалідам, дітям-інвалідам, хворим, які не здатні до самообслуговування та потребують сторонньої допомоги, проведені на суму </w:t>
      </w:r>
      <w:r w:rsidR="00F8083B" w:rsidRPr="00256974">
        <w:rPr>
          <w:rFonts w:eastAsia="Calibri"/>
          <w:sz w:val="28"/>
          <w:szCs w:val="28"/>
          <w:lang w:val="uk-UA"/>
        </w:rPr>
        <w:t>0,8</w:t>
      </w:r>
      <w:r w:rsidR="00D5486C" w:rsidRPr="00256974">
        <w:rPr>
          <w:rFonts w:eastAsia="Calibri"/>
          <w:sz w:val="28"/>
          <w:szCs w:val="28"/>
          <w:lang w:val="uk-UA"/>
        </w:rPr>
        <w:t xml:space="preserve"> млн.грн. </w:t>
      </w:r>
    </w:p>
    <w:p w:rsidR="00D5486C" w:rsidRPr="00256974" w:rsidRDefault="00D5486C" w:rsidP="00D548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На забезпечення функціонування та розвиток установ соціально-культурної сфери спрямовано </w:t>
      </w:r>
      <w:r w:rsidR="00F8083B" w:rsidRPr="00256974">
        <w:rPr>
          <w:rFonts w:eastAsia="Calibri"/>
          <w:sz w:val="28"/>
          <w:szCs w:val="28"/>
          <w:lang w:val="uk-UA"/>
        </w:rPr>
        <w:t>797,6</w:t>
      </w:r>
      <w:r w:rsidRPr="00256974">
        <w:rPr>
          <w:rFonts w:eastAsia="Calibri"/>
          <w:sz w:val="28"/>
          <w:szCs w:val="28"/>
          <w:lang w:val="uk-UA"/>
        </w:rPr>
        <w:t> млн.грн., що становить 4</w:t>
      </w:r>
      <w:r w:rsidR="00F8083B" w:rsidRPr="00256974">
        <w:rPr>
          <w:rFonts w:eastAsia="Calibri"/>
          <w:sz w:val="28"/>
          <w:szCs w:val="28"/>
          <w:lang w:val="uk-UA"/>
        </w:rPr>
        <w:t>4,3</w:t>
      </w:r>
      <w:r w:rsidRPr="00256974">
        <w:rPr>
          <w:rFonts w:eastAsia="Calibri"/>
          <w:sz w:val="28"/>
          <w:szCs w:val="28"/>
          <w:lang w:val="uk-UA"/>
        </w:rPr>
        <w:t xml:space="preserve">% загального обсягу витрат бюджету міста, в тому числі на освіту – </w:t>
      </w:r>
      <w:r w:rsidR="00F8083B" w:rsidRPr="00256974">
        <w:rPr>
          <w:rFonts w:eastAsia="Calibri"/>
          <w:sz w:val="28"/>
          <w:szCs w:val="28"/>
          <w:lang w:val="uk-UA"/>
        </w:rPr>
        <w:t>478,8</w:t>
      </w:r>
      <w:r w:rsidRPr="00256974">
        <w:rPr>
          <w:rFonts w:eastAsia="Calibri"/>
          <w:sz w:val="28"/>
          <w:szCs w:val="28"/>
          <w:lang w:val="uk-UA"/>
        </w:rPr>
        <w:t xml:space="preserve"> млн.грн., охорону здоров'я – </w:t>
      </w:r>
      <w:r w:rsidR="00F8083B" w:rsidRPr="00256974">
        <w:rPr>
          <w:rFonts w:eastAsia="Calibri"/>
          <w:sz w:val="28"/>
          <w:szCs w:val="28"/>
          <w:lang w:val="uk-UA"/>
        </w:rPr>
        <w:t>261,7</w:t>
      </w:r>
      <w:r w:rsidRPr="00256974">
        <w:rPr>
          <w:rFonts w:eastAsia="Calibri"/>
          <w:sz w:val="28"/>
          <w:szCs w:val="28"/>
        </w:rPr>
        <w:t> </w:t>
      </w:r>
      <w:r w:rsidRPr="00256974">
        <w:rPr>
          <w:rFonts w:eastAsia="Calibri"/>
          <w:sz w:val="28"/>
          <w:szCs w:val="28"/>
          <w:lang w:val="uk-UA"/>
        </w:rPr>
        <w:t xml:space="preserve">млн.грн., культуру – </w:t>
      </w:r>
      <w:r w:rsidR="00F8083B" w:rsidRPr="00256974">
        <w:rPr>
          <w:rFonts w:eastAsia="Calibri"/>
          <w:sz w:val="28"/>
          <w:szCs w:val="28"/>
          <w:lang w:val="uk-UA"/>
        </w:rPr>
        <w:t>33,8</w:t>
      </w:r>
      <w:r w:rsidRPr="00256974">
        <w:rPr>
          <w:rFonts w:eastAsia="Calibri"/>
          <w:sz w:val="28"/>
          <w:szCs w:val="28"/>
          <w:lang w:val="uk-UA"/>
        </w:rPr>
        <w:t xml:space="preserve"> млн.грн., фізичну культуру і спорт – </w:t>
      </w:r>
      <w:r w:rsidR="00F8083B" w:rsidRPr="00256974">
        <w:rPr>
          <w:rFonts w:eastAsia="Calibri"/>
          <w:sz w:val="28"/>
          <w:szCs w:val="28"/>
          <w:lang w:val="uk-UA"/>
        </w:rPr>
        <w:t>14,7</w:t>
      </w:r>
      <w:r w:rsidRPr="00256974">
        <w:rPr>
          <w:rFonts w:eastAsia="Calibri"/>
          <w:sz w:val="28"/>
          <w:szCs w:val="28"/>
          <w:lang w:val="uk-UA"/>
        </w:rPr>
        <w:t xml:space="preserve"> млн.грн., установи соціального захисту – </w:t>
      </w:r>
      <w:r w:rsidR="00F8083B" w:rsidRPr="00256974">
        <w:rPr>
          <w:rFonts w:eastAsia="Calibri"/>
          <w:sz w:val="28"/>
          <w:szCs w:val="28"/>
          <w:lang w:val="uk-UA"/>
        </w:rPr>
        <w:t>8,6</w:t>
      </w:r>
      <w:r w:rsidRPr="00256974">
        <w:rPr>
          <w:rFonts w:eastAsia="Calibri"/>
          <w:sz w:val="28"/>
          <w:szCs w:val="28"/>
          <w:lang w:val="uk-UA"/>
        </w:rPr>
        <w:t xml:space="preserve"> млн.грн. Із зазначеного обсягу видатки бюджету розвитку проведені в сумі </w:t>
      </w:r>
      <w:r w:rsidR="00F8083B" w:rsidRPr="00256974">
        <w:rPr>
          <w:rFonts w:eastAsia="Calibri"/>
          <w:sz w:val="28"/>
          <w:szCs w:val="28"/>
          <w:lang w:val="uk-UA"/>
        </w:rPr>
        <w:t>5,8</w:t>
      </w:r>
      <w:r w:rsidRPr="00256974">
        <w:rPr>
          <w:rFonts w:eastAsia="Calibri"/>
          <w:sz w:val="28"/>
          <w:szCs w:val="28"/>
          <w:lang w:val="uk-UA"/>
        </w:rPr>
        <w:t> млн.грн. та спрямовані на придбання предметів довгострокового користування, реконструкцію і капітальний ремонт будівель та приміщень установ.</w:t>
      </w:r>
    </w:p>
    <w:p w:rsidR="00D5486C" w:rsidRPr="00256974" w:rsidRDefault="00D5486C" w:rsidP="00541B47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Видатки на житлово-комунальне та дорожнє господарство склали </w:t>
      </w:r>
      <w:r w:rsidR="00F8083B" w:rsidRPr="00256974">
        <w:rPr>
          <w:rFonts w:eastAsia="Calibri"/>
          <w:sz w:val="28"/>
          <w:szCs w:val="28"/>
          <w:lang w:val="uk-UA"/>
        </w:rPr>
        <w:t>190,6</w:t>
      </w:r>
      <w:r w:rsidRPr="00256974">
        <w:rPr>
          <w:rFonts w:eastAsia="Calibri"/>
          <w:sz w:val="28"/>
          <w:szCs w:val="28"/>
          <w:lang w:val="uk-UA"/>
        </w:rPr>
        <w:t> млн.грн.</w:t>
      </w:r>
      <w:r w:rsidR="00541B47">
        <w:rPr>
          <w:rFonts w:eastAsia="Calibri"/>
          <w:sz w:val="28"/>
          <w:szCs w:val="28"/>
          <w:lang w:val="uk-UA"/>
        </w:rPr>
        <w:t>, планові показники відповідного періоду виконані на 71,0%.</w:t>
      </w:r>
      <w:r w:rsidRPr="00256974">
        <w:rPr>
          <w:rFonts w:eastAsia="Calibri"/>
          <w:sz w:val="28"/>
          <w:szCs w:val="28"/>
          <w:lang w:val="uk-UA"/>
        </w:rPr>
        <w:t xml:space="preserve"> Кошти спрямовані на реалізацію заходів наступних програм:</w:t>
      </w:r>
    </w:p>
    <w:p w:rsidR="00D5486C" w:rsidRPr="00256974" w:rsidRDefault="00D5486C" w:rsidP="00541B47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- </w:t>
      </w:r>
      <w:r w:rsidR="00B4332F" w:rsidRPr="00256974">
        <w:rPr>
          <w:i/>
          <w:sz w:val="28"/>
          <w:szCs w:val="28"/>
          <w:lang w:val="uk-UA"/>
        </w:rPr>
        <w:t xml:space="preserve">Програма розвитку інфраструктури та комплексного благоустрою міста Запоріжжя </w:t>
      </w:r>
      <w:r w:rsidRPr="00256974">
        <w:rPr>
          <w:sz w:val="28"/>
          <w:szCs w:val="28"/>
          <w:lang w:val="uk-UA"/>
        </w:rPr>
        <w:t xml:space="preserve">– </w:t>
      </w:r>
      <w:r w:rsidR="00DC6B82" w:rsidRPr="00256974">
        <w:rPr>
          <w:sz w:val="28"/>
          <w:szCs w:val="28"/>
          <w:lang w:val="uk-UA"/>
        </w:rPr>
        <w:t>48,7</w:t>
      </w:r>
      <w:r w:rsidRPr="00256974">
        <w:rPr>
          <w:sz w:val="28"/>
          <w:szCs w:val="28"/>
          <w:lang w:val="uk-UA"/>
        </w:rPr>
        <w:t> млн.грн.</w:t>
      </w:r>
      <w:r w:rsidR="00107C3B">
        <w:rPr>
          <w:sz w:val="28"/>
          <w:szCs w:val="28"/>
          <w:lang w:val="uk-UA"/>
        </w:rPr>
        <w:t>, що становить 62,7% планових показників.</w:t>
      </w:r>
    </w:p>
    <w:p w:rsidR="00D5486C" w:rsidRPr="00256974" w:rsidRDefault="00D5486C" w:rsidP="00541B47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На заходи з благоустрою міста використано </w:t>
      </w:r>
      <w:r w:rsidR="00842E1B" w:rsidRPr="00256974">
        <w:rPr>
          <w:rFonts w:eastAsia="Calibri"/>
          <w:sz w:val="28"/>
          <w:szCs w:val="28"/>
          <w:lang w:val="uk-UA"/>
        </w:rPr>
        <w:t>21,3</w:t>
      </w:r>
      <w:r w:rsidRPr="00256974">
        <w:rPr>
          <w:rFonts w:eastAsia="Calibri"/>
          <w:sz w:val="28"/>
          <w:szCs w:val="28"/>
          <w:lang w:val="uk-UA"/>
        </w:rPr>
        <w:t> млн.грн. та спрямовано на забезпечення зовнішнього освітлення міста, догляд за зеленими насадженнями, поточний ремонт та обслуговування фонтанів, енергопостачання парків, засобів регулювання дорожнього руху тощо.</w:t>
      </w:r>
      <w:r w:rsidRPr="00256974">
        <w:rPr>
          <w:rFonts w:eastAsia="Calibri"/>
          <w:color w:val="FF0000"/>
          <w:sz w:val="28"/>
          <w:szCs w:val="28"/>
          <w:lang w:val="uk-UA"/>
        </w:rPr>
        <w:t xml:space="preserve"> </w:t>
      </w:r>
    </w:p>
    <w:p w:rsidR="00D5486C" w:rsidRPr="00256974" w:rsidRDefault="00D5486C" w:rsidP="00541B4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256974">
        <w:rPr>
          <w:rFonts w:eastAsia="Calibri"/>
          <w:sz w:val="28"/>
          <w:szCs w:val="28"/>
          <w:lang w:val="uk-UA"/>
        </w:rPr>
        <w:t xml:space="preserve">На оплату робіт, пов’язаних із будівництвом, реконструкцією, ремонтом та утриманням автомобільних доріг з бюджету міста витрачено </w:t>
      </w:r>
      <w:r w:rsidR="00842E1B" w:rsidRPr="00256974">
        <w:rPr>
          <w:rFonts w:eastAsia="Calibri"/>
          <w:sz w:val="28"/>
          <w:szCs w:val="28"/>
          <w:lang w:val="uk-UA"/>
        </w:rPr>
        <w:t>19,9</w:t>
      </w:r>
      <w:r w:rsidRPr="00256974">
        <w:rPr>
          <w:rFonts w:eastAsia="Calibri"/>
          <w:sz w:val="28"/>
          <w:szCs w:val="28"/>
          <w:lang w:val="uk-UA"/>
        </w:rPr>
        <w:t xml:space="preserve"> млн.грн., з яких на утримання і експлуатацію доріг – </w:t>
      </w:r>
      <w:r w:rsidR="004F6F1A" w:rsidRPr="00256974">
        <w:rPr>
          <w:rFonts w:eastAsia="Calibri"/>
          <w:sz w:val="28"/>
          <w:szCs w:val="28"/>
          <w:lang w:val="uk-UA"/>
        </w:rPr>
        <w:t>16,5</w:t>
      </w:r>
      <w:r w:rsidRPr="00256974">
        <w:rPr>
          <w:rFonts w:eastAsia="Calibri"/>
          <w:sz w:val="28"/>
          <w:szCs w:val="28"/>
          <w:lang w:val="uk-UA"/>
        </w:rPr>
        <w:t xml:space="preserve"> млн.грн., будівельні та ремонтні роботи – </w:t>
      </w:r>
      <w:r w:rsidR="004F6F1A" w:rsidRPr="00256974">
        <w:rPr>
          <w:rFonts w:eastAsia="Calibri"/>
          <w:sz w:val="28"/>
          <w:szCs w:val="28"/>
          <w:lang w:val="uk-UA"/>
        </w:rPr>
        <w:t>3,4</w:t>
      </w:r>
      <w:r w:rsidRPr="00256974">
        <w:rPr>
          <w:rFonts w:eastAsia="Calibri"/>
          <w:sz w:val="28"/>
          <w:szCs w:val="28"/>
          <w:lang w:val="uk-UA"/>
        </w:rPr>
        <w:t xml:space="preserve"> млн.грн. </w:t>
      </w:r>
    </w:p>
    <w:p w:rsidR="00D5486C" w:rsidRPr="00256974" w:rsidRDefault="00D5486C" w:rsidP="00541B47">
      <w:pPr>
        <w:ind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Видатки на будівництво та реконструкцію об’єктів комунальної інфраструктури проведені в сумі </w:t>
      </w:r>
      <w:r w:rsidR="00DC6B82" w:rsidRPr="00256974">
        <w:rPr>
          <w:sz w:val="28"/>
          <w:szCs w:val="28"/>
          <w:lang w:val="uk-UA"/>
        </w:rPr>
        <w:t>4</w:t>
      </w:r>
      <w:r w:rsidR="004F6F1A" w:rsidRPr="00256974">
        <w:rPr>
          <w:sz w:val="28"/>
          <w:szCs w:val="28"/>
          <w:lang w:val="uk-UA"/>
        </w:rPr>
        <w:t>,8</w:t>
      </w:r>
      <w:r w:rsidRPr="00256974">
        <w:rPr>
          <w:sz w:val="28"/>
          <w:szCs w:val="28"/>
          <w:lang w:val="uk-UA"/>
        </w:rPr>
        <w:t xml:space="preserve"> млн.грн., в тому числі мереж зовнішнього освітлення – </w:t>
      </w:r>
      <w:r w:rsidR="004F6F1A" w:rsidRPr="00256974">
        <w:rPr>
          <w:sz w:val="28"/>
          <w:szCs w:val="28"/>
          <w:lang w:val="uk-UA"/>
        </w:rPr>
        <w:t>0,4</w:t>
      </w:r>
      <w:r w:rsidRPr="00256974">
        <w:rPr>
          <w:sz w:val="28"/>
          <w:szCs w:val="28"/>
          <w:lang w:val="uk-UA"/>
        </w:rPr>
        <w:t xml:space="preserve"> млн.грн., скверів, парків, майданів та площ міста – </w:t>
      </w:r>
      <w:r w:rsidR="004F6F1A" w:rsidRPr="00256974">
        <w:rPr>
          <w:sz w:val="28"/>
          <w:szCs w:val="28"/>
          <w:lang w:val="uk-UA"/>
        </w:rPr>
        <w:t>0,9</w:t>
      </w:r>
      <w:r w:rsidRPr="00256974">
        <w:rPr>
          <w:sz w:val="28"/>
          <w:szCs w:val="28"/>
          <w:lang w:val="uk-UA"/>
        </w:rPr>
        <w:t> млн.грн.,</w:t>
      </w:r>
      <w:r w:rsidRPr="00256974">
        <w:rPr>
          <w:sz w:val="28"/>
          <w:szCs w:val="28"/>
          <w:highlight w:val="yellow"/>
          <w:lang w:val="uk-UA"/>
        </w:rPr>
        <w:t xml:space="preserve"> </w:t>
      </w:r>
      <w:r w:rsidRPr="00256974">
        <w:rPr>
          <w:sz w:val="28"/>
          <w:szCs w:val="28"/>
          <w:lang w:val="uk-UA"/>
        </w:rPr>
        <w:t xml:space="preserve">зливової каналізації, вулиць, тротуарів, </w:t>
      </w:r>
      <w:proofErr w:type="spellStart"/>
      <w:r w:rsidRPr="00256974">
        <w:rPr>
          <w:sz w:val="28"/>
          <w:szCs w:val="28"/>
          <w:lang w:val="uk-UA"/>
        </w:rPr>
        <w:t>водопропусків</w:t>
      </w:r>
      <w:proofErr w:type="spellEnd"/>
      <w:r w:rsidRPr="00256974">
        <w:rPr>
          <w:sz w:val="28"/>
          <w:szCs w:val="28"/>
          <w:lang w:val="uk-UA"/>
        </w:rPr>
        <w:t xml:space="preserve"> та мостових переходів – </w:t>
      </w:r>
      <w:r w:rsidR="004F6F1A" w:rsidRPr="00256974">
        <w:rPr>
          <w:sz w:val="28"/>
          <w:szCs w:val="28"/>
          <w:lang w:val="uk-UA"/>
        </w:rPr>
        <w:t>0,</w:t>
      </w:r>
      <w:r w:rsidR="00DC6B82" w:rsidRPr="00256974">
        <w:rPr>
          <w:sz w:val="28"/>
          <w:szCs w:val="28"/>
          <w:lang w:val="uk-UA"/>
        </w:rPr>
        <w:t>6</w:t>
      </w:r>
      <w:r w:rsidRPr="00256974">
        <w:rPr>
          <w:sz w:val="28"/>
          <w:szCs w:val="28"/>
          <w:lang w:val="uk-UA"/>
        </w:rPr>
        <w:t xml:space="preserve"> млн.грн., інших об’єктів – </w:t>
      </w:r>
      <w:r w:rsidR="004F6F1A" w:rsidRPr="00256974">
        <w:rPr>
          <w:sz w:val="28"/>
          <w:szCs w:val="28"/>
          <w:lang w:val="uk-UA"/>
        </w:rPr>
        <w:t>2,9</w:t>
      </w:r>
      <w:r w:rsidRPr="00256974">
        <w:rPr>
          <w:sz w:val="28"/>
          <w:szCs w:val="28"/>
          <w:lang w:val="uk-UA"/>
        </w:rPr>
        <w:t> млн.грн.</w:t>
      </w:r>
    </w:p>
    <w:p w:rsidR="00D5486C" w:rsidRPr="00541B47" w:rsidRDefault="00D5486C" w:rsidP="00541B47">
      <w:pPr>
        <w:ind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Внески до статутних капіталів комунальних підприємств галузі на </w:t>
      </w:r>
      <w:r w:rsidRPr="00541B47">
        <w:rPr>
          <w:sz w:val="28"/>
          <w:szCs w:val="28"/>
          <w:lang w:val="uk-UA"/>
        </w:rPr>
        <w:t xml:space="preserve">придбання спеціальної техніки проведені в обсязі </w:t>
      </w:r>
      <w:r w:rsidR="00DC6B82" w:rsidRPr="00541B47">
        <w:rPr>
          <w:sz w:val="28"/>
          <w:szCs w:val="28"/>
          <w:lang w:val="uk-UA"/>
        </w:rPr>
        <w:t>2,5</w:t>
      </w:r>
      <w:r w:rsidRPr="00541B47">
        <w:rPr>
          <w:sz w:val="28"/>
          <w:szCs w:val="28"/>
          <w:lang w:val="uk-UA"/>
        </w:rPr>
        <w:t> млн.грн.</w:t>
      </w:r>
    </w:p>
    <w:p w:rsidR="00D5486C" w:rsidRPr="00256974" w:rsidRDefault="00D5486C" w:rsidP="00541B47">
      <w:pPr>
        <w:ind w:firstLine="709"/>
        <w:jc w:val="both"/>
        <w:rPr>
          <w:sz w:val="28"/>
          <w:szCs w:val="28"/>
          <w:lang w:val="uk-UA"/>
        </w:rPr>
      </w:pPr>
      <w:r w:rsidRPr="00541B47">
        <w:rPr>
          <w:sz w:val="28"/>
          <w:szCs w:val="28"/>
          <w:lang w:val="uk-UA"/>
        </w:rPr>
        <w:t xml:space="preserve">- </w:t>
      </w:r>
      <w:r w:rsidR="00344A38" w:rsidRPr="00541B47">
        <w:rPr>
          <w:i/>
          <w:sz w:val="28"/>
          <w:szCs w:val="28"/>
          <w:lang w:val="uk-UA"/>
        </w:rPr>
        <w:t xml:space="preserve">Програма розвитку та утримання житлово-комунального господарства </w:t>
      </w:r>
      <w:r w:rsidRPr="00541B47">
        <w:rPr>
          <w:sz w:val="28"/>
          <w:szCs w:val="28"/>
          <w:lang w:val="uk-UA"/>
        </w:rPr>
        <w:t xml:space="preserve">– </w:t>
      </w:r>
      <w:r w:rsidR="00541B47" w:rsidRPr="00541B47">
        <w:rPr>
          <w:sz w:val="28"/>
          <w:szCs w:val="28"/>
          <w:lang w:val="uk-UA"/>
        </w:rPr>
        <w:t>132,5</w:t>
      </w:r>
      <w:r w:rsidRPr="00541B47">
        <w:rPr>
          <w:sz w:val="28"/>
          <w:szCs w:val="28"/>
          <w:lang w:val="uk-UA"/>
        </w:rPr>
        <w:t> млн.грн.</w:t>
      </w:r>
      <w:r w:rsidRPr="00541B47">
        <w:rPr>
          <w:rFonts w:eastAsia="Calibri"/>
          <w:sz w:val="28"/>
          <w:szCs w:val="28"/>
          <w:lang w:val="uk-UA"/>
        </w:rPr>
        <w:t xml:space="preserve">, з яких на </w:t>
      </w:r>
      <w:r w:rsidRPr="00541B47">
        <w:rPr>
          <w:sz w:val="28"/>
          <w:szCs w:val="28"/>
          <w:lang w:val="uk-UA"/>
        </w:rPr>
        <w:t xml:space="preserve">фінансову підтримку комунальним підприємствам галузі – </w:t>
      </w:r>
      <w:r w:rsidR="00541B47" w:rsidRPr="00541B47">
        <w:rPr>
          <w:sz w:val="28"/>
          <w:szCs w:val="28"/>
          <w:lang w:val="uk-UA"/>
        </w:rPr>
        <w:t>119,1</w:t>
      </w:r>
      <w:r w:rsidRPr="00541B47">
        <w:rPr>
          <w:sz w:val="28"/>
          <w:szCs w:val="28"/>
          <w:lang w:val="uk-UA"/>
        </w:rPr>
        <w:t> млн.грн., проведення капітального ремонту житлового фонду комунальної власності міста та</w:t>
      </w:r>
      <w:r w:rsidRPr="00256974">
        <w:rPr>
          <w:sz w:val="28"/>
          <w:szCs w:val="28"/>
          <w:lang w:val="uk-UA"/>
        </w:rPr>
        <w:t xml:space="preserve"> об’єднань співвласників багатоквартирних будинків – </w:t>
      </w:r>
      <w:r w:rsidR="00107C3B">
        <w:rPr>
          <w:sz w:val="28"/>
          <w:szCs w:val="28"/>
          <w:lang w:val="uk-UA"/>
        </w:rPr>
        <w:t>8,5</w:t>
      </w:r>
      <w:r w:rsidRPr="00256974">
        <w:rPr>
          <w:sz w:val="28"/>
          <w:szCs w:val="28"/>
          <w:lang w:val="uk-UA"/>
        </w:rPr>
        <w:t xml:space="preserve"> млн.грн., встановлення приладів обліку теплової енергії – </w:t>
      </w:r>
      <w:r w:rsidR="00DC6B82" w:rsidRPr="00256974">
        <w:rPr>
          <w:sz w:val="28"/>
          <w:szCs w:val="28"/>
          <w:lang w:val="uk-UA"/>
        </w:rPr>
        <w:t>0,2 </w:t>
      </w:r>
      <w:r w:rsidRPr="00256974">
        <w:rPr>
          <w:sz w:val="28"/>
          <w:szCs w:val="28"/>
          <w:lang w:val="uk-UA"/>
        </w:rPr>
        <w:t xml:space="preserve">млн.грн., проведення реконструкції та будівництва об’єктів житлового фонду, водопровідних мереж, каналізаційних колекторів, </w:t>
      </w:r>
      <w:proofErr w:type="spellStart"/>
      <w:r w:rsidRPr="00256974">
        <w:rPr>
          <w:sz w:val="28"/>
          <w:szCs w:val="28"/>
          <w:lang w:val="uk-UA"/>
        </w:rPr>
        <w:t>водопропусків</w:t>
      </w:r>
      <w:proofErr w:type="spellEnd"/>
      <w:r w:rsidRPr="00256974">
        <w:rPr>
          <w:sz w:val="28"/>
          <w:szCs w:val="28"/>
          <w:lang w:val="uk-UA"/>
        </w:rPr>
        <w:t xml:space="preserve"> та насосних станцій міста – </w:t>
      </w:r>
      <w:r w:rsidR="00B43F7F">
        <w:rPr>
          <w:sz w:val="28"/>
          <w:szCs w:val="28"/>
          <w:lang w:val="uk-UA"/>
        </w:rPr>
        <w:t>1,9</w:t>
      </w:r>
      <w:r w:rsidRPr="00256974">
        <w:rPr>
          <w:sz w:val="28"/>
          <w:szCs w:val="28"/>
          <w:lang w:val="uk-UA"/>
        </w:rPr>
        <w:t> млн.грн.</w:t>
      </w:r>
      <w:r w:rsidR="00B43F7F">
        <w:rPr>
          <w:sz w:val="28"/>
          <w:szCs w:val="28"/>
          <w:lang w:val="uk-UA"/>
        </w:rPr>
        <w:t>, житлово-експлуатаційного господарство – 2,8 млн.грн.</w:t>
      </w:r>
      <w:r w:rsidRPr="00256974">
        <w:rPr>
          <w:sz w:val="28"/>
          <w:szCs w:val="28"/>
          <w:lang w:val="uk-UA"/>
        </w:rPr>
        <w:t xml:space="preserve"> тощо.</w:t>
      </w:r>
    </w:p>
    <w:p w:rsidR="00B4332F" w:rsidRPr="00256974" w:rsidRDefault="00B4332F" w:rsidP="00541B47">
      <w:pPr>
        <w:ind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- </w:t>
      </w:r>
      <w:r w:rsidRPr="00541B47">
        <w:rPr>
          <w:i/>
          <w:sz w:val="28"/>
          <w:szCs w:val="28"/>
          <w:lang w:val="uk-UA"/>
        </w:rPr>
        <w:t>Програма "Муніципальної аварійної служби та служби технічного обслуговування систем диспетчеризації ліфтів</w:t>
      </w:r>
      <w:r w:rsidRPr="00541B47">
        <w:rPr>
          <w:sz w:val="28"/>
          <w:szCs w:val="28"/>
          <w:lang w:val="uk-UA"/>
        </w:rPr>
        <w:t xml:space="preserve"> </w:t>
      </w:r>
      <w:r w:rsidR="00541B47" w:rsidRPr="00541B47">
        <w:rPr>
          <w:sz w:val="28"/>
          <w:szCs w:val="28"/>
          <w:lang w:val="uk-UA"/>
        </w:rPr>
        <w:t>–</w:t>
      </w:r>
      <w:r w:rsidRPr="00541B47">
        <w:rPr>
          <w:sz w:val="28"/>
          <w:szCs w:val="28"/>
          <w:lang w:val="uk-UA"/>
        </w:rPr>
        <w:t xml:space="preserve"> </w:t>
      </w:r>
      <w:r w:rsidR="00541B47" w:rsidRPr="00541B47">
        <w:rPr>
          <w:sz w:val="28"/>
          <w:szCs w:val="28"/>
          <w:lang w:val="uk-UA"/>
        </w:rPr>
        <w:t>9,2 млн.грн.</w:t>
      </w:r>
    </w:p>
    <w:p w:rsidR="00DC6B82" w:rsidRPr="00256974" w:rsidRDefault="00DC6B82" w:rsidP="00541B47">
      <w:pPr>
        <w:ind w:firstLine="709"/>
        <w:jc w:val="both"/>
        <w:rPr>
          <w:sz w:val="28"/>
          <w:szCs w:val="28"/>
          <w:lang w:val="uk-UA"/>
        </w:rPr>
      </w:pPr>
      <w:r w:rsidRPr="00256974">
        <w:rPr>
          <w:sz w:val="28"/>
          <w:szCs w:val="28"/>
          <w:lang w:val="uk-UA"/>
        </w:rPr>
        <w:t xml:space="preserve">- </w:t>
      </w:r>
      <w:r w:rsidR="00344A38" w:rsidRPr="00256974">
        <w:rPr>
          <w:i/>
          <w:sz w:val="28"/>
          <w:szCs w:val="28"/>
          <w:lang w:val="uk-UA"/>
        </w:rPr>
        <w:t>Програма відшкодування відсоткових ставок за залученими в кредитно-фінансових установах короткостроковими кредитами, що надаються об"єднанням співвласників багатоквартирних будинків та житлово-</w:t>
      </w:r>
      <w:r w:rsidR="00344A38" w:rsidRPr="00256974">
        <w:rPr>
          <w:i/>
          <w:sz w:val="28"/>
          <w:szCs w:val="28"/>
          <w:lang w:val="uk-UA"/>
        </w:rPr>
        <w:lastRenderedPageBreak/>
        <w:t xml:space="preserve">будівельним кооперативам на реалізацію енергозберігаючих та </w:t>
      </w:r>
      <w:proofErr w:type="spellStart"/>
      <w:r w:rsidR="00344A38" w:rsidRPr="00256974">
        <w:rPr>
          <w:i/>
          <w:sz w:val="28"/>
          <w:szCs w:val="28"/>
          <w:lang w:val="uk-UA"/>
        </w:rPr>
        <w:t>енергоефективних</w:t>
      </w:r>
      <w:proofErr w:type="spellEnd"/>
      <w:r w:rsidR="00344A38" w:rsidRPr="00256974">
        <w:rPr>
          <w:i/>
          <w:sz w:val="28"/>
          <w:szCs w:val="28"/>
          <w:lang w:val="uk-UA"/>
        </w:rPr>
        <w:t xml:space="preserve"> проектів в житлово-комунальному господарстві – </w:t>
      </w:r>
      <w:r w:rsidR="00344A38" w:rsidRPr="00256974">
        <w:rPr>
          <w:sz w:val="28"/>
          <w:szCs w:val="28"/>
          <w:lang w:val="uk-UA"/>
        </w:rPr>
        <w:t>0,2 млн.грн. або 90,8% планових показників на відповідний період.</w:t>
      </w:r>
    </w:p>
    <w:p w:rsidR="00AF6FB1" w:rsidRPr="00256974" w:rsidRDefault="00D5486C" w:rsidP="00541B47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На розвиток транспортної галузі спрямовано </w:t>
      </w:r>
      <w:r w:rsidR="00AF6FB1" w:rsidRPr="00256974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Pr="00256974">
        <w:rPr>
          <w:rFonts w:ascii="Times New Roman" w:hAnsi="Times New Roman" w:cs="Times New Roman"/>
          <w:sz w:val="28"/>
          <w:szCs w:val="28"/>
          <w:lang w:val="uk-UA"/>
        </w:rPr>
        <w:t> млн.грн. (</w:t>
      </w:r>
      <w:r w:rsidR="00AF6FB1" w:rsidRPr="00256974">
        <w:rPr>
          <w:rFonts w:ascii="Times New Roman" w:hAnsi="Times New Roman" w:cs="Times New Roman"/>
          <w:sz w:val="28"/>
          <w:szCs w:val="28"/>
          <w:lang w:val="uk-UA"/>
        </w:rPr>
        <w:t>54,9</w:t>
      </w:r>
      <w:r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F6FB1" w:rsidRPr="00256974">
        <w:rPr>
          <w:rFonts w:ascii="Times New Roman" w:hAnsi="Times New Roman" w:cs="Times New Roman"/>
          <w:sz w:val="28"/>
          <w:szCs w:val="28"/>
          <w:lang w:val="uk-UA"/>
        </w:rPr>
        <w:t>планових призначень</w:t>
      </w:r>
      <w:r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), в тому числі на </w:t>
      </w:r>
      <w:r w:rsidR="009E00CE"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реконструкцію огородження та системи технічного нагляду і контролю доступу по периметру охоронної зони обмеженого доступу </w:t>
      </w:r>
      <w:proofErr w:type="spellStart"/>
      <w:r w:rsidR="009E00CE" w:rsidRPr="0025697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E00CE"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 "Міжнародний аеропорт Запоріжжя"</w:t>
      </w:r>
      <w:r w:rsidR="00AF6FB1"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 – 3,0 млн.грн., реконструкцію контактної мережі</w:t>
      </w:r>
      <w:r w:rsidR="009E00CE" w:rsidRPr="00256974">
        <w:rPr>
          <w:rFonts w:ascii="Times New Roman" w:hAnsi="Times New Roman" w:cs="Times New Roman"/>
          <w:sz w:val="28"/>
          <w:szCs w:val="28"/>
          <w:lang w:val="uk-UA"/>
        </w:rPr>
        <w:t xml:space="preserve"> тролейбусу – 0,5 млн.грн.</w:t>
      </w:r>
    </w:p>
    <w:p w:rsidR="00D5486C" w:rsidRPr="00256974" w:rsidRDefault="00D5486C" w:rsidP="00541B47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56974">
        <w:rPr>
          <w:sz w:val="28"/>
          <w:szCs w:val="28"/>
        </w:rPr>
        <w:t xml:space="preserve">На надання </w:t>
      </w:r>
      <w:r w:rsidR="001103EE" w:rsidRPr="00541B47">
        <w:rPr>
          <w:sz w:val="28"/>
          <w:szCs w:val="28"/>
        </w:rPr>
        <w:t>4-х</w:t>
      </w:r>
      <w:r w:rsidR="001103EE" w:rsidRPr="00256974">
        <w:rPr>
          <w:sz w:val="28"/>
          <w:szCs w:val="28"/>
        </w:rPr>
        <w:t xml:space="preserve"> </w:t>
      </w:r>
      <w:r w:rsidRPr="00256974">
        <w:rPr>
          <w:sz w:val="28"/>
          <w:szCs w:val="28"/>
        </w:rPr>
        <w:t>пільгових довгострокових кредитів на будівництво (реконструкцію) та придбання житла витрачено 2,</w:t>
      </w:r>
      <w:r w:rsidR="009E00CE" w:rsidRPr="00256974">
        <w:rPr>
          <w:sz w:val="28"/>
          <w:szCs w:val="28"/>
        </w:rPr>
        <w:t>0</w:t>
      </w:r>
      <w:r w:rsidRPr="00256974">
        <w:rPr>
          <w:sz w:val="28"/>
          <w:szCs w:val="28"/>
        </w:rPr>
        <w:t xml:space="preserve"> млн.грн. </w:t>
      </w:r>
    </w:p>
    <w:p w:rsidR="00393789" w:rsidRPr="00256974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sectPr w:rsidR="00393789" w:rsidRPr="00256974" w:rsidSect="005E406D">
      <w:headerReference w:type="even" r:id="rId13"/>
      <w:headerReference w:type="default" r:id="rId14"/>
      <w:pgSz w:w="11906" w:h="16838"/>
      <w:pgMar w:top="851" w:right="567" w:bottom="85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9" w:rsidRDefault="002E5FC9">
      <w:r>
        <w:separator/>
      </w:r>
    </w:p>
  </w:endnote>
  <w:endnote w:type="continuationSeparator" w:id="0">
    <w:p w:rsidR="002E5FC9" w:rsidRDefault="002E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9" w:rsidRDefault="002E5FC9">
      <w:r>
        <w:separator/>
      </w:r>
    </w:p>
  </w:footnote>
  <w:footnote w:type="continuationSeparator" w:id="0">
    <w:p w:rsidR="002E5FC9" w:rsidRDefault="002E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9" w:rsidRDefault="00F1716C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5F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5FC9" w:rsidRDefault="002E5F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9" w:rsidRDefault="00F1716C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5F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184D">
      <w:rPr>
        <w:rStyle w:val="aa"/>
        <w:noProof/>
      </w:rPr>
      <w:t>7</w:t>
    </w:r>
    <w:r>
      <w:rPr>
        <w:rStyle w:val="aa"/>
      </w:rPr>
      <w:fldChar w:fldCharType="end"/>
    </w:r>
  </w:p>
  <w:p w:rsidR="002E5FC9" w:rsidRDefault="002E5F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0F1E85"/>
    <w:multiLevelType w:val="hybridMultilevel"/>
    <w:tmpl w:val="6584D3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703B"/>
    <w:rsid w:val="0004031D"/>
    <w:rsid w:val="000422F9"/>
    <w:rsid w:val="00046A7B"/>
    <w:rsid w:val="00050D58"/>
    <w:rsid w:val="00050F60"/>
    <w:rsid w:val="000527BF"/>
    <w:rsid w:val="00052E69"/>
    <w:rsid w:val="00055898"/>
    <w:rsid w:val="000565D4"/>
    <w:rsid w:val="000566F5"/>
    <w:rsid w:val="000569B4"/>
    <w:rsid w:val="00057602"/>
    <w:rsid w:val="000602F8"/>
    <w:rsid w:val="0006283D"/>
    <w:rsid w:val="00063F5B"/>
    <w:rsid w:val="00064255"/>
    <w:rsid w:val="0006426B"/>
    <w:rsid w:val="00065FB2"/>
    <w:rsid w:val="000674F0"/>
    <w:rsid w:val="00067734"/>
    <w:rsid w:val="00083D58"/>
    <w:rsid w:val="0008595D"/>
    <w:rsid w:val="00090E8B"/>
    <w:rsid w:val="00091373"/>
    <w:rsid w:val="00092D44"/>
    <w:rsid w:val="00093FD8"/>
    <w:rsid w:val="000A1309"/>
    <w:rsid w:val="000A352B"/>
    <w:rsid w:val="000A364F"/>
    <w:rsid w:val="000B2A00"/>
    <w:rsid w:val="000B42F8"/>
    <w:rsid w:val="000B4B65"/>
    <w:rsid w:val="000B527C"/>
    <w:rsid w:val="000B5BF8"/>
    <w:rsid w:val="000C36E7"/>
    <w:rsid w:val="000C45CF"/>
    <w:rsid w:val="000C50CA"/>
    <w:rsid w:val="000C5129"/>
    <w:rsid w:val="000C56E1"/>
    <w:rsid w:val="000C651B"/>
    <w:rsid w:val="000D165E"/>
    <w:rsid w:val="000D2BED"/>
    <w:rsid w:val="000D538C"/>
    <w:rsid w:val="000E186A"/>
    <w:rsid w:val="000E1BAE"/>
    <w:rsid w:val="000E20AE"/>
    <w:rsid w:val="000E23CF"/>
    <w:rsid w:val="000E4D11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EC8"/>
    <w:rsid w:val="00113740"/>
    <w:rsid w:val="00113D5D"/>
    <w:rsid w:val="001144F8"/>
    <w:rsid w:val="001173C5"/>
    <w:rsid w:val="001174D4"/>
    <w:rsid w:val="001200F8"/>
    <w:rsid w:val="00120CBE"/>
    <w:rsid w:val="0012165D"/>
    <w:rsid w:val="00123372"/>
    <w:rsid w:val="00126736"/>
    <w:rsid w:val="00126C9E"/>
    <w:rsid w:val="00130997"/>
    <w:rsid w:val="001329DB"/>
    <w:rsid w:val="00132C4E"/>
    <w:rsid w:val="00132F2A"/>
    <w:rsid w:val="0013319E"/>
    <w:rsid w:val="00135F68"/>
    <w:rsid w:val="001361B2"/>
    <w:rsid w:val="001412CB"/>
    <w:rsid w:val="00142DF8"/>
    <w:rsid w:val="00142F65"/>
    <w:rsid w:val="0014601B"/>
    <w:rsid w:val="00147891"/>
    <w:rsid w:val="00150EBA"/>
    <w:rsid w:val="00151A72"/>
    <w:rsid w:val="00154DCD"/>
    <w:rsid w:val="00155BD9"/>
    <w:rsid w:val="001568DD"/>
    <w:rsid w:val="001621E3"/>
    <w:rsid w:val="0016267A"/>
    <w:rsid w:val="0016343E"/>
    <w:rsid w:val="00165238"/>
    <w:rsid w:val="00165BAF"/>
    <w:rsid w:val="0017178C"/>
    <w:rsid w:val="00180467"/>
    <w:rsid w:val="001812AC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B17DE"/>
    <w:rsid w:val="001B1AA0"/>
    <w:rsid w:val="001B1C6D"/>
    <w:rsid w:val="001B236A"/>
    <w:rsid w:val="001B4539"/>
    <w:rsid w:val="001B63E2"/>
    <w:rsid w:val="001C0752"/>
    <w:rsid w:val="001C5126"/>
    <w:rsid w:val="001C52B3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F049C"/>
    <w:rsid w:val="001F41C8"/>
    <w:rsid w:val="001F433D"/>
    <w:rsid w:val="001F6EF4"/>
    <w:rsid w:val="001F7293"/>
    <w:rsid w:val="00202F90"/>
    <w:rsid w:val="00204BF7"/>
    <w:rsid w:val="002051C6"/>
    <w:rsid w:val="002053D6"/>
    <w:rsid w:val="00205BE2"/>
    <w:rsid w:val="002069AC"/>
    <w:rsid w:val="00207CAE"/>
    <w:rsid w:val="00213A50"/>
    <w:rsid w:val="0021481F"/>
    <w:rsid w:val="00215A9D"/>
    <w:rsid w:val="00215CD5"/>
    <w:rsid w:val="00215F1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42EE0"/>
    <w:rsid w:val="002448DC"/>
    <w:rsid w:val="00247826"/>
    <w:rsid w:val="00250252"/>
    <w:rsid w:val="00252C87"/>
    <w:rsid w:val="00256974"/>
    <w:rsid w:val="00256FB1"/>
    <w:rsid w:val="00263E02"/>
    <w:rsid w:val="00264854"/>
    <w:rsid w:val="002656E3"/>
    <w:rsid w:val="00267A09"/>
    <w:rsid w:val="00267AAB"/>
    <w:rsid w:val="0027258A"/>
    <w:rsid w:val="002764B5"/>
    <w:rsid w:val="002770DD"/>
    <w:rsid w:val="00277783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C0105"/>
    <w:rsid w:val="002C0F8E"/>
    <w:rsid w:val="002C3462"/>
    <w:rsid w:val="002C473D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536E"/>
    <w:rsid w:val="002E5FA8"/>
    <w:rsid w:val="002E5FC9"/>
    <w:rsid w:val="002E6032"/>
    <w:rsid w:val="002E6724"/>
    <w:rsid w:val="002F280D"/>
    <w:rsid w:val="002F3873"/>
    <w:rsid w:val="00300E5D"/>
    <w:rsid w:val="0030127A"/>
    <w:rsid w:val="0030139C"/>
    <w:rsid w:val="00301E31"/>
    <w:rsid w:val="003100CB"/>
    <w:rsid w:val="00310EAF"/>
    <w:rsid w:val="00312874"/>
    <w:rsid w:val="00315626"/>
    <w:rsid w:val="00315772"/>
    <w:rsid w:val="00324123"/>
    <w:rsid w:val="003241E9"/>
    <w:rsid w:val="00326067"/>
    <w:rsid w:val="00326FEB"/>
    <w:rsid w:val="00330378"/>
    <w:rsid w:val="003314DF"/>
    <w:rsid w:val="003318A0"/>
    <w:rsid w:val="00331A1B"/>
    <w:rsid w:val="0033553D"/>
    <w:rsid w:val="00336AFC"/>
    <w:rsid w:val="00337811"/>
    <w:rsid w:val="00340F9E"/>
    <w:rsid w:val="00341053"/>
    <w:rsid w:val="00341D3C"/>
    <w:rsid w:val="00344A38"/>
    <w:rsid w:val="00345E08"/>
    <w:rsid w:val="00346B95"/>
    <w:rsid w:val="003504FD"/>
    <w:rsid w:val="00351118"/>
    <w:rsid w:val="00351CDA"/>
    <w:rsid w:val="00355069"/>
    <w:rsid w:val="00355907"/>
    <w:rsid w:val="00360C75"/>
    <w:rsid w:val="00364928"/>
    <w:rsid w:val="00364DFC"/>
    <w:rsid w:val="00365005"/>
    <w:rsid w:val="00367632"/>
    <w:rsid w:val="00367C87"/>
    <w:rsid w:val="00370602"/>
    <w:rsid w:val="00370A0F"/>
    <w:rsid w:val="00371094"/>
    <w:rsid w:val="003806C0"/>
    <w:rsid w:val="00382104"/>
    <w:rsid w:val="003847C7"/>
    <w:rsid w:val="003868C2"/>
    <w:rsid w:val="00386B42"/>
    <w:rsid w:val="00386FC8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508F"/>
    <w:rsid w:val="003A579E"/>
    <w:rsid w:val="003A5E27"/>
    <w:rsid w:val="003A7124"/>
    <w:rsid w:val="003A76E0"/>
    <w:rsid w:val="003B3CB3"/>
    <w:rsid w:val="003B469A"/>
    <w:rsid w:val="003B4710"/>
    <w:rsid w:val="003B500A"/>
    <w:rsid w:val="003B7657"/>
    <w:rsid w:val="003C4C67"/>
    <w:rsid w:val="003C51F4"/>
    <w:rsid w:val="003C6E4A"/>
    <w:rsid w:val="003C772D"/>
    <w:rsid w:val="003D0228"/>
    <w:rsid w:val="003D1B33"/>
    <w:rsid w:val="003D24CB"/>
    <w:rsid w:val="003D27EE"/>
    <w:rsid w:val="003D53C3"/>
    <w:rsid w:val="003D7168"/>
    <w:rsid w:val="003E0E40"/>
    <w:rsid w:val="003E1A77"/>
    <w:rsid w:val="003E258E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5B10"/>
    <w:rsid w:val="00406156"/>
    <w:rsid w:val="00410291"/>
    <w:rsid w:val="00411268"/>
    <w:rsid w:val="00413EAC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5205"/>
    <w:rsid w:val="00445EC6"/>
    <w:rsid w:val="004547EF"/>
    <w:rsid w:val="0045503E"/>
    <w:rsid w:val="0045665E"/>
    <w:rsid w:val="0046163D"/>
    <w:rsid w:val="004616E1"/>
    <w:rsid w:val="004646BB"/>
    <w:rsid w:val="00464DBE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506E"/>
    <w:rsid w:val="004854C1"/>
    <w:rsid w:val="0049054F"/>
    <w:rsid w:val="00491D7A"/>
    <w:rsid w:val="00491F77"/>
    <w:rsid w:val="00492268"/>
    <w:rsid w:val="004935A6"/>
    <w:rsid w:val="00495122"/>
    <w:rsid w:val="0049658B"/>
    <w:rsid w:val="00496D89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38FC"/>
    <w:rsid w:val="004C406E"/>
    <w:rsid w:val="004C4602"/>
    <w:rsid w:val="004C590F"/>
    <w:rsid w:val="004C601E"/>
    <w:rsid w:val="004D0F70"/>
    <w:rsid w:val="004D249A"/>
    <w:rsid w:val="004D722E"/>
    <w:rsid w:val="004E28C0"/>
    <w:rsid w:val="004E2D2E"/>
    <w:rsid w:val="004E43FC"/>
    <w:rsid w:val="004E5C6D"/>
    <w:rsid w:val="004E5DDD"/>
    <w:rsid w:val="004E7272"/>
    <w:rsid w:val="004E75EB"/>
    <w:rsid w:val="004F2073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FEF"/>
    <w:rsid w:val="00513B18"/>
    <w:rsid w:val="005203A3"/>
    <w:rsid w:val="0052063F"/>
    <w:rsid w:val="0052407A"/>
    <w:rsid w:val="0052460D"/>
    <w:rsid w:val="00525CAE"/>
    <w:rsid w:val="00530328"/>
    <w:rsid w:val="00534B08"/>
    <w:rsid w:val="00537689"/>
    <w:rsid w:val="00541B47"/>
    <w:rsid w:val="00541BE7"/>
    <w:rsid w:val="00543647"/>
    <w:rsid w:val="00547A4A"/>
    <w:rsid w:val="00553689"/>
    <w:rsid w:val="00556BEE"/>
    <w:rsid w:val="005575F6"/>
    <w:rsid w:val="00562952"/>
    <w:rsid w:val="00565559"/>
    <w:rsid w:val="00567EF3"/>
    <w:rsid w:val="00573873"/>
    <w:rsid w:val="00573EAD"/>
    <w:rsid w:val="00574729"/>
    <w:rsid w:val="00576B2D"/>
    <w:rsid w:val="00577F00"/>
    <w:rsid w:val="005802F3"/>
    <w:rsid w:val="00580333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78FB"/>
    <w:rsid w:val="005E1514"/>
    <w:rsid w:val="005E2A49"/>
    <w:rsid w:val="005E3D0F"/>
    <w:rsid w:val="005E3F70"/>
    <w:rsid w:val="005E406D"/>
    <w:rsid w:val="005E7618"/>
    <w:rsid w:val="005F2878"/>
    <w:rsid w:val="005F2CB2"/>
    <w:rsid w:val="005F3723"/>
    <w:rsid w:val="005F38B7"/>
    <w:rsid w:val="005F4164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10020"/>
    <w:rsid w:val="00612F70"/>
    <w:rsid w:val="00614930"/>
    <w:rsid w:val="00615534"/>
    <w:rsid w:val="00621585"/>
    <w:rsid w:val="00622D75"/>
    <w:rsid w:val="00623229"/>
    <w:rsid w:val="00625041"/>
    <w:rsid w:val="0062551A"/>
    <w:rsid w:val="006266EF"/>
    <w:rsid w:val="006312BB"/>
    <w:rsid w:val="006317AB"/>
    <w:rsid w:val="006321C7"/>
    <w:rsid w:val="00632B95"/>
    <w:rsid w:val="006401DF"/>
    <w:rsid w:val="006423E0"/>
    <w:rsid w:val="006440B8"/>
    <w:rsid w:val="00646E28"/>
    <w:rsid w:val="00647C21"/>
    <w:rsid w:val="00654F58"/>
    <w:rsid w:val="00660788"/>
    <w:rsid w:val="00664480"/>
    <w:rsid w:val="00665589"/>
    <w:rsid w:val="00666645"/>
    <w:rsid w:val="00666956"/>
    <w:rsid w:val="00666A05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91E05"/>
    <w:rsid w:val="006944E2"/>
    <w:rsid w:val="00695A43"/>
    <w:rsid w:val="00697F57"/>
    <w:rsid w:val="006A670D"/>
    <w:rsid w:val="006B435D"/>
    <w:rsid w:val="006B7A57"/>
    <w:rsid w:val="006C1A4B"/>
    <w:rsid w:val="006C34D8"/>
    <w:rsid w:val="006C5186"/>
    <w:rsid w:val="006D0E65"/>
    <w:rsid w:val="006D0F60"/>
    <w:rsid w:val="006D1689"/>
    <w:rsid w:val="006D1CD5"/>
    <w:rsid w:val="006D5A4A"/>
    <w:rsid w:val="006E3C0A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184D"/>
    <w:rsid w:val="00703224"/>
    <w:rsid w:val="00705094"/>
    <w:rsid w:val="007069C9"/>
    <w:rsid w:val="00706DBF"/>
    <w:rsid w:val="00710510"/>
    <w:rsid w:val="00713C0C"/>
    <w:rsid w:val="00717481"/>
    <w:rsid w:val="00717670"/>
    <w:rsid w:val="007225C6"/>
    <w:rsid w:val="00722B10"/>
    <w:rsid w:val="00722D49"/>
    <w:rsid w:val="007314CA"/>
    <w:rsid w:val="007362A1"/>
    <w:rsid w:val="00740B2D"/>
    <w:rsid w:val="00741AE6"/>
    <w:rsid w:val="00742545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60E37"/>
    <w:rsid w:val="00760F9F"/>
    <w:rsid w:val="00766BF0"/>
    <w:rsid w:val="0077436A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7C8F"/>
    <w:rsid w:val="007A7FF6"/>
    <w:rsid w:val="007B0B49"/>
    <w:rsid w:val="007B2259"/>
    <w:rsid w:val="007B264D"/>
    <w:rsid w:val="007B4430"/>
    <w:rsid w:val="007B5AC6"/>
    <w:rsid w:val="007C0896"/>
    <w:rsid w:val="007C1316"/>
    <w:rsid w:val="007C5448"/>
    <w:rsid w:val="007C5993"/>
    <w:rsid w:val="007C6037"/>
    <w:rsid w:val="007C730F"/>
    <w:rsid w:val="007D0073"/>
    <w:rsid w:val="007D1F45"/>
    <w:rsid w:val="007D206A"/>
    <w:rsid w:val="007D267D"/>
    <w:rsid w:val="007D34A1"/>
    <w:rsid w:val="007D4FBE"/>
    <w:rsid w:val="007D7030"/>
    <w:rsid w:val="007D790B"/>
    <w:rsid w:val="007E0BF6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8022B8"/>
    <w:rsid w:val="00806F91"/>
    <w:rsid w:val="00807257"/>
    <w:rsid w:val="0081314E"/>
    <w:rsid w:val="00822031"/>
    <w:rsid w:val="00824E10"/>
    <w:rsid w:val="0082573A"/>
    <w:rsid w:val="00826597"/>
    <w:rsid w:val="00834328"/>
    <w:rsid w:val="0083532E"/>
    <w:rsid w:val="00837B68"/>
    <w:rsid w:val="00842E1B"/>
    <w:rsid w:val="00843A20"/>
    <w:rsid w:val="008455ED"/>
    <w:rsid w:val="00845F82"/>
    <w:rsid w:val="00846606"/>
    <w:rsid w:val="00850564"/>
    <w:rsid w:val="00854101"/>
    <w:rsid w:val="00856498"/>
    <w:rsid w:val="0085716D"/>
    <w:rsid w:val="00860B84"/>
    <w:rsid w:val="00863277"/>
    <w:rsid w:val="00863E33"/>
    <w:rsid w:val="008652B7"/>
    <w:rsid w:val="008657AA"/>
    <w:rsid w:val="0087019A"/>
    <w:rsid w:val="008741B3"/>
    <w:rsid w:val="00874E9E"/>
    <w:rsid w:val="008750B1"/>
    <w:rsid w:val="00875163"/>
    <w:rsid w:val="008756A3"/>
    <w:rsid w:val="00877B7C"/>
    <w:rsid w:val="00880052"/>
    <w:rsid w:val="00880B67"/>
    <w:rsid w:val="008813F4"/>
    <w:rsid w:val="008839E5"/>
    <w:rsid w:val="00884C5E"/>
    <w:rsid w:val="00884FA3"/>
    <w:rsid w:val="00884FEF"/>
    <w:rsid w:val="008878A0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5CB0"/>
    <w:rsid w:val="008C1F9B"/>
    <w:rsid w:val="008C20FF"/>
    <w:rsid w:val="008C24EB"/>
    <w:rsid w:val="008C524B"/>
    <w:rsid w:val="008C63F4"/>
    <w:rsid w:val="008C683B"/>
    <w:rsid w:val="008D0CCE"/>
    <w:rsid w:val="008D38E7"/>
    <w:rsid w:val="008D53DB"/>
    <w:rsid w:val="008D7903"/>
    <w:rsid w:val="008E27A0"/>
    <w:rsid w:val="008E3585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289C"/>
    <w:rsid w:val="0096461C"/>
    <w:rsid w:val="00965A53"/>
    <w:rsid w:val="00965C36"/>
    <w:rsid w:val="00967E22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5F72"/>
    <w:rsid w:val="009A7B88"/>
    <w:rsid w:val="009A7F01"/>
    <w:rsid w:val="009B2C20"/>
    <w:rsid w:val="009B32DC"/>
    <w:rsid w:val="009B3888"/>
    <w:rsid w:val="009B3959"/>
    <w:rsid w:val="009B6B55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7924"/>
    <w:rsid w:val="009E00CE"/>
    <w:rsid w:val="009E0569"/>
    <w:rsid w:val="009E0AE8"/>
    <w:rsid w:val="009E1B70"/>
    <w:rsid w:val="009E2DBB"/>
    <w:rsid w:val="009E5E54"/>
    <w:rsid w:val="009E6011"/>
    <w:rsid w:val="009F1DCB"/>
    <w:rsid w:val="009F4500"/>
    <w:rsid w:val="009F4992"/>
    <w:rsid w:val="009F6601"/>
    <w:rsid w:val="009F7EC8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E75"/>
    <w:rsid w:val="00A2233B"/>
    <w:rsid w:val="00A23580"/>
    <w:rsid w:val="00A2712E"/>
    <w:rsid w:val="00A275D5"/>
    <w:rsid w:val="00A318E8"/>
    <w:rsid w:val="00A320A7"/>
    <w:rsid w:val="00A32441"/>
    <w:rsid w:val="00A332FE"/>
    <w:rsid w:val="00A33F83"/>
    <w:rsid w:val="00A371D4"/>
    <w:rsid w:val="00A40D28"/>
    <w:rsid w:val="00A41009"/>
    <w:rsid w:val="00A41471"/>
    <w:rsid w:val="00A4203C"/>
    <w:rsid w:val="00A42C73"/>
    <w:rsid w:val="00A42EC7"/>
    <w:rsid w:val="00A4395E"/>
    <w:rsid w:val="00A506FC"/>
    <w:rsid w:val="00A50D96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57D9"/>
    <w:rsid w:val="00A8133E"/>
    <w:rsid w:val="00A81CD9"/>
    <w:rsid w:val="00A82A63"/>
    <w:rsid w:val="00A916F7"/>
    <w:rsid w:val="00A91A9A"/>
    <w:rsid w:val="00A9343F"/>
    <w:rsid w:val="00A974E9"/>
    <w:rsid w:val="00AA109B"/>
    <w:rsid w:val="00AA3134"/>
    <w:rsid w:val="00AA3867"/>
    <w:rsid w:val="00AB3441"/>
    <w:rsid w:val="00AB4ACC"/>
    <w:rsid w:val="00AB4D2C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5D23"/>
    <w:rsid w:val="00AE1464"/>
    <w:rsid w:val="00AE1FBE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145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30D6"/>
    <w:rsid w:val="00B133F8"/>
    <w:rsid w:val="00B1422F"/>
    <w:rsid w:val="00B1466F"/>
    <w:rsid w:val="00B21040"/>
    <w:rsid w:val="00B21D72"/>
    <w:rsid w:val="00B21F9B"/>
    <w:rsid w:val="00B23450"/>
    <w:rsid w:val="00B23BC4"/>
    <w:rsid w:val="00B30613"/>
    <w:rsid w:val="00B33010"/>
    <w:rsid w:val="00B34621"/>
    <w:rsid w:val="00B347C9"/>
    <w:rsid w:val="00B36B10"/>
    <w:rsid w:val="00B4332F"/>
    <w:rsid w:val="00B43F7F"/>
    <w:rsid w:val="00B469DC"/>
    <w:rsid w:val="00B47163"/>
    <w:rsid w:val="00B50CD3"/>
    <w:rsid w:val="00B60BF0"/>
    <w:rsid w:val="00B61813"/>
    <w:rsid w:val="00B62767"/>
    <w:rsid w:val="00B629D3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3D03"/>
    <w:rsid w:val="00B84257"/>
    <w:rsid w:val="00B84F6F"/>
    <w:rsid w:val="00B8502E"/>
    <w:rsid w:val="00B85AA3"/>
    <w:rsid w:val="00B8712E"/>
    <w:rsid w:val="00B87184"/>
    <w:rsid w:val="00B921C6"/>
    <w:rsid w:val="00B9228E"/>
    <w:rsid w:val="00B928E7"/>
    <w:rsid w:val="00B93491"/>
    <w:rsid w:val="00B96B64"/>
    <w:rsid w:val="00B973EF"/>
    <w:rsid w:val="00BA054D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58CB"/>
    <w:rsid w:val="00BD31FB"/>
    <w:rsid w:val="00BD3E8B"/>
    <w:rsid w:val="00BD4663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50D"/>
    <w:rsid w:val="00C05BE2"/>
    <w:rsid w:val="00C071C9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46F6"/>
    <w:rsid w:val="00C26360"/>
    <w:rsid w:val="00C275FF"/>
    <w:rsid w:val="00C32E7C"/>
    <w:rsid w:val="00C379A7"/>
    <w:rsid w:val="00C43638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58C5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663C"/>
    <w:rsid w:val="00C77040"/>
    <w:rsid w:val="00C7730E"/>
    <w:rsid w:val="00C80D11"/>
    <w:rsid w:val="00C80D66"/>
    <w:rsid w:val="00C82E2D"/>
    <w:rsid w:val="00C8353F"/>
    <w:rsid w:val="00C838A6"/>
    <w:rsid w:val="00C85603"/>
    <w:rsid w:val="00C86AF6"/>
    <w:rsid w:val="00C902B3"/>
    <w:rsid w:val="00C9036B"/>
    <w:rsid w:val="00C91C58"/>
    <w:rsid w:val="00C92CE6"/>
    <w:rsid w:val="00C9302A"/>
    <w:rsid w:val="00C93556"/>
    <w:rsid w:val="00C958F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D0480"/>
    <w:rsid w:val="00CD1AD7"/>
    <w:rsid w:val="00CD25C7"/>
    <w:rsid w:val="00CD52BB"/>
    <w:rsid w:val="00CD72CE"/>
    <w:rsid w:val="00CD7378"/>
    <w:rsid w:val="00CE216B"/>
    <w:rsid w:val="00CE283F"/>
    <w:rsid w:val="00CF0A90"/>
    <w:rsid w:val="00CF2A93"/>
    <w:rsid w:val="00CF6F19"/>
    <w:rsid w:val="00D01F86"/>
    <w:rsid w:val="00D02DAB"/>
    <w:rsid w:val="00D04EA3"/>
    <w:rsid w:val="00D056CC"/>
    <w:rsid w:val="00D0643E"/>
    <w:rsid w:val="00D06D6C"/>
    <w:rsid w:val="00D12793"/>
    <w:rsid w:val="00D13BED"/>
    <w:rsid w:val="00D15D34"/>
    <w:rsid w:val="00D173BC"/>
    <w:rsid w:val="00D22022"/>
    <w:rsid w:val="00D2263D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22E0"/>
    <w:rsid w:val="00D47F30"/>
    <w:rsid w:val="00D506A9"/>
    <w:rsid w:val="00D51F5F"/>
    <w:rsid w:val="00D5486C"/>
    <w:rsid w:val="00D55E69"/>
    <w:rsid w:val="00D562ED"/>
    <w:rsid w:val="00D61299"/>
    <w:rsid w:val="00D635F5"/>
    <w:rsid w:val="00D64271"/>
    <w:rsid w:val="00D6430C"/>
    <w:rsid w:val="00D64EC1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53F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BBA"/>
    <w:rsid w:val="00DC10A1"/>
    <w:rsid w:val="00DC14A7"/>
    <w:rsid w:val="00DC3E94"/>
    <w:rsid w:val="00DC655F"/>
    <w:rsid w:val="00DC69D9"/>
    <w:rsid w:val="00DC6B82"/>
    <w:rsid w:val="00DC734D"/>
    <w:rsid w:val="00DD0B85"/>
    <w:rsid w:val="00DD0CE6"/>
    <w:rsid w:val="00DD1288"/>
    <w:rsid w:val="00DD1441"/>
    <w:rsid w:val="00DD1E54"/>
    <w:rsid w:val="00DD257F"/>
    <w:rsid w:val="00DD6977"/>
    <w:rsid w:val="00DD6D79"/>
    <w:rsid w:val="00DE35E4"/>
    <w:rsid w:val="00DE4140"/>
    <w:rsid w:val="00DE50C3"/>
    <w:rsid w:val="00DE64C2"/>
    <w:rsid w:val="00DE75C1"/>
    <w:rsid w:val="00DF0C33"/>
    <w:rsid w:val="00DF1739"/>
    <w:rsid w:val="00DF2FC0"/>
    <w:rsid w:val="00DF3CDD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B28"/>
    <w:rsid w:val="00E34D44"/>
    <w:rsid w:val="00E375A7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524C"/>
    <w:rsid w:val="00E679D5"/>
    <w:rsid w:val="00E70111"/>
    <w:rsid w:val="00E7044D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A0DB4"/>
    <w:rsid w:val="00EA2B80"/>
    <w:rsid w:val="00EA3D1A"/>
    <w:rsid w:val="00EA6468"/>
    <w:rsid w:val="00EA7C36"/>
    <w:rsid w:val="00EB0FD2"/>
    <w:rsid w:val="00EB3E49"/>
    <w:rsid w:val="00EB4AFC"/>
    <w:rsid w:val="00EC00B3"/>
    <w:rsid w:val="00EC01D1"/>
    <w:rsid w:val="00EC7538"/>
    <w:rsid w:val="00ED0BA9"/>
    <w:rsid w:val="00ED18E4"/>
    <w:rsid w:val="00EE1106"/>
    <w:rsid w:val="00EE2A80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7424"/>
    <w:rsid w:val="00F07DC5"/>
    <w:rsid w:val="00F104A4"/>
    <w:rsid w:val="00F10BFA"/>
    <w:rsid w:val="00F12A82"/>
    <w:rsid w:val="00F1716C"/>
    <w:rsid w:val="00F25EE2"/>
    <w:rsid w:val="00F27404"/>
    <w:rsid w:val="00F27546"/>
    <w:rsid w:val="00F31BF1"/>
    <w:rsid w:val="00F33981"/>
    <w:rsid w:val="00F36301"/>
    <w:rsid w:val="00F36352"/>
    <w:rsid w:val="00F37178"/>
    <w:rsid w:val="00F42F25"/>
    <w:rsid w:val="00F44545"/>
    <w:rsid w:val="00F46174"/>
    <w:rsid w:val="00F47D22"/>
    <w:rsid w:val="00F50E84"/>
    <w:rsid w:val="00F57471"/>
    <w:rsid w:val="00F61CE1"/>
    <w:rsid w:val="00F631E4"/>
    <w:rsid w:val="00F63B5C"/>
    <w:rsid w:val="00F6661A"/>
    <w:rsid w:val="00F673FD"/>
    <w:rsid w:val="00F6749D"/>
    <w:rsid w:val="00F71098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4AB0"/>
    <w:rsid w:val="00F8685D"/>
    <w:rsid w:val="00F86E4B"/>
    <w:rsid w:val="00F90462"/>
    <w:rsid w:val="00F91F60"/>
    <w:rsid w:val="00F94D8A"/>
    <w:rsid w:val="00F97C1E"/>
    <w:rsid w:val="00FA4A67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1%20&#1082;&#1074;&#1072;&#1088;&#1090;&#1072;&#1083;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1%20&#1082;&#1074;&#1072;&#1088;&#1090;&#1072;&#1083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6\&#1089;&#1077;&#1090;&#1077;&#1074;&#1072;&#1103;\&#1044;&#1110;&#1072;&#1075;&#1088;&#1072;&#1084;&#1080;\2016\&#1044;&#1080;&#1072;&#1075;&#1088;&#1072;&#1084;&#1084;&#1099;%20&#1085;&#1072;%202016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0.117.1.2\manager\BUDZHET\2017\&#1044;&#1086;&#1074;&#1110;&#1076;&#1082;&#1080;%20&#1087;&#1088;&#1086;%20&#1074;&#1080;&#1082;&#1086;&#1085;&#1072;&#1085;&#1085;&#1103;%20&#1073;&#1102;&#1076;&#1078;&#1077;&#1090;&#1091;\1%20&#1082;&#1074;&#1072;&#1088;&#1090;&#1072;&#1083;%202017\&#1044;&#1110;&#1072;&#1075;&#1088;&#1072;&#1084;&#1080;%20&#1079;&#1072;%201%20&#1082;&#1074;&#1072;&#1088;&#1090;&#1072;&#1083;%202017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10.117.1.2\manager\BUDZHET\2017\&#1044;&#1086;&#1074;&#1110;&#1076;&#1082;&#1080;%20&#1087;&#1088;&#1086;%20&#1074;&#1080;&#1082;&#1086;&#1085;&#1072;&#1085;&#1085;&#1103;%20&#1073;&#1102;&#1076;&#1078;&#1077;&#1090;&#1091;\1%20&#1082;&#1074;&#1072;&#1088;&#1090;&#1072;&#1083;%202017\&#1044;&#1110;&#1072;&#1075;&#1088;&#1072;&#1084;&#1080;%20&#1079;&#1072;%201%20&#1082;&#1074;&#1072;&#1088;&#1090;&#1072;&#1083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hPercent val="100"/>
      <c:rotY val="150"/>
      <c:depthPercent val="100"/>
      <c:perspective val="0"/>
    </c:view3D>
    <c:plotArea>
      <c:layout>
        <c:manualLayout>
          <c:layoutTarget val="inner"/>
          <c:xMode val="edge"/>
          <c:yMode val="edge"/>
          <c:x val="0.12038790803805208"/>
          <c:y val="0.20644577884011228"/>
          <c:w val="0.77237595725296082"/>
          <c:h val="0.6544565576478365"/>
        </c:manualLayout>
      </c:layout>
      <c:pie3DChart>
        <c:varyColors val="1"/>
        <c:ser>
          <c:idx val="0"/>
          <c:order val="0"/>
          <c:tx>
            <c:strRef>
              <c:f>'Структура доходів за 1 кв 2017'!$B$5</c:f>
              <c:strCache>
                <c:ptCount val="1"/>
                <c:pt idx="0">
                  <c:v>Структура доходної частини бюджету за 1 квартал 2017 року, млн.грн.</c:v>
                </c:pt>
              </c:strCache>
            </c:strRef>
          </c:tx>
          <c:explosion val="32"/>
          <c:dPt>
            <c:idx val="0"/>
            <c:spPr>
              <a:solidFill>
                <a:srgbClr val="F07B46"/>
              </a:solidFill>
            </c:spPr>
          </c:dPt>
          <c:dPt>
            <c:idx val="1"/>
            <c:explosion val="33"/>
            <c:spPr>
              <a:solidFill>
                <a:srgbClr val="82BE74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  <a:alpha val="94000"/>
                </a:schemeClr>
              </a:solidFill>
            </c:spPr>
          </c:dPt>
          <c:dLbls>
            <c:dLbl>
              <c:idx val="0"/>
              <c:layout>
                <c:manualLayout>
                  <c:x val="0.2020329601656938"/>
                  <c:y val="-0.18360482283464566"/>
                </c:manualLayout>
              </c:layout>
              <c:showVal val="1"/>
            </c:dLbl>
            <c:dLbl>
              <c:idx val="1"/>
              <c:layout>
                <c:manualLayout>
                  <c:x val="9.198385916046227E-2"/>
                  <c:y val="0.15137576552930884"/>
                </c:manualLayout>
              </c:layout>
              <c:showVal val="1"/>
            </c:dLbl>
            <c:dLbl>
              <c:idx val="2"/>
              <c:layout>
                <c:manualLayout>
                  <c:x val="-0.22394968486082148"/>
                  <c:y val="6.9125382764654339E-2"/>
                </c:manualLayout>
              </c:layout>
              <c:showVal val="1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'Структура доходів за 1 кв 2017'!$A$6:$A$8</c:f>
              <c:strCache>
                <c:ptCount val="3"/>
                <c:pt idx="0">
                  <c:v>Доходи загального фонду</c:v>
                </c:pt>
                <c:pt idx="1">
                  <c:v>Доходи спеціального фонду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'Структура доходів за 1 кв 2017'!$B$6:$B$8</c:f>
              <c:numCache>
                <c:formatCode>#,##0.0</c:formatCode>
                <c:ptCount val="3"/>
                <c:pt idx="0">
                  <c:v>1002.73560058</c:v>
                </c:pt>
                <c:pt idx="1">
                  <c:v>59.635270850000012</c:v>
                </c:pt>
                <c:pt idx="2">
                  <c:v>946.89609501999996</c:v>
                </c:pt>
              </c:numCache>
            </c:numRef>
          </c:val>
        </c:ser>
      </c:pie3DChart>
    </c:plotArea>
    <c:plotVisOnly val="1"/>
  </c:chart>
  <c:spPr>
    <a:ln>
      <a:noFill/>
    </a:ln>
    <a:scene3d>
      <a:camera prst="orthographicFront"/>
      <a:lightRig rig="threePt" dir="t"/>
    </a:scene3d>
    <a:sp3d/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0.10111634083072739"/>
          <c:y val="0.20435299901671583"/>
          <c:w val="0.79616468787796446"/>
          <c:h val="0.71191910441450268"/>
        </c:manualLayout>
      </c:layout>
      <c:pie3DChart>
        <c:varyColors val="1"/>
        <c:ser>
          <c:idx val="0"/>
          <c:order val="0"/>
          <c:tx>
            <c:strRef>
              <c:f>'Структура ЗФ 1 кв 2017'!$C$4</c:f>
              <c:strCache>
                <c:ptCount val="1"/>
                <c:pt idx="0">
                  <c:v>Факт за 1 квартал 2017 року</c:v>
                </c:pt>
              </c:strCache>
            </c:strRef>
          </c:tx>
          <c:explosion val="28"/>
          <c:dPt>
            <c:idx val="1"/>
            <c:explosion val="13"/>
          </c:dPt>
          <c:dPt>
            <c:idx val="2"/>
            <c:explosion val="49"/>
          </c:dPt>
          <c:dPt>
            <c:idx val="3"/>
            <c:explosion val="41"/>
          </c:dPt>
          <c:dPt>
            <c:idx val="5"/>
            <c:explosion val="50"/>
          </c:dPt>
          <c:dPt>
            <c:idx val="6"/>
            <c:explosion val="37"/>
          </c:dPt>
          <c:dPt>
            <c:idx val="7"/>
            <c:explosion val="18"/>
          </c:dPt>
          <c:dPt>
            <c:idx val="8"/>
            <c:explosion val="4"/>
          </c:dPt>
          <c:dLbls>
            <c:dLbl>
              <c:idx val="0"/>
              <c:layout>
                <c:manualLayout>
                  <c:x val="4.9253921672676594E-2"/>
                  <c:y val="0.18459955752212406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П</a:t>
                    </a:r>
                    <a:r>
                      <a:rPr lang="ru-RU" sz="1000"/>
                      <a:t>одаток на доходи фізичних осіб
535,7 млн.грн.
53,4%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20413627766273493"/>
                  <c:y val="4.920353982300886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Податок на прибуток 
12,9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1,3%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3083911084345495E-2"/>
                  <c:y val="4.099237954768929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Частина чистого прибутку
3,0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0,3%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6.9047107789540658E-3"/>
                  <c:y val="7.7753195673549707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Акцизний податок 
69,4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6,9%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4.9322768823176134E-2"/>
                  <c:y val="-0.1875469888464337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Місцеві податки і збори
364,1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36,3%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7.3908032075979291E-2"/>
                  <c:y val="-0.1289500983284169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Плата за надання інших адмінпослуг
5,6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0,6%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6.6745318139448409E-2"/>
                  <c:y val="6.635963618485742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Плата за оренду МК
4,7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0,5%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5670154151950375"/>
                  <c:y val="5.52087020648967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Плата за розміщення тимчасово вільних коштів
2,1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0,2%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26502864279314747"/>
                  <c:y val="3.622345132743362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Інші
5,2 </a:t>
                    </a:r>
                    <a:r>
                      <a:rPr lang="ru-RU" sz="1000" b="0" i="0" u="none" strike="noStrike" baseline="0"/>
                      <a:t>млн.грн.</a:t>
                    </a:r>
                    <a:r>
                      <a:rPr lang="ru-RU" sz="1000" b="0"/>
                      <a:t>
0,5%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1 кв 2017'!$B$5:$B$13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МК</c:v>
                </c:pt>
                <c:pt idx="7">
                  <c:v>Плата за розміщення тимчасово вільних коштів</c:v>
                </c:pt>
                <c:pt idx="8">
                  <c:v>Інші</c:v>
                </c:pt>
              </c:strCache>
            </c:strRef>
          </c:cat>
          <c:val>
            <c:numRef>
              <c:f>'Структура ЗФ 1 кв 2017'!$C$5:$C$13</c:f>
              <c:numCache>
                <c:formatCode>#,##0.00</c:formatCode>
                <c:ptCount val="9"/>
                <c:pt idx="0">
                  <c:v>535.72965937000004</c:v>
                </c:pt>
                <c:pt idx="1">
                  <c:v>12.868580070000016</c:v>
                </c:pt>
                <c:pt idx="2">
                  <c:v>2.9632072200000001</c:v>
                </c:pt>
                <c:pt idx="3">
                  <c:v>69.39221216</c:v>
                </c:pt>
                <c:pt idx="4">
                  <c:v>364.12356077999999</c:v>
                </c:pt>
                <c:pt idx="5">
                  <c:v>5.62064071</c:v>
                </c:pt>
                <c:pt idx="6">
                  <c:v>4.6677124299999866</c:v>
                </c:pt>
                <c:pt idx="7">
                  <c:v>2.0658360899999999</c:v>
                </c:pt>
                <c:pt idx="8">
                  <c:v>5.3041917499999913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доходів спеціального фонду бюджету м.Запоріжжя за І квартал 2017 року </a:t>
            </a:r>
          </a:p>
        </c:rich>
      </c:tx>
      <c:layout>
        <c:manualLayout>
          <c:xMode val="edge"/>
          <c:yMode val="edge"/>
          <c:x val="0.12058363672282904"/>
          <c:y val="2.1982881510440578E-2"/>
        </c:manualLayout>
      </c:layout>
    </c:title>
    <c:view3D>
      <c:rotX val="30"/>
      <c:rotY val="180"/>
      <c:perspective val="0"/>
    </c:view3D>
    <c:plotArea>
      <c:layout>
        <c:manualLayout>
          <c:layoutTarget val="inner"/>
          <c:xMode val="edge"/>
          <c:yMode val="edge"/>
          <c:x val="2.3448681817998557E-4"/>
          <c:y val="0.24514582530330561"/>
          <c:w val="0.99734597691417648"/>
          <c:h val="0.53345618510972781"/>
        </c:manualLayout>
      </c:layout>
      <c:pie3DChart>
        <c:varyColors val="1"/>
        <c:ser>
          <c:idx val="0"/>
          <c:order val="0"/>
          <c:tx>
            <c:strRef>
              <c:f>'структура СФ за 1 кв 2017 '!$C$3</c:f>
              <c:strCache>
                <c:ptCount val="1"/>
                <c:pt idx="0">
                  <c:v>План на 2016 рік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8.5752668013272623E-2"/>
                  <c:y val="4.432599771182449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ласні надходження бюджетних установ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47,4 млн.грн.                         79,5%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5.3818433986074346E-2"/>
                  <c:y val="-0.15041070915086677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кологічний податок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4,9 млн.грн.                                 8,3%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0.1158019763658575"/>
                  <c:y val="-2.0623436056506926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ошти від відчуження майна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4,5 млн.грн.                        7,5%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1.9084306272060868E-3"/>
                  <c:y val="3.184233549753657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ошти пайової участі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2,3 млн.грн.                         3,9%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7.9372013982123291E-2"/>
                  <c:y val="4.222723907763280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нші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0,5 млн.грн.                 0,8%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'структура СФ за 1 кв 2017 '!$B$4:$B$8</c:f>
              <c:strCache>
                <c:ptCount val="5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Інші</c:v>
                </c:pt>
              </c:strCache>
            </c:strRef>
          </c:cat>
          <c:val>
            <c:numRef>
              <c:f>'структура СФ за 1 кв 2017 '!$C$4:$C$8</c:f>
              <c:numCache>
                <c:formatCode>#,##0.0</c:formatCode>
                <c:ptCount val="5"/>
                <c:pt idx="0">
                  <c:v>47.435944000000006</c:v>
                </c:pt>
                <c:pt idx="1">
                  <c:v>4.9323800000000002</c:v>
                </c:pt>
                <c:pt idx="2">
                  <c:v>4.4460410000000063</c:v>
                </c:pt>
                <c:pt idx="3">
                  <c:v>2.3350349999999978</c:v>
                </c:pt>
                <c:pt idx="4">
                  <c:v>0.48587100000000033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Виконання бюджету міста по видатках загального фонду бюджету за економічною сутністю</a:t>
            </a:r>
          </a:p>
        </c:rich>
      </c:tx>
      <c:layout>
        <c:manualLayout>
          <c:xMode val="edge"/>
          <c:yMode val="edge"/>
          <c:x val="0.16704232713493566"/>
          <c:y val="7.4257662835249096E-3"/>
        </c:manualLayout>
      </c:layout>
    </c:title>
    <c:view3D>
      <c:rotX val="10"/>
      <c:rotY val="40"/>
      <c:rAngAx val="1"/>
    </c:view3D>
    <c:plotArea>
      <c:layout>
        <c:manualLayout>
          <c:layoutTarget val="inner"/>
          <c:xMode val="edge"/>
          <c:yMode val="edge"/>
          <c:x val="9.3677634319033767E-2"/>
          <c:y val="0.21545643528561118"/>
          <c:w val="0.89700021576146249"/>
          <c:h val="0.58694359236537175"/>
        </c:manualLayout>
      </c:layout>
      <c:bar3DChart>
        <c:barDir val="col"/>
        <c:grouping val="clustered"/>
        <c:ser>
          <c:idx val="1"/>
          <c:order val="0"/>
          <c:tx>
            <c:strRef>
              <c:f>'заг. ф. економіка'!$B$1</c:f>
              <c:strCache>
                <c:ptCount val="1"/>
                <c:pt idx="0">
                  <c:v>Планові показники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1.3675211834549858E-2"/>
                  <c:y val="-8.5836909871245017E-3"/>
                </c:manualLayout>
              </c:layout>
              <c:showVal val="1"/>
            </c:dLbl>
            <c:dLbl>
              <c:idx val="1"/>
              <c:layout>
                <c:manualLayout>
                  <c:x val="2.1740614613192214E-2"/>
                  <c:y val="-1.1371847307430141E-2"/>
                </c:manualLayout>
              </c:layout>
              <c:showVal val="1"/>
            </c:dLbl>
            <c:dLbl>
              <c:idx val="2"/>
              <c:layout>
                <c:manualLayout>
                  <c:x val="5.0389135245935161E-3"/>
                  <c:y val="-1.7021415587366525E-2"/>
                </c:manualLayout>
              </c:layout>
              <c:showVal val="1"/>
            </c:dLbl>
            <c:dLbl>
              <c:idx val="3"/>
              <c:layout>
                <c:manualLayout>
                  <c:x val="7.5938947007374424E-3"/>
                  <c:y val="-8.5105657805044331E-3"/>
                </c:manualLayout>
              </c:layout>
              <c:showVal val="1"/>
            </c:dLbl>
            <c:dLbl>
              <c:idx val="4"/>
              <c:layout>
                <c:manualLayout>
                  <c:x val="9.1874812248938075E-3"/>
                  <c:y val="-1.9858156028368851E-2"/>
                </c:manualLayout>
              </c:layout>
              <c:showVal val="1"/>
            </c:dLbl>
            <c:dLbl>
              <c:idx val="5"/>
              <c:layout>
                <c:manualLayout>
                  <c:x val="1.4475269578150358E-2"/>
                  <c:y val="-7.96812749003987E-3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10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економіка'!$B$2:$B$7</c:f>
              <c:numCache>
                <c:formatCode>0.0</c:formatCode>
                <c:ptCount val="6"/>
                <c:pt idx="0">
                  <c:v>634.5</c:v>
                </c:pt>
                <c:pt idx="1">
                  <c:v>673.3</c:v>
                </c:pt>
                <c:pt idx="2">
                  <c:v>138.6</c:v>
                </c:pt>
                <c:pt idx="3">
                  <c:v>26.7</c:v>
                </c:pt>
                <c:pt idx="4">
                  <c:v>11.7</c:v>
                </c:pt>
                <c:pt idx="5">
                  <c:v>375.1</c:v>
                </c:pt>
              </c:numCache>
            </c:numRef>
          </c:val>
        </c:ser>
        <c:ser>
          <c:idx val="0"/>
          <c:order val="1"/>
          <c:tx>
            <c:strRef>
              <c:f>'заг. ф. економіка'!$C$1</c:f>
              <c:strCache>
                <c:ptCount val="1"/>
                <c:pt idx="0">
                  <c:v>Виконано</c:v>
                </c:pt>
              </c:strCache>
            </c:strRef>
          </c:tx>
          <c:spPr>
            <a:gradFill flip="none" rotWithShape="1"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16200000" scaled="0"/>
              <a:tileRect/>
            </a:gra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5400455863345399E-2"/>
                  <c:y val="-1.1444824377032609E-2"/>
                </c:manualLayout>
              </c:layout>
              <c:showVal val="1"/>
            </c:dLbl>
            <c:dLbl>
              <c:idx val="1"/>
              <c:layout>
                <c:manualLayout>
                  <c:x val="4.7613494377342858E-2"/>
                  <c:y val="-1.1444926488310452E-2"/>
                </c:manualLayout>
              </c:layout>
              <c:showVal val="1"/>
            </c:dLbl>
            <c:dLbl>
              <c:idx val="2"/>
              <c:layout>
                <c:manualLayout>
                  <c:x val="2.8043217286914845E-2"/>
                  <c:y val="-1.7021415587366525E-2"/>
                </c:manualLayout>
              </c:layout>
              <c:showVal val="1"/>
            </c:dLbl>
            <c:dLbl>
              <c:idx val="3"/>
              <c:layout>
                <c:manualLayout>
                  <c:x val="2.2734531661074635E-2"/>
                  <c:y val="-1.1528270121613296E-2"/>
                </c:manualLayout>
              </c:layout>
              <c:showVal val="1"/>
            </c:dLbl>
            <c:dLbl>
              <c:idx val="4"/>
              <c:layout>
                <c:manualLayout>
                  <c:x val="2.1820267909122816E-2"/>
                  <c:y val="-1.9858156028368851E-2"/>
                </c:manualLayout>
              </c:layout>
              <c:showVal val="1"/>
            </c:dLbl>
            <c:dLbl>
              <c:idx val="5"/>
              <c:layout>
                <c:manualLayout>
                  <c:x val="2.9627951378291353E-2"/>
                  <c:y val="-2.5531888195250495E-2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10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економіка'!$C$2:$C$7</c:f>
              <c:numCache>
                <c:formatCode>0.0</c:formatCode>
                <c:ptCount val="6"/>
                <c:pt idx="0">
                  <c:v>612.4</c:v>
                </c:pt>
                <c:pt idx="1">
                  <c:v>654.5</c:v>
                </c:pt>
                <c:pt idx="2">
                  <c:v>128.80000000000001</c:v>
                </c:pt>
                <c:pt idx="3">
                  <c:v>25</c:v>
                </c:pt>
                <c:pt idx="4">
                  <c:v>7.8</c:v>
                </c:pt>
                <c:pt idx="5">
                  <c:v>296.39999999999969</c:v>
                </c:pt>
              </c:numCache>
            </c:numRef>
          </c:val>
        </c:ser>
        <c:gapWidth val="53"/>
        <c:gapDepth val="356"/>
        <c:shape val="cylinder"/>
        <c:axId val="39134336"/>
        <c:axId val="39135872"/>
        <c:axId val="0"/>
      </c:bar3DChart>
      <c:catAx>
        <c:axId val="391343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/>
            </a:pPr>
            <a:endParaRPr lang="ru-RU"/>
          </a:p>
        </c:txPr>
        <c:crossAx val="39135872"/>
        <c:crosses val="autoZero"/>
        <c:auto val="1"/>
        <c:lblAlgn val="ctr"/>
        <c:lblOffset val="100"/>
      </c:catAx>
      <c:valAx>
        <c:axId val="39135872"/>
        <c:scaling>
          <c:orientation val="minMax"/>
        </c:scaling>
        <c:axPos val="l"/>
        <c:majorGridlines/>
        <c:numFmt formatCode="0.0" sourceLinked="1"/>
        <c:tickLblPos val="nextTo"/>
        <c:crossAx val="39134336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2423470280521479"/>
          <c:y val="0.17776306843691891"/>
          <c:w val="0.5590960219758766"/>
          <c:h val="0.5365863954505664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9.7628741077990466E-2"/>
                  <c:y val="-4.76172150599704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Освіта </a:t>
                    </a:r>
                  </a:p>
                  <a:p>
                    <a:r>
                      <a:rPr lang="ru-RU"/>
                      <a:t>478,8 млн.грн.</a:t>
                    </a:r>
                  </a:p>
                  <a:p>
                    <a:r>
                      <a:rPr lang="ru-RU"/>
                      <a:t> 27%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2.8958143882482874E-2"/>
                  <c:y val="-2.5735301051440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Охорона здоров'я</a:t>
                    </a:r>
                  </a:p>
                  <a:p>
                    <a:r>
                      <a:rPr lang="ru-RU"/>
                      <a:t> 261,7 млн.грн. 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0296519853814862"/>
                  <c:y val="6.20260406644859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</a:p>
                  <a:p>
                    <a:r>
                      <a:rPr lang="ru-RU"/>
                      <a:t>33,8 млн.грн.</a:t>
                    </a:r>
                  </a:p>
                  <a:p>
                    <a:r>
                      <a:rPr lang="ru-RU"/>
                      <a:t>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0.15193705306627195"/>
                  <c:y val="8.9273042139696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Фізична культура і спорт </a:t>
                    </a:r>
                  </a:p>
                  <a:p>
                    <a:r>
                      <a:rPr lang="ru-RU"/>
                      <a:t>14,7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5.2199026432312778E-2"/>
                  <c:y val="1.90822910653582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Соціальний захист та соціальне  забезпечення, 
компенсація пільгового проїзду </a:t>
                    </a:r>
                  </a:p>
                  <a:p>
                    <a:r>
                      <a:rPr lang="ru-RU"/>
                      <a:t>671,5 млн.грн.</a:t>
                    </a:r>
                  </a:p>
                  <a:p>
                    <a:r>
                      <a:rPr lang="ru-RU"/>
                      <a:t> 37%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4479877879082309"/>
                  <c:y val="0.167025078570970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Житлово-комунальне  господарство </a:t>
                    </a:r>
                  </a:p>
                  <a:p>
                    <a:r>
                      <a:rPr lang="ru-RU"/>
                      <a:t>190,6 млн.грн.</a:t>
                    </a:r>
                  </a:p>
                  <a:p>
                    <a:r>
                      <a:rPr lang="ru-RU"/>
                      <a:t> 11%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1120919373197059"/>
                  <c:y val="2.12532871528446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Кошти, що передаються до  держаного бюджету </a:t>
                    </a:r>
                  </a:p>
                  <a:p>
                    <a:r>
                      <a:rPr lang="ru-RU"/>
                      <a:t>57,1 млн.грн. </a:t>
                    </a:r>
                  </a:p>
                  <a:p>
                    <a:r>
                      <a:rPr lang="ru-RU"/>
                      <a:t>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3.6274023965192012E-2"/>
                  <c:y val="-0.132960064123721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</a:t>
                    </a:r>
                  </a:p>
                  <a:p>
                    <a:r>
                      <a:rPr lang="ru-RU"/>
                      <a:t> 25,2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25500681130422892"/>
                  <c:y val="-0.134851242397095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 </a:t>
                    </a:r>
                  </a:p>
                  <a:p>
                    <a:r>
                      <a:rPr lang="ru-RU"/>
                      <a:t>66,8 млн.грн.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rgbClr val="FBDDF1"/>
              </a:solidFill>
              <a:scene3d>
                <a:camera prst="orthographicFront"/>
                <a:lightRig rig="threePt" dir="t"/>
              </a:scene3d>
              <a:sp3d prstMaterial="flat">
                <a:bevelT w="234950" h="177800"/>
              </a:sp3d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'з+с ф. функц.'!$A$1:$A$9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'з+с ф. функц.'!$B$1:$B$9</c:f>
              <c:numCache>
                <c:formatCode>#,##0.0</c:formatCode>
                <c:ptCount val="9"/>
                <c:pt idx="0">
                  <c:v>478.8</c:v>
                </c:pt>
                <c:pt idx="1">
                  <c:v>261.7</c:v>
                </c:pt>
                <c:pt idx="2">
                  <c:v>33.800000000000004</c:v>
                </c:pt>
                <c:pt idx="3">
                  <c:v>14.7</c:v>
                </c:pt>
                <c:pt idx="4">
                  <c:v>671.5</c:v>
                </c:pt>
                <c:pt idx="5">
                  <c:v>190.6</c:v>
                </c:pt>
                <c:pt idx="6">
                  <c:v>57.1</c:v>
                </c:pt>
                <c:pt idx="7">
                  <c:v>25.2</c:v>
                </c:pt>
                <c:pt idx="8">
                  <c:v>66.8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noFill/>
    <a:ln>
      <a:noFill/>
    </a:ln>
    <a:effectLst/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0.75888</cdr:x>
      <cdr:y>0.61765</cdr:y>
    </cdr:from>
    <cdr:to>
      <cdr:x>0.97477</cdr:x>
      <cdr:y>0.81089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4615612" y="2296269"/>
          <a:ext cx="1313094" cy="718418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</a:rPr>
            <a:t>Офіційні трансферти, 47,1%</a:t>
          </a:r>
        </a:p>
      </cdr:txBody>
    </cdr:sp>
  </cdr:relSizeAnchor>
  <cdr:relSizeAnchor xmlns:cdr="http://schemas.openxmlformats.org/drawingml/2006/chartDrawing">
    <cdr:from>
      <cdr:x>0.0308</cdr:x>
      <cdr:y>0.67657</cdr:y>
    </cdr:from>
    <cdr:to>
      <cdr:x>0.25222</cdr:x>
      <cdr:y>0.89155</cdr:y>
    </cdr:to>
    <cdr:sp macro="" textlink="">
      <cdr:nvSpPr>
        <cdr:cNvPr id="5" name="Овал 4"/>
        <cdr:cNvSpPr/>
      </cdr:nvSpPr>
      <cdr:spPr>
        <a:xfrm xmlns:a="http://schemas.openxmlformats.org/drawingml/2006/main">
          <a:off x="187331" y="2515318"/>
          <a:ext cx="1346719" cy="799232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F07B46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</a:rPr>
            <a:t>Доходи загального фонду, 49,9%</a:t>
          </a:r>
        </a:p>
      </cdr:txBody>
    </cdr:sp>
  </cdr:relSizeAnchor>
  <cdr:relSizeAnchor xmlns:cdr="http://schemas.openxmlformats.org/drawingml/2006/chartDrawing">
    <cdr:from>
      <cdr:x>0.13485</cdr:x>
      <cdr:y>0.12408</cdr:y>
    </cdr:from>
    <cdr:to>
      <cdr:x>0.34743</cdr:x>
      <cdr:y>0.31639</cdr:y>
    </cdr:to>
    <cdr:sp macro="" textlink="">
      <cdr:nvSpPr>
        <cdr:cNvPr id="7" name="Овал 6"/>
        <cdr:cNvSpPr/>
      </cdr:nvSpPr>
      <cdr:spPr>
        <a:xfrm xmlns:a="http://schemas.openxmlformats.org/drawingml/2006/main">
          <a:off x="820197" y="461287"/>
          <a:ext cx="1292913" cy="714962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82BE74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</a:rPr>
            <a:t>Доходи спеціального фонду, 3,0%</a:t>
          </a:r>
        </a:p>
      </cdr:txBody>
    </cdr:sp>
  </cdr:relSizeAnchor>
  <cdr:relSizeAnchor xmlns:cdr="http://schemas.openxmlformats.org/drawingml/2006/chartDrawing">
    <cdr:from>
      <cdr:x>0</cdr:x>
      <cdr:y>0.02479</cdr:y>
    </cdr:from>
    <cdr:to>
      <cdr:x>1</cdr:x>
      <cdr:y>0.107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0" y="95676"/>
          <a:ext cx="6091650" cy="317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Структура доходної частини бюджету за 1 квартал 2017 року, млн.грн.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0.01219</cdr:x>
      <cdr:y>0</cdr:y>
    </cdr:from>
    <cdr:to>
      <cdr:x>0.97206</cdr:x>
      <cdr:y>0.16579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083" y="0"/>
          <a:ext cx="5833534" cy="674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Структура доходів  загального фонду бюджету міста Запоріжжя за І квартал 2017 року без врахування трансфертів з</a:t>
          </a:r>
          <a:r>
            <a:rPr lang="ru-RU" sz="1300" b="1" baseline="0">
              <a:latin typeface="Times New Roman" pitchFamily="18" charset="0"/>
              <a:cs typeface="Times New Roman" pitchFamily="18" charset="0"/>
            </a:rPr>
            <a:t> інших бюджетів</a:t>
          </a:r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0.19531</cdr:x>
      <cdr:y>0.15553</cdr:y>
    </cdr:from>
    <cdr:to>
      <cdr:x>0.28701</cdr:x>
      <cdr:y>0.20911</cdr:y>
    </cdr:to>
    <cdr:sp macro="" textlink="">
      <cdr:nvSpPr>
        <cdr:cNvPr id="2" name="Выгнутая вверх стрелка 1"/>
        <cdr:cNvSpPr/>
      </cdr:nvSpPr>
      <cdr:spPr>
        <a:xfrm xmlns:a="http://schemas.openxmlformats.org/drawingml/2006/main">
          <a:off x="1195795" y="547589"/>
          <a:ext cx="561438" cy="188644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0.32677</cdr:x>
      <cdr:y>0.13784</cdr:y>
    </cdr:from>
    <cdr:to>
      <cdr:x>0.42024</cdr:x>
      <cdr:y>0.20358</cdr:y>
    </cdr:to>
    <cdr:sp macro="" textlink="">
      <cdr:nvSpPr>
        <cdr:cNvPr id="3" name="Выгнутая вверх стрелка 2"/>
        <cdr:cNvSpPr/>
      </cdr:nvSpPr>
      <cdr:spPr>
        <a:xfrm xmlns:a="http://schemas.openxmlformats.org/drawingml/2006/main">
          <a:off x="2000666" y="633190"/>
          <a:ext cx="572274" cy="301983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0.44259</cdr:x>
      <cdr:y>0.49897</cdr:y>
    </cdr:from>
    <cdr:to>
      <cdr:x>0.53784</cdr:x>
      <cdr:y>0.5535</cdr:y>
    </cdr:to>
    <cdr:sp macro="" textlink="">
      <cdr:nvSpPr>
        <cdr:cNvPr id="4" name="Выгнутая вверх стрелка 3"/>
        <cdr:cNvSpPr/>
      </cdr:nvSpPr>
      <cdr:spPr>
        <a:xfrm xmlns:a="http://schemas.openxmlformats.org/drawingml/2006/main">
          <a:off x="2709754" y="2292087"/>
          <a:ext cx="583196" cy="250489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0.82347</cdr:x>
      <cdr:y>0.33045</cdr:y>
    </cdr:from>
    <cdr:to>
      <cdr:x>0.91394</cdr:x>
      <cdr:y>0.3922</cdr:y>
    </cdr:to>
    <cdr:sp macro="" textlink="">
      <cdr:nvSpPr>
        <cdr:cNvPr id="6" name="Выгнутая вверх стрелка 5"/>
        <cdr:cNvSpPr/>
      </cdr:nvSpPr>
      <cdr:spPr>
        <a:xfrm xmlns:a="http://schemas.openxmlformats.org/drawingml/2006/main">
          <a:off x="5041724" y="1517938"/>
          <a:ext cx="553907" cy="283654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0.56674</cdr:x>
      <cdr:y>0.57115</cdr:y>
    </cdr:from>
    <cdr:to>
      <cdr:x>0.65191</cdr:x>
      <cdr:y>0.62842</cdr:y>
    </cdr:to>
    <cdr:sp macro="" textlink="">
      <cdr:nvSpPr>
        <cdr:cNvPr id="8" name="Выгнутая вверх стрелка 7"/>
        <cdr:cNvSpPr/>
      </cdr:nvSpPr>
      <cdr:spPr>
        <a:xfrm xmlns:a="http://schemas.openxmlformats.org/drawingml/2006/main">
          <a:off x="3469869" y="2623645"/>
          <a:ext cx="521457" cy="263075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0.19016</cdr:y>
    </cdr:from>
    <cdr:to>
      <cdr:x>0.11684</cdr:x>
      <cdr:y>0.26614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0" y="669509"/>
          <a:ext cx="715349" cy="2675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млн.грн.</a:t>
          </a:r>
        </a:p>
      </cdr:txBody>
    </cdr:sp>
  </cdr:relSizeAnchor>
  <cdr:relSizeAnchor xmlns:cdr="http://schemas.openxmlformats.org/drawingml/2006/chartDrawing">
    <cdr:from>
      <cdr:x>0.80463</cdr:x>
      <cdr:y>0.26961</cdr:y>
    </cdr:from>
    <cdr:to>
      <cdr:x>0.85476</cdr:x>
      <cdr:y>0.33333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962651" y="1047749"/>
          <a:ext cx="371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0.20033</cdr:x>
      <cdr:y>0.18346</cdr:y>
    </cdr:from>
    <cdr:to>
      <cdr:x>0.29206</cdr:x>
      <cdr:y>0.24633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226530" y="842760"/>
          <a:ext cx="561622" cy="28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96,5%</a:t>
          </a:r>
        </a:p>
      </cdr:txBody>
    </cdr:sp>
  </cdr:relSizeAnchor>
  <cdr:relSizeAnchor xmlns:cdr="http://schemas.openxmlformats.org/drawingml/2006/chartDrawing">
    <cdr:from>
      <cdr:x>0.33043</cdr:x>
      <cdr:y>0.16492</cdr:y>
    </cdr:from>
    <cdr:to>
      <cdr:x>0.41789</cdr:x>
      <cdr:y>0.2351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2023074" y="757573"/>
          <a:ext cx="535478" cy="322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97,2%</a:t>
          </a:r>
        </a:p>
      </cdr:txBody>
    </cdr:sp>
  </cdr:relSizeAnchor>
  <cdr:relSizeAnchor xmlns:cdr="http://schemas.openxmlformats.org/drawingml/2006/chartDrawing">
    <cdr:from>
      <cdr:x>0.44133</cdr:x>
      <cdr:y>0.53574</cdr:y>
    </cdr:from>
    <cdr:to>
      <cdr:x>0.53314</cdr:x>
      <cdr:y>0.60674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2702052" y="2460974"/>
          <a:ext cx="562112" cy="3261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92,9%</a:t>
          </a:r>
        </a:p>
      </cdr:txBody>
    </cdr:sp>
  </cdr:relSizeAnchor>
  <cdr:relSizeAnchor xmlns:cdr="http://schemas.openxmlformats.org/drawingml/2006/chartDrawing">
    <cdr:from>
      <cdr:x>0.56347</cdr:x>
      <cdr:y>0.60977</cdr:y>
    </cdr:from>
    <cdr:to>
      <cdr:x>0.64838</cdr:x>
      <cdr:y>0.67238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449861" y="2801054"/>
          <a:ext cx="519865" cy="2876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93,9%</a:t>
          </a:r>
        </a:p>
      </cdr:txBody>
    </cdr:sp>
  </cdr:relSizeAnchor>
  <cdr:relSizeAnchor xmlns:cdr="http://schemas.openxmlformats.org/drawingml/2006/chartDrawing">
    <cdr:from>
      <cdr:x>0.68751</cdr:x>
      <cdr:y>0.60392</cdr:y>
    </cdr:from>
    <cdr:to>
      <cdr:x>0.77421</cdr:x>
      <cdr:y>0.67368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4209302" y="2774173"/>
          <a:ext cx="530825" cy="320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66,4%</a:t>
          </a:r>
        </a:p>
      </cdr:txBody>
    </cdr:sp>
  </cdr:relSizeAnchor>
  <cdr:relSizeAnchor xmlns:cdr="http://schemas.openxmlformats.org/drawingml/2006/chartDrawing">
    <cdr:from>
      <cdr:x>0.82245</cdr:x>
      <cdr:y>0.36401</cdr:y>
    </cdr:from>
    <cdr:to>
      <cdr:x>0.91181</cdr:x>
      <cdr:y>0.43499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5035467" y="1672099"/>
          <a:ext cx="547111" cy="326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/>
            <a:t>79,0%</a:t>
          </a:r>
        </a:p>
      </cdr:txBody>
    </cdr:sp>
  </cdr:relSizeAnchor>
  <cdr:relSizeAnchor xmlns:cdr="http://schemas.openxmlformats.org/drawingml/2006/chartDrawing">
    <cdr:from>
      <cdr:x>0.68442</cdr:x>
      <cdr:y>0.57321</cdr:y>
    </cdr:from>
    <cdr:to>
      <cdr:x>0.77774</cdr:x>
      <cdr:y>0.63047</cdr:y>
    </cdr:to>
    <cdr:sp macro="" textlink="">
      <cdr:nvSpPr>
        <cdr:cNvPr id="24" name="Выгнутая вверх стрелка 23"/>
        <cdr:cNvSpPr/>
      </cdr:nvSpPr>
      <cdr:spPr>
        <a:xfrm xmlns:a="http://schemas.openxmlformats.org/drawingml/2006/main">
          <a:off x="4190396" y="2633108"/>
          <a:ext cx="571356" cy="263029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0.19411</cdr:x>
      <cdr:y>0.79278</cdr:y>
    </cdr:from>
    <cdr:to>
      <cdr:x>0.43757</cdr:x>
      <cdr:y>0.90949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64775" y="3090044"/>
          <a:ext cx="1460909" cy="45490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cmpd="sng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1000" i="1"/>
            <a:t>в т.ч. утримання та заходи соціальних служб - 8,6</a:t>
          </a:r>
          <a:r>
            <a:rPr lang="ru-RU" sz="1000" i="1" baseline="0"/>
            <a:t> </a:t>
          </a:r>
          <a:r>
            <a:rPr lang="ru-RU" sz="1000" i="1"/>
            <a:t>млн.грн.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9F0F-1C78-4C3D-9FFA-EF51099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7</Pages>
  <Words>1481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Осипова Анастасия</cp:lastModifiedBy>
  <cp:revision>20</cp:revision>
  <cp:lastPrinted>2017-05-16T07:45:00Z</cp:lastPrinted>
  <dcterms:created xsi:type="dcterms:W3CDTF">2016-11-01T15:36:00Z</dcterms:created>
  <dcterms:modified xsi:type="dcterms:W3CDTF">2017-05-18T13:16:00Z</dcterms:modified>
</cp:coreProperties>
</file>