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8" w:rsidRPr="007B582D" w:rsidRDefault="00345E08" w:rsidP="00675437">
      <w:pPr>
        <w:pStyle w:val="a4"/>
        <w:ind w:firstLine="708"/>
        <w:jc w:val="center"/>
        <w:rPr>
          <w:b/>
          <w:bCs/>
          <w:szCs w:val="28"/>
        </w:rPr>
      </w:pPr>
      <w:r w:rsidRPr="007B582D">
        <w:rPr>
          <w:b/>
          <w:bCs/>
          <w:szCs w:val="28"/>
        </w:rPr>
        <w:t>Довідка про</w:t>
      </w:r>
      <w:r w:rsidR="00675437" w:rsidRPr="007B582D">
        <w:rPr>
          <w:b/>
          <w:bCs/>
          <w:szCs w:val="28"/>
        </w:rPr>
        <w:t xml:space="preserve"> виконання бюджету</w:t>
      </w:r>
      <w:r w:rsidRPr="007B582D">
        <w:rPr>
          <w:b/>
          <w:bCs/>
          <w:szCs w:val="28"/>
        </w:rPr>
        <w:t xml:space="preserve"> міста Запоріжжя</w:t>
      </w:r>
    </w:p>
    <w:p w:rsidR="00675437" w:rsidRPr="007B582D" w:rsidRDefault="00675437" w:rsidP="00675437">
      <w:pPr>
        <w:pStyle w:val="a4"/>
        <w:ind w:firstLine="708"/>
        <w:jc w:val="center"/>
        <w:rPr>
          <w:b/>
          <w:bCs/>
          <w:szCs w:val="28"/>
        </w:rPr>
      </w:pPr>
      <w:r w:rsidRPr="007B582D">
        <w:rPr>
          <w:b/>
          <w:bCs/>
          <w:szCs w:val="28"/>
        </w:rPr>
        <w:t xml:space="preserve">за </w:t>
      </w:r>
      <w:r w:rsidR="00DB2BBA" w:rsidRPr="007B582D">
        <w:rPr>
          <w:b/>
          <w:bCs/>
          <w:szCs w:val="28"/>
        </w:rPr>
        <w:t>І</w:t>
      </w:r>
      <w:r w:rsidR="00510FEF" w:rsidRPr="007B582D">
        <w:rPr>
          <w:b/>
          <w:bCs/>
          <w:szCs w:val="28"/>
        </w:rPr>
        <w:t xml:space="preserve"> </w:t>
      </w:r>
      <w:r w:rsidR="00E72255" w:rsidRPr="007B582D">
        <w:rPr>
          <w:b/>
          <w:bCs/>
          <w:szCs w:val="28"/>
        </w:rPr>
        <w:t>півріччя</w:t>
      </w:r>
      <w:r w:rsidR="00510FEF" w:rsidRPr="007B582D">
        <w:rPr>
          <w:b/>
          <w:bCs/>
          <w:szCs w:val="28"/>
        </w:rPr>
        <w:t xml:space="preserve"> </w:t>
      </w:r>
      <w:r w:rsidR="00050D58" w:rsidRPr="007B582D">
        <w:rPr>
          <w:b/>
          <w:bCs/>
          <w:szCs w:val="28"/>
        </w:rPr>
        <w:t>201</w:t>
      </w:r>
      <w:r w:rsidR="00151C7C" w:rsidRPr="007B582D">
        <w:rPr>
          <w:b/>
          <w:bCs/>
          <w:szCs w:val="28"/>
        </w:rPr>
        <w:t>9</w:t>
      </w:r>
      <w:r w:rsidRPr="007B582D">
        <w:rPr>
          <w:b/>
          <w:bCs/>
          <w:szCs w:val="28"/>
        </w:rPr>
        <w:t xml:space="preserve"> р</w:t>
      </w:r>
      <w:r w:rsidR="00FD2F5C" w:rsidRPr="007B582D">
        <w:rPr>
          <w:b/>
          <w:bCs/>
          <w:szCs w:val="28"/>
        </w:rPr>
        <w:t>о</w:t>
      </w:r>
      <w:r w:rsidR="00D853F7" w:rsidRPr="007B582D">
        <w:rPr>
          <w:b/>
          <w:bCs/>
          <w:szCs w:val="28"/>
        </w:rPr>
        <w:t>к</w:t>
      </w:r>
      <w:r w:rsidR="00FD2F5C" w:rsidRPr="007B582D">
        <w:rPr>
          <w:b/>
          <w:bCs/>
          <w:szCs w:val="28"/>
        </w:rPr>
        <w:t>у</w:t>
      </w:r>
    </w:p>
    <w:p w:rsidR="00971F58" w:rsidRPr="007B582D" w:rsidRDefault="00971F58" w:rsidP="00675437">
      <w:pPr>
        <w:pStyle w:val="a4"/>
        <w:ind w:firstLine="708"/>
        <w:jc w:val="center"/>
        <w:rPr>
          <w:b/>
          <w:bCs/>
          <w:sz w:val="16"/>
          <w:szCs w:val="16"/>
        </w:rPr>
      </w:pPr>
    </w:p>
    <w:p w:rsidR="00257161" w:rsidRPr="007B582D" w:rsidRDefault="004052F8" w:rsidP="00257161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7B582D">
        <w:rPr>
          <w:b/>
          <w:sz w:val="28"/>
          <w:szCs w:val="28"/>
          <w:lang w:val="uk-UA"/>
        </w:rPr>
        <w:t>Доходи</w:t>
      </w:r>
    </w:p>
    <w:p w:rsidR="00DF4257" w:rsidRPr="007B582D" w:rsidRDefault="00DF4257" w:rsidP="001431AE">
      <w:pPr>
        <w:ind w:firstLine="708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 xml:space="preserve">Обсяг доходів бюджету міста за І півріччя поточного року склав 4 367,7 млн.грн., в тому числі офіційні трансферти – 1 441,6 млн.грн. </w:t>
      </w:r>
    </w:p>
    <w:p w:rsidR="00DF4257" w:rsidRPr="007B582D" w:rsidRDefault="00DF4257" w:rsidP="001431AE">
      <w:pPr>
        <w:jc w:val="both"/>
        <w:rPr>
          <w:szCs w:val="28"/>
          <w:lang w:val="uk-UA"/>
        </w:rPr>
      </w:pPr>
      <w:r w:rsidRPr="007B582D">
        <w:rPr>
          <w:noProof/>
          <w:szCs w:val="28"/>
        </w:rPr>
        <w:drawing>
          <wp:inline distT="0" distB="0" distL="0" distR="0">
            <wp:extent cx="6147435" cy="2407557"/>
            <wp:effectExtent l="0" t="19050" r="0" b="0"/>
            <wp:docPr id="5" name="Схе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F4257" w:rsidRPr="007B582D" w:rsidRDefault="00DF4257" w:rsidP="001431AE">
      <w:pPr>
        <w:ind w:firstLine="708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 xml:space="preserve">В порівнянні з </w:t>
      </w:r>
      <w:r w:rsidR="007B582D" w:rsidRPr="007B582D">
        <w:rPr>
          <w:sz w:val="28"/>
          <w:szCs w:val="28"/>
          <w:lang w:val="uk-UA"/>
        </w:rPr>
        <w:t>аналогічним періодом минулого року</w:t>
      </w:r>
      <w:r w:rsidRPr="007B582D">
        <w:rPr>
          <w:sz w:val="28"/>
          <w:szCs w:val="28"/>
          <w:lang w:val="uk-UA"/>
        </w:rPr>
        <w:t xml:space="preserve"> власні доходи (без урахування трансфертів) збільшились на 16,2% або на 408,9 млн.грн. </w:t>
      </w:r>
    </w:p>
    <w:p w:rsidR="00DF4257" w:rsidRPr="007B582D" w:rsidRDefault="00DF4257" w:rsidP="001431AE">
      <w:pPr>
        <w:ind w:firstLine="708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План по доходах загального фонду без урахування трансфертів виконаний на 101,0%, понад плану надійшло 27,3 млн.грн.</w:t>
      </w:r>
      <w:r w:rsidR="007B582D" w:rsidRPr="007B582D">
        <w:rPr>
          <w:sz w:val="28"/>
          <w:szCs w:val="28"/>
          <w:lang w:val="uk-UA"/>
        </w:rPr>
        <w:t xml:space="preserve"> Обсяг доходів перевищив відповідний минулорічний показник на 17,6% або на 418,0 млн.грн. </w:t>
      </w:r>
      <w:r w:rsidRPr="007B582D">
        <w:rPr>
          <w:sz w:val="28"/>
          <w:szCs w:val="28"/>
          <w:lang w:val="uk-UA"/>
        </w:rPr>
        <w:t xml:space="preserve">Виконані планові показники по всіх джерелах доходів. </w:t>
      </w:r>
    </w:p>
    <w:p w:rsidR="00DF4257" w:rsidRPr="007B582D" w:rsidRDefault="00DF4257" w:rsidP="001431AE">
      <w:pPr>
        <w:ind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 xml:space="preserve">Найбільшим чином поповнив бюджет податок на доходи фізичних осіб (1 801,5 млн.грн. або 64,6% в доходах загального фонду). План виконаний на 101,0%. </w:t>
      </w:r>
    </w:p>
    <w:p w:rsidR="00DF4257" w:rsidRPr="007B582D" w:rsidRDefault="00DF4257" w:rsidP="001431AE">
      <w:pPr>
        <w:ind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Порівняно з минулорічним показником надходження цього податку збільшились на 20,7% або на 308,7 млн.грн., в тому числі податку з доходів у вигляді заробітної плати – на 19,6% або на 274,3 млн.грн., що пояснюється суттєвим зростанням фонду оплати праці штатних працівників. За останніми статистичними даними за І квартал 2019 року він становив 6 640,0 млн.грн., що на 19,5% більше аналогічного показника попереднього року. Середньомісячна заробітна плата також зросла на 21,7% та складала 9 975,48 грн. Зростання перерахувань податку за більш випередженими темпами відбулось на підприємствах металургійної галузі міста (ПАТ «Запоріжсталь» - на 37,6%, ПАТ «</w:t>
      </w:r>
      <w:proofErr w:type="spellStart"/>
      <w:r w:rsidRPr="007B582D">
        <w:rPr>
          <w:sz w:val="28"/>
          <w:szCs w:val="28"/>
          <w:lang w:val="uk-UA"/>
        </w:rPr>
        <w:t>Укрграфіт</w:t>
      </w:r>
      <w:proofErr w:type="spellEnd"/>
      <w:r w:rsidRPr="007B582D">
        <w:rPr>
          <w:sz w:val="28"/>
          <w:szCs w:val="28"/>
          <w:lang w:val="uk-UA"/>
        </w:rPr>
        <w:t>» - на 31,6%, ПАТ «</w:t>
      </w:r>
      <w:proofErr w:type="spellStart"/>
      <w:r w:rsidRPr="007B582D">
        <w:rPr>
          <w:sz w:val="28"/>
          <w:szCs w:val="28"/>
          <w:lang w:val="uk-UA"/>
        </w:rPr>
        <w:t>Запоріжвогнетрив</w:t>
      </w:r>
      <w:proofErr w:type="spellEnd"/>
      <w:r w:rsidRPr="007B582D">
        <w:rPr>
          <w:sz w:val="28"/>
          <w:szCs w:val="28"/>
          <w:lang w:val="uk-UA"/>
        </w:rPr>
        <w:t>» - на 60,5%, ПАТ «Запорізький феросплавний завод» - на 31,9%, ТОВ «</w:t>
      </w:r>
      <w:proofErr w:type="spellStart"/>
      <w:r w:rsidRPr="007B582D">
        <w:rPr>
          <w:sz w:val="28"/>
          <w:szCs w:val="28"/>
          <w:lang w:val="uk-UA"/>
        </w:rPr>
        <w:t>Метінвест</w:t>
      </w:r>
      <w:proofErr w:type="spellEnd"/>
      <w:r w:rsidRPr="007B582D">
        <w:rPr>
          <w:sz w:val="28"/>
          <w:szCs w:val="28"/>
          <w:lang w:val="uk-UA"/>
        </w:rPr>
        <w:t xml:space="preserve"> – </w:t>
      </w:r>
      <w:proofErr w:type="spellStart"/>
      <w:r w:rsidRPr="007B582D">
        <w:rPr>
          <w:sz w:val="28"/>
          <w:szCs w:val="28"/>
          <w:lang w:val="uk-UA"/>
        </w:rPr>
        <w:t>промсервіс</w:t>
      </w:r>
      <w:proofErr w:type="spellEnd"/>
      <w:r w:rsidRPr="007B582D">
        <w:rPr>
          <w:sz w:val="28"/>
          <w:szCs w:val="28"/>
          <w:lang w:val="uk-UA"/>
        </w:rPr>
        <w:t>» - на 52,7% та інших).</w:t>
      </w:r>
    </w:p>
    <w:p w:rsidR="00DF4257" w:rsidRPr="007B582D" w:rsidRDefault="00DF4257" w:rsidP="001431AE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Також збільшились надходження податку за результатами річного декларування фізичних осіб на 4,5 млн.грн. (на 29,5%), з доходів військовослужбовців - на 15,5 млн.грн. (на 28,1%) та з інших (ніж заробітна плата) доходів платників – на 14,7 млн.грн. (у 1,7 рази).</w:t>
      </w:r>
    </w:p>
    <w:p w:rsidR="00DF4257" w:rsidRPr="007B582D" w:rsidRDefault="00DF4257" w:rsidP="001431AE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 xml:space="preserve">Акцизного податку надійшло в розмірі 133,6 млн.грн., план виконаний на 100,3%. В порівнянні з аналогічним періодом 2018 року обсяг акцизного </w:t>
      </w:r>
      <w:r w:rsidRPr="007B582D">
        <w:rPr>
          <w:sz w:val="28"/>
          <w:szCs w:val="28"/>
          <w:lang w:val="uk-UA"/>
        </w:rPr>
        <w:lastRenderedPageBreak/>
        <w:t>податку збільшився на 3,8 млн.грн. (на 2,9%), в тому числі з пального - на 1,4 млн.грн. (на 2,2%) та з реалізації суб’єктами господарювання роздрібної торгівлі підакцизних товарів – на 2,4 млн.грн. або на 3,7% (з реалізації алкогольних напоїв – збільшення на 4,8 млн.грн., від реалізації тютюнових виробів – навпаки зниження на 2,4 млн.грн.).</w:t>
      </w:r>
    </w:p>
    <w:p w:rsidR="00DF4257" w:rsidRDefault="002B6407" w:rsidP="002B6407">
      <w:pPr>
        <w:pStyle w:val="2"/>
        <w:spacing w:after="0" w:line="240" w:lineRule="auto"/>
        <w:ind w:left="0"/>
        <w:jc w:val="center"/>
        <w:rPr>
          <w:color w:val="000000" w:themeColor="text1"/>
          <w:sz w:val="28"/>
          <w:szCs w:val="28"/>
          <w:lang w:val="uk-UA"/>
        </w:rPr>
      </w:pPr>
      <w:r w:rsidRPr="002B6407">
        <w:rPr>
          <w:color w:val="000000" w:themeColor="text1"/>
          <w:sz w:val="28"/>
          <w:szCs w:val="28"/>
          <w:lang w:val="uk-UA"/>
        </w:rPr>
        <w:drawing>
          <wp:inline distT="0" distB="0" distL="0" distR="0">
            <wp:extent cx="5528734" cy="3344334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6407" w:rsidRPr="007B582D" w:rsidRDefault="002B6407" w:rsidP="002B6407">
      <w:pPr>
        <w:pStyle w:val="2"/>
        <w:spacing w:after="0" w:line="240" w:lineRule="auto"/>
        <w:ind w:left="0"/>
        <w:jc w:val="center"/>
        <w:rPr>
          <w:color w:val="000000" w:themeColor="text1"/>
          <w:sz w:val="28"/>
          <w:szCs w:val="28"/>
          <w:lang w:val="uk-UA"/>
        </w:rPr>
      </w:pPr>
    </w:p>
    <w:p w:rsidR="00DF4257" w:rsidRPr="007B582D" w:rsidRDefault="00DF4257" w:rsidP="001431AE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 xml:space="preserve">Надходження місцевих податків і зборів склали 800,6 млн.грн. або 101,2% до плану. За величиною понад 59% з них займає податок на майно – 474,9 млн.грн. В його складі надійшло плати за землю в розмірі 448,2 млн.грн., план виконаний на 101,6%. В порівнянні з </w:t>
      </w:r>
      <w:r w:rsidR="00DC188A">
        <w:rPr>
          <w:sz w:val="28"/>
          <w:szCs w:val="28"/>
          <w:lang w:val="uk-UA"/>
        </w:rPr>
        <w:t>минулорічними показниками</w:t>
      </w:r>
      <w:r w:rsidRPr="007B582D">
        <w:rPr>
          <w:sz w:val="28"/>
          <w:szCs w:val="28"/>
          <w:lang w:val="uk-UA"/>
        </w:rPr>
        <w:t xml:space="preserve"> відбулось збільшення на 42,4 млн.грн. або на 10,4%, що пояснюється скасуванням наданої державою у 2018 році пільги (в якості зниженої на 75% ставки) по земельному податку для земельних ділянок, наданих для залізниць у межах смуг відведення, та збільшенням з 01.01.2019 року ставки земельного податку для земель для розміщення та експлуатації будівель і споруд залізничного транспорту з 1% до 3% від </w:t>
      </w:r>
      <w:r w:rsidR="006B4878">
        <w:rPr>
          <w:sz w:val="28"/>
          <w:szCs w:val="28"/>
          <w:lang w:val="uk-UA"/>
        </w:rPr>
        <w:t xml:space="preserve">нормативно грошової оцінки </w:t>
      </w:r>
      <w:r w:rsidRPr="007B582D">
        <w:rPr>
          <w:sz w:val="28"/>
          <w:szCs w:val="28"/>
          <w:lang w:val="uk-UA"/>
        </w:rPr>
        <w:t>землі. Крім того, у звітному періоді ПАТ «</w:t>
      </w:r>
      <w:proofErr w:type="spellStart"/>
      <w:r w:rsidRPr="007B582D">
        <w:rPr>
          <w:sz w:val="28"/>
          <w:szCs w:val="28"/>
          <w:lang w:val="uk-UA"/>
        </w:rPr>
        <w:t>Запоріжжяобленерго</w:t>
      </w:r>
      <w:proofErr w:type="spellEnd"/>
      <w:r w:rsidRPr="007B582D">
        <w:rPr>
          <w:sz w:val="28"/>
          <w:szCs w:val="28"/>
          <w:lang w:val="uk-UA"/>
        </w:rPr>
        <w:t xml:space="preserve">» повністю погашена заборгованість по платі за землю на загальну суму 7,3 млн.грн. </w:t>
      </w:r>
    </w:p>
    <w:p w:rsidR="00DF4257" w:rsidRPr="007B582D" w:rsidRDefault="00DF4257" w:rsidP="001431AE">
      <w:pPr>
        <w:ind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 xml:space="preserve">Обсяг сплати єдиного податку склав 324,8 млн.грн. План виконаний на 100,8%. В порівнянні з минулорічним показником </w:t>
      </w:r>
      <w:r w:rsidR="006B4878">
        <w:rPr>
          <w:sz w:val="28"/>
          <w:szCs w:val="28"/>
          <w:lang w:val="uk-UA"/>
        </w:rPr>
        <w:t>надходження</w:t>
      </w:r>
      <w:r w:rsidRPr="007B582D">
        <w:rPr>
          <w:sz w:val="28"/>
          <w:szCs w:val="28"/>
          <w:lang w:val="uk-UA"/>
        </w:rPr>
        <w:t xml:space="preserve"> зрос</w:t>
      </w:r>
      <w:r w:rsidR="006B4878">
        <w:rPr>
          <w:sz w:val="28"/>
          <w:szCs w:val="28"/>
          <w:lang w:val="uk-UA"/>
        </w:rPr>
        <w:t>ли</w:t>
      </w:r>
      <w:r w:rsidRPr="007B582D">
        <w:rPr>
          <w:sz w:val="28"/>
          <w:szCs w:val="28"/>
          <w:lang w:val="uk-UA"/>
        </w:rPr>
        <w:t xml:space="preserve"> на 66,8 млн.грн. (на 25,9%). Це обумовлено збільшенням розміру мінімальної заробітної плати та прожиткового мінімуму, прив’язку до яких мають ставки для платників І та ІІ груп єдиного податку, зростанням кількості платників з початку року (юридичних осіб – на 50, фізичних – на 423) та коливанням показника індексу інфляції (станом на 01.07.2019 року – 103,6%), який супроводжувався поступовим підвищенням загального рівня цін на товари і послуги та вплинув на зростання обсягу доходів платників цього податку. </w:t>
      </w:r>
    </w:p>
    <w:p w:rsidR="00DF4257" w:rsidRPr="007B582D" w:rsidRDefault="006B4878" w:rsidP="001431A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бюджету міста надійшло п</w:t>
      </w:r>
      <w:r w:rsidR="00DF4257" w:rsidRPr="007B582D">
        <w:rPr>
          <w:sz w:val="28"/>
          <w:szCs w:val="28"/>
          <w:lang w:val="uk-UA"/>
        </w:rPr>
        <w:t xml:space="preserve">лати за надання інших адміністративних послуг в </w:t>
      </w:r>
      <w:r>
        <w:rPr>
          <w:sz w:val="28"/>
          <w:szCs w:val="28"/>
          <w:lang w:val="uk-UA"/>
        </w:rPr>
        <w:t>сумі</w:t>
      </w:r>
      <w:r w:rsidR="00DF4257" w:rsidRPr="007B582D">
        <w:rPr>
          <w:sz w:val="28"/>
          <w:szCs w:val="28"/>
          <w:lang w:val="uk-UA"/>
        </w:rPr>
        <w:t xml:space="preserve"> 17,5 млн.грн. (101,3% до плану). В порівнянні з </w:t>
      </w:r>
      <w:r>
        <w:rPr>
          <w:sz w:val="28"/>
          <w:szCs w:val="28"/>
          <w:lang w:val="uk-UA"/>
        </w:rPr>
        <w:t xml:space="preserve">відповідними показниками минулого </w:t>
      </w:r>
      <w:r w:rsidR="00DF4257" w:rsidRPr="007B582D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надходження </w:t>
      </w:r>
      <w:r w:rsidR="00DF4257" w:rsidRPr="007B582D">
        <w:rPr>
          <w:sz w:val="28"/>
          <w:szCs w:val="28"/>
          <w:lang w:val="uk-UA"/>
        </w:rPr>
        <w:t>зменш</w:t>
      </w:r>
      <w:r>
        <w:rPr>
          <w:sz w:val="28"/>
          <w:szCs w:val="28"/>
          <w:lang w:val="uk-UA"/>
        </w:rPr>
        <w:t xml:space="preserve">ились </w:t>
      </w:r>
      <w:r w:rsidR="00DF4257" w:rsidRPr="007B582D">
        <w:rPr>
          <w:sz w:val="28"/>
          <w:szCs w:val="28"/>
          <w:lang w:val="uk-UA"/>
        </w:rPr>
        <w:t xml:space="preserve">на 4,6 млн.грн. або на 20,9%, що пов’язане зі зниженням перерахувань </w:t>
      </w:r>
      <w:r>
        <w:rPr>
          <w:sz w:val="28"/>
          <w:szCs w:val="28"/>
          <w:lang w:val="uk-UA"/>
        </w:rPr>
        <w:t xml:space="preserve">за </w:t>
      </w:r>
      <w:r w:rsidRPr="007B582D">
        <w:rPr>
          <w:sz w:val="28"/>
          <w:szCs w:val="28"/>
          <w:lang w:val="uk-UA"/>
        </w:rPr>
        <w:t>оформлення біометричних закордонних паспортів</w:t>
      </w:r>
      <w:r>
        <w:rPr>
          <w:sz w:val="28"/>
          <w:szCs w:val="28"/>
          <w:lang w:val="uk-UA"/>
        </w:rPr>
        <w:t>.</w:t>
      </w:r>
    </w:p>
    <w:p w:rsidR="00DF4257" w:rsidRPr="007B582D" w:rsidRDefault="00DF4257" w:rsidP="001431AE">
      <w:pPr>
        <w:pStyle w:val="a4"/>
        <w:ind w:firstLine="540"/>
        <w:rPr>
          <w:szCs w:val="28"/>
        </w:rPr>
      </w:pPr>
      <w:r w:rsidRPr="007B582D">
        <w:rPr>
          <w:szCs w:val="28"/>
        </w:rPr>
        <w:t xml:space="preserve">Крім того, до бюджету надійшло податку на прибуток підприємств комунальної власності та частини чистого прибутку, що вилучається до бюджету, в сумі 12,8 млн.грн. та 2,1 млн.грн. відповідно, орендної плати за користування майном комунальної власності – 9,5 млн.грн., адміністративного збору за проведення державної реєстрації юридичних осіб, фізичних осіб – підприємств та громадських формувань – 1,8 млн.грн., адміністративного збору за державну реєстрацію речових прав на нерухоме майно та їх обтяжень – 0,8 млн.грн. та інших податків, зборів і обов’язкових платежів на загальну суму </w:t>
      </w:r>
      <w:r w:rsidR="00A46868">
        <w:rPr>
          <w:szCs w:val="28"/>
        </w:rPr>
        <w:t>10,2</w:t>
      </w:r>
      <w:r w:rsidRPr="007B582D">
        <w:rPr>
          <w:szCs w:val="28"/>
        </w:rPr>
        <w:t> млн.грн.</w:t>
      </w:r>
    </w:p>
    <w:p w:rsidR="00DF4257" w:rsidRPr="007B582D" w:rsidRDefault="00DF4257" w:rsidP="001431AE">
      <w:pPr>
        <w:ind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 xml:space="preserve">В порівнянні з відповідним </w:t>
      </w:r>
      <w:r w:rsidR="006B4878">
        <w:rPr>
          <w:sz w:val="28"/>
          <w:szCs w:val="28"/>
          <w:lang w:val="uk-UA"/>
        </w:rPr>
        <w:t>минулорічним періодом</w:t>
      </w:r>
      <w:r w:rsidRPr="007B582D">
        <w:rPr>
          <w:sz w:val="28"/>
          <w:szCs w:val="28"/>
          <w:lang w:val="uk-UA"/>
        </w:rPr>
        <w:t xml:space="preserve"> доходи спеціального фонду бюджету міста (без трансфертів) </w:t>
      </w:r>
      <w:r w:rsidR="006B4878">
        <w:rPr>
          <w:sz w:val="28"/>
          <w:szCs w:val="28"/>
          <w:lang w:val="uk-UA"/>
        </w:rPr>
        <w:t xml:space="preserve">в цілому </w:t>
      </w:r>
      <w:r w:rsidRPr="007B582D">
        <w:rPr>
          <w:sz w:val="28"/>
          <w:szCs w:val="28"/>
          <w:lang w:val="uk-UA"/>
        </w:rPr>
        <w:t xml:space="preserve">зменшились на 9,1 млн.грн. </w:t>
      </w:r>
      <w:r w:rsidR="006B4878">
        <w:rPr>
          <w:sz w:val="28"/>
          <w:szCs w:val="28"/>
          <w:lang w:val="uk-UA"/>
        </w:rPr>
        <w:t xml:space="preserve">В результаті </w:t>
      </w:r>
      <w:r w:rsidR="001431AE" w:rsidRPr="007B582D">
        <w:rPr>
          <w:sz w:val="28"/>
          <w:szCs w:val="28"/>
          <w:lang w:val="uk-UA"/>
        </w:rPr>
        <w:t>перетворення установ охорони здоров’я у комунальні некомерційні підприємства</w:t>
      </w:r>
      <w:r w:rsidR="001431AE">
        <w:rPr>
          <w:sz w:val="28"/>
          <w:szCs w:val="28"/>
          <w:lang w:val="uk-UA"/>
        </w:rPr>
        <w:t xml:space="preserve"> в рамках </w:t>
      </w:r>
      <w:r w:rsidR="006B4878">
        <w:rPr>
          <w:sz w:val="28"/>
          <w:szCs w:val="28"/>
          <w:lang w:val="uk-UA"/>
        </w:rPr>
        <w:t xml:space="preserve">реформування медичної галузі </w:t>
      </w:r>
      <w:r w:rsidRPr="007B582D">
        <w:rPr>
          <w:sz w:val="28"/>
          <w:szCs w:val="28"/>
          <w:lang w:val="uk-UA"/>
        </w:rPr>
        <w:t>власн</w:t>
      </w:r>
      <w:r w:rsidR="001431AE">
        <w:rPr>
          <w:sz w:val="28"/>
          <w:szCs w:val="28"/>
          <w:lang w:val="uk-UA"/>
        </w:rPr>
        <w:t>і</w:t>
      </w:r>
      <w:r w:rsidRPr="007B582D">
        <w:rPr>
          <w:sz w:val="28"/>
          <w:szCs w:val="28"/>
          <w:lang w:val="uk-UA"/>
        </w:rPr>
        <w:t xml:space="preserve"> надходжен</w:t>
      </w:r>
      <w:r w:rsidR="001431AE">
        <w:rPr>
          <w:sz w:val="28"/>
          <w:szCs w:val="28"/>
          <w:lang w:val="uk-UA"/>
        </w:rPr>
        <w:t>ня</w:t>
      </w:r>
      <w:r w:rsidRPr="007B582D">
        <w:rPr>
          <w:sz w:val="28"/>
          <w:szCs w:val="28"/>
          <w:lang w:val="uk-UA"/>
        </w:rPr>
        <w:t xml:space="preserve"> бюджетних установ </w:t>
      </w:r>
      <w:r w:rsidR="001431AE">
        <w:rPr>
          <w:sz w:val="28"/>
          <w:szCs w:val="28"/>
          <w:lang w:val="uk-UA"/>
        </w:rPr>
        <w:t>зменшились</w:t>
      </w:r>
      <w:r w:rsidRPr="007B582D">
        <w:rPr>
          <w:sz w:val="28"/>
          <w:szCs w:val="28"/>
          <w:lang w:val="uk-UA"/>
        </w:rPr>
        <w:t xml:space="preserve"> на 16,1 млн.грн.</w:t>
      </w:r>
    </w:p>
    <w:p w:rsidR="00DF4257" w:rsidRPr="007B582D" w:rsidRDefault="00DF4257" w:rsidP="002B6407">
      <w:pPr>
        <w:pStyle w:val="2"/>
        <w:spacing w:after="0" w:line="240" w:lineRule="auto"/>
        <w:ind w:left="0"/>
        <w:jc w:val="center"/>
        <w:rPr>
          <w:noProof/>
          <w:sz w:val="28"/>
          <w:szCs w:val="28"/>
          <w:lang w:val="uk-UA"/>
        </w:rPr>
      </w:pPr>
      <w:r w:rsidRPr="007B582D">
        <w:rPr>
          <w:noProof/>
          <w:sz w:val="28"/>
          <w:szCs w:val="28"/>
        </w:rPr>
        <w:drawing>
          <wp:inline distT="0" distB="0" distL="0" distR="0">
            <wp:extent cx="5537200" cy="2971800"/>
            <wp:effectExtent l="19050" t="0" r="6350" b="0"/>
            <wp:docPr id="1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4257" w:rsidRPr="007B582D" w:rsidRDefault="00DF4257" w:rsidP="001431AE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Бюджет розвитку в звітному півріччі поповнився на 18,4 млн.грн. План звітного періоду перевиконаний на 3,8 млн.грн., в тому числі по надходженнях від відчуження комунального майна - на 1,2 млн.грн. та продажу земельних ділянок – на 2,2 млн.грн.</w:t>
      </w:r>
    </w:p>
    <w:p w:rsidR="00DF4257" w:rsidRPr="007B582D" w:rsidRDefault="001431AE" w:rsidP="001431AE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DF4257" w:rsidRPr="007B582D">
        <w:rPr>
          <w:sz w:val="28"/>
          <w:szCs w:val="28"/>
          <w:lang w:val="uk-UA"/>
        </w:rPr>
        <w:t xml:space="preserve">юджет міста </w:t>
      </w:r>
      <w:r>
        <w:rPr>
          <w:sz w:val="28"/>
          <w:szCs w:val="28"/>
          <w:lang w:val="uk-UA"/>
        </w:rPr>
        <w:t xml:space="preserve">отримав </w:t>
      </w:r>
      <w:r w:rsidR="00DF4257" w:rsidRPr="007B582D">
        <w:rPr>
          <w:sz w:val="28"/>
          <w:szCs w:val="28"/>
          <w:lang w:val="uk-UA"/>
        </w:rPr>
        <w:t xml:space="preserve">офіційних трансфертів </w:t>
      </w:r>
      <w:r>
        <w:rPr>
          <w:sz w:val="28"/>
          <w:szCs w:val="28"/>
          <w:lang w:val="uk-UA"/>
        </w:rPr>
        <w:t xml:space="preserve">з бюджетів інших рівнів </w:t>
      </w:r>
      <w:r w:rsidR="00DF4257" w:rsidRPr="007B582D">
        <w:rPr>
          <w:sz w:val="28"/>
          <w:szCs w:val="28"/>
          <w:lang w:val="uk-UA"/>
        </w:rPr>
        <w:t>на загальну суму 1 441,6 млн.грн., в тому числі:</w:t>
      </w:r>
    </w:p>
    <w:p w:rsidR="00DF4257" w:rsidRPr="007B582D" w:rsidRDefault="00DF4257" w:rsidP="001431AE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субвенції з державного бюджету соціального характеру (надання державної допомоги сім’ям з дітьми, малозабезпеченим сім’ям, пільг на оплату комунальних послуг та енергоносіїв, житлових субсидій) – 622,7 млн.грн.;</w:t>
      </w:r>
    </w:p>
    <w:p w:rsidR="00DF4257" w:rsidRPr="007B582D" w:rsidRDefault="00DF4257" w:rsidP="001431AE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освітньої субвенції – 476,3 млн.грн.;</w:t>
      </w:r>
    </w:p>
    <w:p w:rsidR="00DF4257" w:rsidRPr="007B582D" w:rsidRDefault="00DF4257" w:rsidP="001431AE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медичної субвенції – 276,1 млн.грн.;</w:t>
      </w:r>
    </w:p>
    <w:p w:rsidR="00DF4257" w:rsidRPr="007B582D" w:rsidRDefault="00DF4257" w:rsidP="001431AE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lastRenderedPageBreak/>
        <w:t>субвенцій та дотації на виконання окремих заходів та державних програм у сфері освіти та охорони здоров’я – 50,1 млн.грн.;</w:t>
      </w:r>
    </w:p>
    <w:p w:rsidR="00DF4257" w:rsidRPr="007B582D" w:rsidRDefault="00DF4257" w:rsidP="001431AE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субвенції на здійснення заходів щодо соціально-економічного розвитку окремих територій – 9,3 млн.грн.;</w:t>
      </w:r>
    </w:p>
    <w:p w:rsidR="001330AA" w:rsidRPr="007B582D" w:rsidRDefault="00DF4257" w:rsidP="001431AE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додаткової дотації на компенсацію втрат доходів місцевих бюджетів внаслідок наданих державою податкових пільг зі сплати земельного податку суб’єктам космічної діяльності та літакобудування – 5,7 млн.грн;</w:t>
      </w:r>
    </w:p>
    <w:p w:rsidR="004052F8" w:rsidRDefault="00DF4257" w:rsidP="001431AE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інш</w:t>
      </w:r>
      <w:r w:rsidR="001431AE">
        <w:rPr>
          <w:sz w:val="28"/>
          <w:szCs w:val="28"/>
          <w:lang w:val="uk-UA"/>
        </w:rPr>
        <w:t>их</w:t>
      </w:r>
      <w:r w:rsidRPr="007B582D">
        <w:rPr>
          <w:sz w:val="28"/>
          <w:szCs w:val="28"/>
          <w:lang w:val="uk-UA"/>
        </w:rPr>
        <w:t xml:space="preserve"> субвенції – 1,4 </w:t>
      </w:r>
      <w:r w:rsidR="001431AE">
        <w:rPr>
          <w:sz w:val="28"/>
          <w:szCs w:val="28"/>
          <w:lang w:val="uk-UA"/>
        </w:rPr>
        <w:t>млн.грн.</w:t>
      </w:r>
    </w:p>
    <w:p w:rsidR="001431AE" w:rsidRPr="00E9785B" w:rsidRDefault="001431AE" w:rsidP="001431AE">
      <w:pPr>
        <w:pStyle w:val="2"/>
        <w:spacing w:after="0" w:line="264" w:lineRule="auto"/>
        <w:ind w:left="0"/>
        <w:jc w:val="both"/>
        <w:rPr>
          <w:sz w:val="16"/>
          <w:szCs w:val="16"/>
          <w:lang w:val="uk-UA"/>
        </w:rPr>
      </w:pPr>
    </w:p>
    <w:p w:rsidR="00F670BB" w:rsidRPr="007B582D" w:rsidRDefault="00F670BB" w:rsidP="00F670BB">
      <w:pPr>
        <w:pStyle w:val="a4"/>
        <w:ind w:firstLine="708"/>
        <w:jc w:val="center"/>
        <w:rPr>
          <w:b/>
          <w:bCs/>
          <w:szCs w:val="28"/>
        </w:rPr>
      </w:pPr>
      <w:r w:rsidRPr="007B582D">
        <w:rPr>
          <w:b/>
          <w:bCs/>
          <w:szCs w:val="28"/>
        </w:rPr>
        <w:t>Видатки</w:t>
      </w:r>
    </w:p>
    <w:p w:rsidR="00612A5A" w:rsidRPr="007B582D" w:rsidRDefault="00612A5A" w:rsidP="00612A5A">
      <w:pPr>
        <w:ind w:firstLine="708"/>
        <w:jc w:val="both"/>
        <w:rPr>
          <w:rFonts w:eastAsia="Calibri"/>
          <w:sz w:val="12"/>
          <w:szCs w:val="12"/>
          <w:lang w:val="uk-UA"/>
        </w:rPr>
      </w:pPr>
    </w:p>
    <w:p w:rsidR="00612A5A" w:rsidRPr="007B582D" w:rsidRDefault="00612A5A" w:rsidP="00612A5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>Видатки бю</w:t>
      </w:r>
      <w:r w:rsidR="00F670BB" w:rsidRPr="007B582D">
        <w:rPr>
          <w:rFonts w:eastAsia="Calibri"/>
          <w:sz w:val="28"/>
          <w:szCs w:val="28"/>
          <w:lang w:val="uk-UA"/>
        </w:rPr>
        <w:t>джету міста проведен</w:t>
      </w:r>
      <w:r w:rsidR="001431AE">
        <w:rPr>
          <w:rFonts w:eastAsia="Calibri"/>
          <w:sz w:val="28"/>
          <w:szCs w:val="28"/>
          <w:lang w:val="uk-UA"/>
        </w:rPr>
        <w:t>і</w:t>
      </w:r>
      <w:r w:rsidR="00F670BB" w:rsidRPr="007B582D">
        <w:rPr>
          <w:rFonts w:eastAsia="Calibri"/>
          <w:sz w:val="28"/>
          <w:szCs w:val="28"/>
          <w:lang w:val="uk-UA"/>
        </w:rPr>
        <w:t xml:space="preserve"> в обсязі 4</w:t>
      </w:r>
      <w:r w:rsidRPr="007B582D">
        <w:rPr>
          <w:rFonts w:eastAsia="Calibri"/>
          <w:sz w:val="28"/>
          <w:szCs w:val="28"/>
          <w:lang w:val="uk-UA"/>
        </w:rPr>
        <w:t> </w:t>
      </w:r>
      <w:r w:rsidR="00DF533C" w:rsidRPr="007B582D">
        <w:rPr>
          <w:rFonts w:eastAsia="Calibri"/>
          <w:sz w:val="28"/>
          <w:szCs w:val="28"/>
          <w:lang w:val="uk-UA"/>
        </w:rPr>
        <w:t>242</w:t>
      </w:r>
      <w:r w:rsidRPr="007B582D">
        <w:rPr>
          <w:rFonts w:eastAsia="Calibri"/>
          <w:sz w:val="28"/>
          <w:szCs w:val="28"/>
          <w:lang w:val="uk-UA"/>
        </w:rPr>
        <w:t>,</w:t>
      </w:r>
      <w:r w:rsidR="00DF533C" w:rsidRPr="007B582D">
        <w:rPr>
          <w:rFonts w:eastAsia="Calibri"/>
          <w:sz w:val="28"/>
          <w:szCs w:val="28"/>
          <w:lang w:val="uk-UA"/>
        </w:rPr>
        <w:t>0</w:t>
      </w:r>
      <w:r w:rsidR="00691938" w:rsidRPr="007B582D">
        <w:rPr>
          <w:rFonts w:eastAsia="Calibri"/>
          <w:sz w:val="28"/>
          <w:szCs w:val="28"/>
          <w:lang w:val="uk-UA"/>
        </w:rPr>
        <w:t> </w:t>
      </w:r>
      <w:r w:rsidRPr="007B582D">
        <w:rPr>
          <w:rFonts w:eastAsia="Calibri"/>
          <w:sz w:val="28"/>
          <w:szCs w:val="28"/>
          <w:lang w:val="uk-UA"/>
        </w:rPr>
        <w:t>млн.грн., в то</w:t>
      </w:r>
      <w:r w:rsidR="00F670BB" w:rsidRPr="007B582D">
        <w:rPr>
          <w:rFonts w:eastAsia="Calibri"/>
          <w:sz w:val="28"/>
          <w:szCs w:val="28"/>
          <w:lang w:val="uk-UA"/>
        </w:rPr>
        <w:t xml:space="preserve">му числі </w:t>
      </w:r>
      <w:r w:rsidR="001431AE">
        <w:rPr>
          <w:rFonts w:eastAsia="Calibri"/>
          <w:sz w:val="28"/>
          <w:szCs w:val="28"/>
          <w:lang w:val="uk-UA"/>
        </w:rPr>
        <w:t>за</w:t>
      </w:r>
      <w:r w:rsidR="00F670BB" w:rsidRPr="007B582D">
        <w:rPr>
          <w:rFonts w:eastAsia="Calibri"/>
          <w:sz w:val="28"/>
          <w:szCs w:val="28"/>
          <w:lang w:val="uk-UA"/>
        </w:rPr>
        <w:t xml:space="preserve"> загальн</w:t>
      </w:r>
      <w:r w:rsidR="001431AE">
        <w:rPr>
          <w:rFonts w:eastAsia="Calibri"/>
          <w:sz w:val="28"/>
          <w:szCs w:val="28"/>
          <w:lang w:val="uk-UA"/>
        </w:rPr>
        <w:t>им</w:t>
      </w:r>
      <w:r w:rsidR="00F670BB" w:rsidRPr="007B582D">
        <w:rPr>
          <w:rFonts w:eastAsia="Calibri"/>
          <w:sz w:val="28"/>
          <w:szCs w:val="28"/>
          <w:lang w:val="uk-UA"/>
        </w:rPr>
        <w:t xml:space="preserve"> фонд</w:t>
      </w:r>
      <w:r w:rsidR="001431AE">
        <w:rPr>
          <w:rFonts w:eastAsia="Calibri"/>
          <w:sz w:val="28"/>
          <w:szCs w:val="28"/>
          <w:lang w:val="uk-UA"/>
        </w:rPr>
        <w:t>ом</w:t>
      </w:r>
      <w:r w:rsidR="00F670BB" w:rsidRPr="007B582D">
        <w:rPr>
          <w:rFonts w:eastAsia="Calibri"/>
          <w:sz w:val="28"/>
          <w:szCs w:val="28"/>
          <w:lang w:val="uk-UA"/>
        </w:rPr>
        <w:t xml:space="preserve"> – </w:t>
      </w:r>
      <w:r w:rsidR="00DF533C" w:rsidRPr="007B582D">
        <w:rPr>
          <w:rFonts w:eastAsia="Calibri"/>
          <w:sz w:val="28"/>
          <w:szCs w:val="28"/>
          <w:lang w:val="uk-UA"/>
        </w:rPr>
        <w:t>3</w:t>
      </w:r>
      <w:r w:rsidRPr="007B582D">
        <w:rPr>
          <w:rFonts w:eastAsia="Calibri"/>
          <w:sz w:val="28"/>
          <w:szCs w:val="28"/>
          <w:lang w:val="uk-UA"/>
        </w:rPr>
        <w:t> </w:t>
      </w:r>
      <w:r w:rsidR="00DF533C" w:rsidRPr="007B582D">
        <w:rPr>
          <w:rFonts w:eastAsia="Calibri"/>
          <w:sz w:val="28"/>
          <w:szCs w:val="28"/>
          <w:lang w:val="uk-UA"/>
        </w:rPr>
        <w:t>873</w:t>
      </w:r>
      <w:r w:rsidRPr="007B582D">
        <w:rPr>
          <w:rFonts w:eastAsia="Calibri"/>
          <w:sz w:val="28"/>
          <w:szCs w:val="28"/>
          <w:lang w:val="uk-UA"/>
        </w:rPr>
        <w:t>,</w:t>
      </w:r>
      <w:r w:rsidR="00DF533C" w:rsidRPr="007B582D">
        <w:rPr>
          <w:rFonts w:eastAsia="Calibri"/>
          <w:sz w:val="28"/>
          <w:szCs w:val="28"/>
          <w:lang w:val="uk-UA"/>
        </w:rPr>
        <w:t>0</w:t>
      </w:r>
      <w:r w:rsidR="00F670BB" w:rsidRPr="007B582D">
        <w:rPr>
          <w:rFonts w:eastAsia="Calibri"/>
          <w:sz w:val="28"/>
          <w:szCs w:val="28"/>
          <w:lang w:val="uk-UA"/>
        </w:rPr>
        <w:t> млн.грн. або 9</w:t>
      </w:r>
      <w:r w:rsidR="00DF533C" w:rsidRPr="007B582D">
        <w:rPr>
          <w:rFonts w:eastAsia="Calibri"/>
          <w:sz w:val="28"/>
          <w:szCs w:val="28"/>
          <w:lang w:val="uk-UA"/>
        </w:rPr>
        <w:t>5</w:t>
      </w:r>
      <w:r w:rsidR="00F670BB" w:rsidRPr="007B582D">
        <w:rPr>
          <w:rFonts w:eastAsia="Calibri"/>
          <w:sz w:val="28"/>
          <w:szCs w:val="28"/>
          <w:lang w:val="uk-UA"/>
        </w:rPr>
        <w:t>,</w:t>
      </w:r>
      <w:r w:rsidR="00DF533C" w:rsidRPr="007B582D">
        <w:rPr>
          <w:rFonts w:eastAsia="Calibri"/>
          <w:sz w:val="28"/>
          <w:szCs w:val="28"/>
          <w:lang w:val="uk-UA"/>
        </w:rPr>
        <w:t>7</w:t>
      </w:r>
      <w:r w:rsidRPr="007B582D">
        <w:rPr>
          <w:rFonts w:eastAsia="Calibri"/>
          <w:sz w:val="28"/>
          <w:szCs w:val="28"/>
          <w:lang w:val="uk-UA"/>
        </w:rPr>
        <w:t xml:space="preserve">% планових показників на відповідний період, </w:t>
      </w:r>
      <w:r w:rsidR="001431AE">
        <w:rPr>
          <w:rFonts w:eastAsia="Calibri"/>
          <w:sz w:val="28"/>
          <w:szCs w:val="28"/>
          <w:lang w:val="uk-UA"/>
        </w:rPr>
        <w:t>за</w:t>
      </w:r>
      <w:r w:rsidRPr="007B582D">
        <w:rPr>
          <w:rFonts w:eastAsia="Calibri"/>
          <w:sz w:val="28"/>
          <w:szCs w:val="28"/>
          <w:lang w:val="uk-UA"/>
        </w:rPr>
        <w:t xml:space="preserve"> спеціальн</w:t>
      </w:r>
      <w:r w:rsidR="001431AE">
        <w:rPr>
          <w:rFonts w:eastAsia="Calibri"/>
          <w:sz w:val="28"/>
          <w:szCs w:val="28"/>
          <w:lang w:val="uk-UA"/>
        </w:rPr>
        <w:t>им</w:t>
      </w:r>
      <w:r w:rsidRPr="007B582D">
        <w:rPr>
          <w:rFonts w:eastAsia="Calibri"/>
          <w:sz w:val="28"/>
          <w:szCs w:val="28"/>
          <w:lang w:val="uk-UA"/>
        </w:rPr>
        <w:t xml:space="preserve"> фонд</w:t>
      </w:r>
      <w:r w:rsidR="001431AE">
        <w:rPr>
          <w:rFonts w:eastAsia="Calibri"/>
          <w:sz w:val="28"/>
          <w:szCs w:val="28"/>
          <w:lang w:val="uk-UA"/>
        </w:rPr>
        <w:t>ом</w:t>
      </w:r>
      <w:r w:rsidRPr="007B582D">
        <w:rPr>
          <w:rFonts w:eastAsia="Calibri"/>
          <w:sz w:val="28"/>
          <w:szCs w:val="28"/>
          <w:lang w:val="uk-UA"/>
        </w:rPr>
        <w:t xml:space="preserve"> – </w:t>
      </w:r>
      <w:r w:rsidR="00DF533C" w:rsidRPr="007B582D">
        <w:rPr>
          <w:rFonts w:eastAsia="Calibri"/>
          <w:sz w:val="28"/>
          <w:szCs w:val="28"/>
          <w:lang w:val="uk-UA"/>
        </w:rPr>
        <w:t>369</w:t>
      </w:r>
      <w:r w:rsidRPr="007B582D">
        <w:rPr>
          <w:rFonts w:eastAsia="Calibri"/>
          <w:sz w:val="28"/>
          <w:szCs w:val="28"/>
          <w:lang w:val="uk-UA"/>
        </w:rPr>
        <w:t>,</w:t>
      </w:r>
      <w:r w:rsidR="00DF533C" w:rsidRPr="007B582D">
        <w:rPr>
          <w:rFonts w:eastAsia="Calibri"/>
          <w:sz w:val="28"/>
          <w:szCs w:val="28"/>
          <w:lang w:val="uk-UA"/>
        </w:rPr>
        <w:t>0</w:t>
      </w:r>
      <w:r w:rsidRPr="007B582D">
        <w:rPr>
          <w:rFonts w:eastAsia="Calibri"/>
          <w:sz w:val="28"/>
          <w:szCs w:val="28"/>
          <w:lang w:val="uk-UA"/>
        </w:rPr>
        <w:t xml:space="preserve"> млн.грн., з яких видатки бюджету розвитку – </w:t>
      </w:r>
      <w:r w:rsidR="00DF533C" w:rsidRPr="007B582D">
        <w:rPr>
          <w:rFonts w:eastAsia="Calibri"/>
          <w:sz w:val="28"/>
          <w:szCs w:val="28"/>
          <w:lang w:val="uk-UA"/>
        </w:rPr>
        <w:t>260</w:t>
      </w:r>
      <w:r w:rsidRPr="007B582D">
        <w:rPr>
          <w:rFonts w:eastAsia="Calibri"/>
          <w:sz w:val="28"/>
          <w:szCs w:val="28"/>
          <w:lang w:val="uk-UA"/>
        </w:rPr>
        <w:t>,</w:t>
      </w:r>
      <w:r w:rsidR="00DF533C" w:rsidRPr="007B582D">
        <w:rPr>
          <w:rFonts w:eastAsia="Calibri"/>
          <w:sz w:val="28"/>
          <w:szCs w:val="28"/>
          <w:lang w:val="uk-UA"/>
        </w:rPr>
        <w:t>0</w:t>
      </w:r>
      <w:r w:rsidRPr="007B582D">
        <w:rPr>
          <w:rFonts w:eastAsia="Calibri"/>
          <w:sz w:val="28"/>
          <w:szCs w:val="28"/>
          <w:lang w:val="uk-UA"/>
        </w:rPr>
        <w:t xml:space="preserve"> млн.грн., що становить </w:t>
      </w:r>
      <w:r w:rsidR="00DF533C" w:rsidRPr="007B582D">
        <w:rPr>
          <w:rFonts w:eastAsia="Calibri"/>
          <w:sz w:val="28"/>
          <w:szCs w:val="28"/>
          <w:lang w:val="uk-UA"/>
        </w:rPr>
        <w:t>45</w:t>
      </w:r>
      <w:r w:rsidR="00F670BB" w:rsidRPr="007B582D">
        <w:rPr>
          <w:rFonts w:eastAsia="Calibri"/>
          <w:sz w:val="28"/>
          <w:szCs w:val="28"/>
          <w:lang w:val="uk-UA"/>
        </w:rPr>
        <w:t>,</w:t>
      </w:r>
      <w:r w:rsidR="00DF533C" w:rsidRPr="007B582D">
        <w:rPr>
          <w:rFonts w:eastAsia="Calibri"/>
          <w:sz w:val="28"/>
          <w:szCs w:val="28"/>
          <w:lang w:val="uk-UA"/>
        </w:rPr>
        <w:t>4</w:t>
      </w:r>
      <w:r w:rsidR="001431AE">
        <w:rPr>
          <w:rFonts w:eastAsia="Calibri"/>
          <w:sz w:val="28"/>
          <w:szCs w:val="28"/>
          <w:lang w:val="uk-UA"/>
        </w:rPr>
        <w:t>% планових показників</w:t>
      </w:r>
      <w:r w:rsidRPr="007B582D">
        <w:rPr>
          <w:rFonts w:eastAsia="Calibri"/>
          <w:sz w:val="28"/>
          <w:szCs w:val="28"/>
          <w:lang w:val="uk-UA"/>
        </w:rPr>
        <w:t>. До державного бюджету перераховано реверсної дотації в сумі 1</w:t>
      </w:r>
      <w:r w:rsidR="00DF533C" w:rsidRPr="007B582D">
        <w:rPr>
          <w:rFonts w:eastAsia="Calibri"/>
          <w:sz w:val="28"/>
          <w:szCs w:val="28"/>
          <w:lang w:val="uk-UA"/>
        </w:rPr>
        <w:t>87</w:t>
      </w:r>
      <w:r w:rsidRPr="007B582D">
        <w:rPr>
          <w:rFonts w:eastAsia="Calibri"/>
          <w:sz w:val="28"/>
          <w:szCs w:val="28"/>
          <w:lang w:val="uk-UA"/>
        </w:rPr>
        <w:t>,</w:t>
      </w:r>
      <w:r w:rsidR="00DF533C" w:rsidRPr="007B582D">
        <w:rPr>
          <w:rFonts w:eastAsia="Calibri"/>
          <w:sz w:val="28"/>
          <w:szCs w:val="28"/>
          <w:lang w:val="uk-UA"/>
        </w:rPr>
        <w:t>6</w:t>
      </w:r>
      <w:r w:rsidRPr="007B582D">
        <w:rPr>
          <w:rFonts w:eastAsia="Calibri"/>
          <w:sz w:val="28"/>
          <w:szCs w:val="28"/>
          <w:lang w:val="uk-UA"/>
        </w:rPr>
        <w:t> млн.грн., що дорівнює плановим показникам.</w:t>
      </w:r>
    </w:p>
    <w:p w:rsidR="00612A5A" w:rsidRPr="007B582D" w:rsidRDefault="00612A5A" w:rsidP="00612A5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Майже </w:t>
      </w:r>
      <w:r w:rsidR="00DF533C" w:rsidRPr="007B582D">
        <w:rPr>
          <w:rFonts w:eastAsia="Calibri"/>
          <w:sz w:val="28"/>
          <w:szCs w:val="28"/>
          <w:lang w:val="uk-UA"/>
        </w:rPr>
        <w:t>70</w:t>
      </w:r>
      <w:r w:rsidRPr="007B582D">
        <w:rPr>
          <w:rFonts w:eastAsia="Calibri"/>
          <w:sz w:val="28"/>
          <w:szCs w:val="28"/>
          <w:lang w:val="uk-UA"/>
        </w:rPr>
        <w:t>,</w:t>
      </w:r>
      <w:r w:rsidR="00DF533C" w:rsidRPr="007B582D">
        <w:rPr>
          <w:rFonts w:eastAsia="Calibri"/>
          <w:sz w:val="28"/>
          <w:szCs w:val="28"/>
          <w:lang w:val="uk-UA"/>
        </w:rPr>
        <w:t>5</w:t>
      </w:r>
      <w:r w:rsidRPr="007B582D">
        <w:rPr>
          <w:rFonts w:eastAsia="Calibri"/>
          <w:sz w:val="28"/>
          <w:szCs w:val="28"/>
          <w:lang w:val="uk-UA"/>
        </w:rPr>
        <w:t xml:space="preserve">% загального обсягу витрат склали захищені статті видатків, на які спрямовано </w:t>
      </w:r>
      <w:r w:rsidR="00DF533C" w:rsidRPr="007B582D">
        <w:rPr>
          <w:rFonts w:eastAsia="Calibri"/>
          <w:sz w:val="28"/>
          <w:szCs w:val="28"/>
          <w:lang w:val="uk-UA"/>
        </w:rPr>
        <w:t>2</w:t>
      </w:r>
      <w:r w:rsidR="00257161" w:rsidRPr="007B582D">
        <w:rPr>
          <w:rFonts w:eastAsia="Calibri"/>
          <w:sz w:val="28"/>
          <w:szCs w:val="28"/>
          <w:lang w:val="uk-UA"/>
        </w:rPr>
        <w:t> </w:t>
      </w:r>
      <w:r w:rsidR="00DF533C" w:rsidRPr="007B582D">
        <w:rPr>
          <w:rFonts w:eastAsia="Calibri"/>
          <w:sz w:val="28"/>
          <w:szCs w:val="28"/>
          <w:lang w:val="uk-UA"/>
        </w:rPr>
        <w:t>984</w:t>
      </w:r>
      <w:r w:rsidR="00257161" w:rsidRPr="007B582D">
        <w:rPr>
          <w:rFonts w:eastAsia="Calibri"/>
          <w:sz w:val="28"/>
          <w:szCs w:val="28"/>
          <w:lang w:val="uk-UA"/>
        </w:rPr>
        <w:t>,</w:t>
      </w:r>
      <w:r w:rsidR="00DF533C" w:rsidRPr="007B582D">
        <w:rPr>
          <w:rFonts w:eastAsia="Calibri"/>
          <w:sz w:val="28"/>
          <w:szCs w:val="28"/>
          <w:lang w:val="uk-UA"/>
        </w:rPr>
        <w:t>2</w:t>
      </w:r>
      <w:r w:rsidRPr="007B582D">
        <w:rPr>
          <w:rFonts w:eastAsia="Calibri"/>
          <w:sz w:val="28"/>
          <w:szCs w:val="28"/>
          <w:lang w:val="uk-UA"/>
        </w:rPr>
        <w:t> млн.грн. Виплата заробітної плати здійснювалась своєчасно та в повному обсязі, заборгованість перед працівниками бюджетних установ відсутня.</w:t>
      </w:r>
    </w:p>
    <w:p w:rsidR="00904989" w:rsidRPr="007B582D" w:rsidRDefault="00904989" w:rsidP="00904989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Видатки за незахищеними статтями проведені в сумі </w:t>
      </w:r>
      <w:r w:rsidR="00DF533C" w:rsidRPr="007B582D">
        <w:rPr>
          <w:rFonts w:eastAsia="Calibri"/>
          <w:sz w:val="28"/>
          <w:szCs w:val="28"/>
          <w:lang w:val="uk-UA"/>
        </w:rPr>
        <w:t>1 256</w:t>
      </w:r>
      <w:r w:rsidR="00202335" w:rsidRPr="007B582D">
        <w:rPr>
          <w:rFonts w:eastAsia="Calibri"/>
          <w:sz w:val="28"/>
          <w:szCs w:val="28"/>
          <w:lang w:val="uk-UA"/>
        </w:rPr>
        <w:t>,</w:t>
      </w:r>
      <w:r w:rsidR="00DF533C" w:rsidRPr="007B582D">
        <w:rPr>
          <w:rFonts w:eastAsia="Calibri"/>
          <w:sz w:val="28"/>
          <w:szCs w:val="28"/>
          <w:lang w:val="uk-UA"/>
        </w:rPr>
        <w:t>8</w:t>
      </w:r>
      <w:r w:rsidRPr="007B582D">
        <w:rPr>
          <w:rFonts w:eastAsia="Calibri"/>
          <w:sz w:val="28"/>
          <w:szCs w:val="28"/>
          <w:lang w:val="uk-UA"/>
        </w:rPr>
        <w:t xml:space="preserve"> млн.грн., в тому числі за загальним фондом бюджету міста – </w:t>
      </w:r>
      <w:r w:rsidR="0083205F" w:rsidRPr="007B582D">
        <w:rPr>
          <w:rFonts w:eastAsia="Calibri"/>
          <w:sz w:val="28"/>
          <w:szCs w:val="28"/>
          <w:lang w:val="uk-UA"/>
        </w:rPr>
        <w:t>888</w:t>
      </w:r>
      <w:r w:rsidR="00257161" w:rsidRPr="007B582D">
        <w:rPr>
          <w:rFonts w:eastAsia="Calibri"/>
          <w:sz w:val="28"/>
          <w:szCs w:val="28"/>
          <w:lang w:val="uk-UA"/>
        </w:rPr>
        <w:t>,</w:t>
      </w:r>
      <w:r w:rsidR="0083205F" w:rsidRPr="007B582D">
        <w:rPr>
          <w:rFonts w:eastAsia="Calibri"/>
          <w:sz w:val="28"/>
          <w:szCs w:val="28"/>
          <w:lang w:val="uk-UA"/>
        </w:rPr>
        <w:t>8</w:t>
      </w:r>
      <w:r w:rsidRPr="007B582D">
        <w:rPr>
          <w:rFonts w:eastAsia="Calibri"/>
          <w:sz w:val="28"/>
          <w:szCs w:val="28"/>
          <w:lang w:val="uk-UA"/>
        </w:rPr>
        <w:t xml:space="preserve"> млн.грн. або </w:t>
      </w:r>
      <w:r w:rsidR="00257161" w:rsidRPr="007B582D">
        <w:rPr>
          <w:rFonts w:eastAsia="Calibri"/>
          <w:sz w:val="28"/>
          <w:szCs w:val="28"/>
          <w:lang w:val="uk-UA"/>
        </w:rPr>
        <w:t>9</w:t>
      </w:r>
      <w:r w:rsidR="0083205F" w:rsidRPr="007B582D">
        <w:rPr>
          <w:rFonts w:eastAsia="Calibri"/>
          <w:sz w:val="28"/>
          <w:szCs w:val="28"/>
          <w:lang w:val="uk-UA"/>
        </w:rPr>
        <w:t>0</w:t>
      </w:r>
      <w:r w:rsidR="00257161" w:rsidRPr="007B582D">
        <w:rPr>
          <w:rFonts w:eastAsia="Calibri"/>
          <w:sz w:val="28"/>
          <w:szCs w:val="28"/>
          <w:lang w:val="uk-UA"/>
        </w:rPr>
        <w:t>,</w:t>
      </w:r>
      <w:r w:rsidR="0083205F" w:rsidRPr="007B582D">
        <w:rPr>
          <w:rFonts w:eastAsia="Calibri"/>
          <w:sz w:val="28"/>
          <w:szCs w:val="28"/>
          <w:lang w:val="uk-UA"/>
        </w:rPr>
        <w:t>6</w:t>
      </w:r>
      <w:r w:rsidRPr="007B582D">
        <w:rPr>
          <w:rFonts w:eastAsia="Calibri"/>
          <w:sz w:val="28"/>
          <w:szCs w:val="28"/>
          <w:lang w:val="uk-UA"/>
        </w:rPr>
        <w:t>% планових показників.</w:t>
      </w:r>
    </w:p>
    <w:p w:rsidR="00904989" w:rsidRPr="007B582D" w:rsidRDefault="00904989" w:rsidP="00612A5A">
      <w:pPr>
        <w:ind w:firstLine="708"/>
        <w:jc w:val="both"/>
        <w:rPr>
          <w:rFonts w:eastAsia="Calibri"/>
          <w:sz w:val="12"/>
          <w:szCs w:val="12"/>
          <w:lang w:val="uk-UA"/>
        </w:rPr>
      </w:pPr>
    </w:p>
    <w:p w:rsidR="00612A5A" w:rsidRPr="007B582D" w:rsidRDefault="00612A5A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  <w:r w:rsidRPr="007B582D">
        <w:rPr>
          <w:b/>
          <w:i/>
          <w:sz w:val="26"/>
          <w:szCs w:val="26"/>
          <w:lang w:val="uk-UA"/>
        </w:rPr>
        <w:t xml:space="preserve">Структура видатків бюджету міста за функціональною ознакою </w:t>
      </w:r>
    </w:p>
    <w:p w:rsidR="00612A5A" w:rsidRPr="007B582D" w:rsidRDefault="00F670BB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  <w:r w:rsidRPr="007B582D">
        <w:rPr>
          <w:b/>
          <w:i/>
          <w:sz w:val="26"/>
          <w:szCs w:val="26"/>
          <w:lang w:val="uk-UA"/>
        </w:rPr>
        <w:t>за І півріччя 201</w:t>
      </w:r>
      <w:r w:rsidR="0083205F" w:rsidRPr="007B582D">
        <w:rPr>
          <w:b/>
          <w:i/>
          <w:sz w:val="26"/>
          <w:szCs w:val="26"/>
          <w:lang w:val="uk-UA"/>
        </w:rPr>
        <w:t>9</w:t>
      </w:r>
      <w:r w:rsidR="00612A5A" w:rsidRPr="007B582D">
        <w:rPr>
          <w:b/>
          <w:i/>
          <w:sz w:val="26"/>
          <w:szCs w:val="26"/>
          <w:lang w:val="uk-UA"/>
        </w:rPr>
        <w:t xml:space="preserve"> року</w:t>
      </w:r>
    </w:p>
    <w:p w:rsidR="00C901DE" w:rsidRPr="007B582D" w:rsidRDefault="0083205F" w:rsidP="005E396A">
      <w:pPr>
        <w:jc w:val="center"/>
        <w:rPr>
          <w:b/>
          <w:i/>
          <w:sz w:val="16"/>
          <w:szCs w:val="16"/>
          <w:lang w:val="uk-UA"/>
        </w:rPr>
      </w:pPr>
      <w:r w:rsidRPr="007B582D">
        <w:rPr>
          <w:b/>
          <w:i/>
          <w:noProof/>
          <w:sz w:val="16"/>
          <w:szCs w:val="16"/>
        </w:rPr>
        <w:drawing>
          <wp:inline distT="0" distB="0" distL="0" distR="0">
            <wp:extent cx="5615516" cy="3251200"/>
            <wp:effectExtent l="571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2A5A" w:rsidRPr="007B582D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>Видатки проведені за наступними основними напрямками:</w:t>
      </w:r>
    </w:p>
    <w:p w:rsidR="00612A5A" w:rsidRPr="007B582D" w:rsidRDefault="00612A5A" w:rsidP="00612A5A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На реалізацію державних та міських програм соціального захисту витрачено </w:t>
      </w:r>
      <w:r w:rsidR="008D16FF" w:rsidRPr="007B582D">
        <w:rPr>
          <w:rFonts w:eastAsia="Calibri"/>
          <w:sz w:val="28"/>
          <w:szCs w:val="28"/>
          <w:lang w:val="uk-UA"/>
        </w:rPr>
        <w:t>661,6</w:t>
      </w:r>
      <w:r w:rsidR="006E1665" w:rsidRPr="007B582D">
        <w:rPr>
          <w:rFonts w:eastAsia="Calibri"/>
          <w:sz w:val="28"/>
          <w:szCs w:val="28"/>
          <w:lang w:val="uk-UA"/>
        </w:rPr>
        <w:t> млн.грн. або 9</w:t>
      </w:r>
      <w:r w:rsidR="008D16FF" w:rsidRPr="007B582D">
        <w:rPr>
          <w:rFonts w:eastAsia="Calibri"/>
          <w:sz w:val="28"/>
          <w:szCs w:val="28"/>
          <w:lang w:val="uk-UA"/>
        </w:rPr>
        <w:t>4</w:t>
      </w:r>
      <w:r w:rsidR="006E1665" w:rsidRPr="007B582D">
        <w:rPr>
          <w:rFonts w:eastAsia="Calibri"/>
          <w:sz w:val="28"/>
          <w:szCs w:val="28"/>
          <w:lang w:val="uk-UA"/>
        </w:rPr>
        <w:t>,</w:t>
      </w:r>
      <w:r w:rsidR="008D16FF" w:rsidRPr="007B582D">
        <w:rPr>
          <w:rFonts w:eastAsia="Calibri"/>
          <w:sz w:val="28"/>
          <w:szCs w:val="28"/>
          <w:lang w:val="uk-UA"/>
        </w:rPr>
        <w:t>8</w:t>
      </w:r>
      <w:r w:rsidRPr="007B582D">
        <w:rPr>
          <w:rFonts w:eastAsia="Calibri"/>
          <w:sz w:val="28"/>
          <w:szCs w:val="28"/>
          <w:lang w:val="uk-UA"/>
        </w:rPr>
        <w:t>% до плану звітн</w:t>
      </w:r>
      <w:r w:rsidR="009A452D">
        <w:rPr>
          <w:rFonts w:eastAsia="Calibri"/>
          <w:sz w:val="28"/>
          <w:szCs w:val="28"/>
          <w:lang w:val="uk-UA"/>
        </w:rPr>
        <w:t>ого</w:t>
      </w:r>
      <w:r w:rsidRPr="007B582D">
        <w:rPr>
          <w:rFonts w:eastAsia="Calibri"/>
          <w:sz w:val="28"/>
          <w:szCs w:val="28"/>
          <w:lang w:val="uk-UA"/>
        </w:rPr>
        <w:t xml:space="preserve"> період</w:t>
      </w:r>
      <w:r w:rsidR="009A452D">
        <w:rPr>
          <w:rFonts w:eastAsia="Calibri"/>
          <w:sz w:val="28"/>
          <w:szCs w:val="28"/>
          <w:lang w:val="uk-UA"/>
        </w:rPr>
        <w:t>у,</w:t>
      </w:r>
      <w:r w:rsidRPr="007B582D">
        <w:rPr>
          <w:rFonts w:eastAsia="Calibri"/>
          <w:sz w:val="28"/>
          <w:szCs w:val="28"/>
          <w:lang w:val="uk-UA"/>
        </w:rPr>
        <w:t xml:space="preserve"> з яких за рахунок відповідних субв</w:t>
      </w:r>
      <w:r w:rsidR="006E1665" w:rsidRPr="007B582D">
        <w:rPr>
          <w:rFonts w:eastAsia="Calibri"/>
          <w:sz w:val="28"/>
          <w:szCs w:val="28"/>
          <w:lang w:val="uk-UA"/>
        </w:rPr>
        <w:t xml:space="preserve">енцій з державного </w:t>
      </w:r>
      <w:r w:rsidR="00D80FF0" w:rsidRPr="007B582D">
        <w:rPr>
          <w:rFonts w:eastAsia="Calibri"/>
          <w:sz w:val="28"/>
          <w:szCs w:val="28"/>
          <w:lang w:val="uk-UA"/>
        </w:rPr>
        <w:t xml:space="preserve">бюджету – </w:t>
      </w:r>
      <w:r w:rsidR="00AE3215" w:rsidRPr="007B582D">
        <w:rPr>
          <w:rFonts w:eastAsia="Calibri"/>
          <w:sz w:val="28"/>
          <w:szCs w:val="28"/>
          <w:lang w:val="uk-UA"/>
        </w:rPr>
        <w:t>622</w:t>
      </w:r>
      <w:r w:rsidR="007136F2" w:rsidRPr="007B582D">
        <w:rPr>
          <w:rFonts w:eastAsia="Calibri"/>
          <w:sz w:val="28"/>
          <w:szCs w:val="28"/>
          <w:lang w:val="uk-UA"/>
        </w:rPr>
        <w:t>,</w:t>
      </w:r>
      <w:r w:rsidR="00AE3215" w:rsidRPr="007B582D">
        <w:rPr>
          <w:rFonts w:eastAsia="Calibri"/>
          <w:sz w:val="28"/>
          <w:szCs w:val="28"/>
          <w:lang w:val="uk-UA"/>
        </w:rPr>
        <w:t>5</w:t>
      </w:r>
      <w:r w:rsidRPr="007B582D">
        <w:rPr>
          <w:rFonts w:eastAsia="Calibri"/>
          <w:sz w:val="28"/>
          <w:szCs w:val="28"/>
          <w:lang w:val="uk-UA"/>
        </w:rPr>
        <w:t> млн.грн.</w:t>
      </w:r>
    </w:p>
    <w:p w:rsidR="00264489" w:rsidRPr="007B582D" w:rsidRDefault="00264489" w:rsidP="00264489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lastRenderedPageBreak/>
        <w:t xml:space="preserve">Кошти субвенцій спрямовані на надання допомоги сім’ям з дітьми, малозабезпеченим сім’ям, інвалідам з дитинства, дітям-інвалідам, тимчасової державної допомоги дітям у сумі 363,7 млн.грн., надання пільг і субсидій населенню при оплаті електроенергії, природного газу, послуг </w:t>
      </w:r>
      <w:proofErr w:type="spellStart"/>
      <w:r w:rsidRPr="007B582D">
        <w:rPr>
          <w:rFonts w:eastAsia="Calibri"/>
          <w:sz w:val="28"/>
          <w:szCs w:val="28"/>
          <w:lang w:val="uk-UA"/>
        </w:rPr>
        <w:t>тепло-</w:t>
      </w:r>
      <w:proofErr w:type="spellEnd"/>
      <w:r w:rsidRPr="007B582D">
        <w:rPr>
          <w:rFonts w:eastAsia="Calibri"/>
          <w:sz w:val="28"/>
          <w:szCs w:val="28"/>
          <w:lang w:val="uk-UA"/>
        </w:rPr>
        <w:t>, водопостачання і водовідведення, квартирної плати, вивезення побутового сміття та рідких нечистот, твердого та рідкого пічного побутового палива і скрапленого газу – 256,6 млн.грн., виплату державної соціальної допомоги на дітей-сиріт та дітей, позбавлених батьківського піклування в рамках програми «Гроші ходять за дитиною» - 2,2 млн.грн.</w:t>
      </w:r>
    </w:p>
    <w:p w:rsidR="00264489" w:rsidRPr="007B582D" w:rsidRDefault="00264489" w:rsidP="00264489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За рахунок </w:t>
      </w:r>
      <w:r w:rsidR="009A452D">
        <w:rPr>
          <w:rFonts w:eastAsia="Calibri"/>
          <w:sz w:val="28"/>
          <w:szCs w:val="28"/>
          <w:lang w:val="uk-UA"/>
        </w:rPr>
        <w:t xml:space="preserve">власних доходів </w:t>
      </w:r>
      <w:r w:rsidRPr="007B582D">
        <w:rPr>
          <w:rFonts w:eastAsia="Calibri"/>
          <w:sz w:val="28"/>
          <w:szCs w:val="28"/>
          <w:lang w:val="uk-UA"/>
        </w:rPr>
        <w:t xml:space="preserve">бюджету міста </w:t>
      </w:r>
      <w:r w:rsidR="009A452D">
        <w:rPr>
          <w:rFonts w:eastAsia="Calibri"/>
          <w:sz w:val="28"/>
          <w:szCs w:val="28"/>
          <w:lang w:val="uk-UA"/>
        </w:rPr>
        <w:t>на ко</w:t>
      </w:r>
      <w:r w:rsidRPr="007B582D">
        <w:rPr>
          <w:rFonts w:eastAsia="Calibri"/>
          <w:sz w:val="28"/>
          <w:szCs w:val="28"/>
          <w:lang w:val="uk-UA"/>
        </w:rPr>
        <w:t>мпенсаці</w:t>
      </w:r>
      <w:r w:rsidR="009A452D">
        <w:rPr>
          <w:rFonts w:eastAsia="Calibri"/>
          <w:sz w:val="28"/>
          <w:szCs w:val="28"/>
          <w:lang w:val="uk-UA"/>
        </w:rPr>
        <w:t>ю</w:t>
      </w:r>
      <w:r w:rsidR="0017417E" w:rsidRPr="007B582D">
        <w:rPr>
          <w:rFonts w:eastAsia="Calibri"/>
          <w:sz w:val="28"/>
          <w:szCs w:val="28"/>
          <w:lang w:val="uk-UA"/>
        </w:rPr>
        <w:t xml:space="preserve"> </w:t>
      </w:r>
      <w:r w:rsidR="009A452D">
        <w:rPr>
          <w:rFonts w:eastAsia="Calibri"/>
          <w:sz w:val="28"/>
          <w:szCs w:val="28"/>
          <w:lang w:val="uk-UA"/>
        </w:rPr>
        <w:t xml:space="preserve">за </w:t>
      </w:r>
      <w:r w:rsidR="0017417E" w:rsidRPr="007B582D">
        <w:rPr>
          <w:rFonts w:eastAsia="Calibri"/>
          <w:sz w:val="28"/>
          <w:szCs w:val="28"/>
          <w:lang w:val="uk-UA"/>
        </w:rPr>
        <w:t>пільгов</w:t>
      </w:r>
      <w:r w:rsidR="009A452D">
        <w:rPr>
          <w:rFonts w:eastAsia="Calibri"/>
          <w:sz w:val="28"/>
          <w:szCs w:val="28"/>
          <w:lang w:val="uk-UA"/>
        </w:rPr>
        <w:t>ий</w:t>
      </w:r>
      <w:r w:rsidR="0017417E" w:rsidRPr="007B582D">
        <w:rPr>
          <w:rFonts w:eastAsia="Calibri"/>
          <w:sz w:val="28"/>
          <w:szCs w:val="28"/>
          <w:lang w:val="uk-UA"/>
        </w:rPr>
        <w:t xml:space="preserve"> проїзд </w:t>
      </w:r>
      <w:r w:rsidRPr="007B582D">
        <w:rPr>
          <w:rFonts w:eastAsia="Calibri"/>
          <w:sz w:val="28"/>
          <w:szCs w:val="28"/>
          <w:lang w:val="uk-UA"/>
        </w:rPr>
        <w:t>окремих категорій громадян різними видами транспорту спрямовано 7,0 млн.грн.</w:t>
      </w:r>
      <w:r w:rsidR="009A452D">
        <w:rPr>
          <w:rFonts w:eastAsia="Calibri"/>
          <w:sz w:val="28"/>
          <w:szCs w:val="28"/>
          <w:lang w:val="uk-UA"/>
        </w:rPr>
        <w:t>,</w:t>
      </w:r>
      <w:r w:rsidRPr="007B582D">
        <w:rPr>
          <w:rFonts w:eastAsia="Calibri"/>
          <w:sz w:val="28"/>
          <w:szCs w:val="28"/>
          <w:lang w:val="uk-UA"/>
        </w:rPr>
        <w:t xml:space="preserve"> надання пільг на послуги зв’язку та інших, передбачених законодавством пільг, </w:t>
      </w:r>
      <w:r w:rsidR="009A452D">
        <w:rPr>
          <w:rFonts w:eastAsia="Calibri"/>
          <w:sz w:val="28"/>
          <w:szCs w:val="28"/>
          <w:lang w:val="uk-UA"/>
        </w:rPr>
        <w:t>-</w:t>
      </w:r>
      <w:r w:rsidRPr="007B582D">
        <w:rPr>
          <w:rFonts w:eastAsia="Calibri"/>
          <w:sz w:val="28"/>
          <w:szCs w:val="28"/>
          <w:lang w:val="uk-UA"/>
        </w:rPr>
        <w:t xml:space="preserve"> 1,2 млн.грн. </w:t>
      </w:r>
      <w:r w:rsidR="009A452D">
        <w:rPr>
          <w:rFonts w:eastAsia="Calibri"/>
          <w:sz w:val="28"/>
          <w:szCs w:val="28"/>
          <w:lang w:val="uk-UA"/>
        </w:rPr>
        <w:t>(</w:t>
      </w:r>
      <w:r w:rsidRPr="007B582D">
        <w:rPr>
          <w:rFonts w:eastAsia="Calibri"/>
          <w:sz w:val="28"/>
          <w:szCs w:val="28"/>
          <w:lang w:val="uk-UA"/>
        </w:rPr>
        <w:t>пільгами скористалося понад 3,0 </w:t>
      </w:r>
      <w:proofErr w:type="spellStart"/>
      <w:r w:rsidRPr="007B582D">
        <w:rPr>
          <w:rFonts w:eastAsia="Calibri"/>
          <w:sz w:val="28"/>
          <w:szCs w:val="28"/>
          <w:lang w:val="uk-UA"/>
        </w:rPr>
        <w:t>тис.чол</w:t>
      </w:r>
      <w:proofErr w:type="spellEnd"/>
      <w:r w:rsidRPr="007B582D">
        <w:rPr>
          <w:rFonts w:eastAsia="Calibri"/>
          <w:sz w:val="28"/>
          <w:szCs w:val="28"/>
          <w:lang w:val="uk-UA"/>
        </w:rPr>
        <w:t>.</w:t>
      </w:r>
      <w:r w:rsidR="009A452D">
        <w:rPr>
          <w:rFonts w:eastAsia="Calibri"/>
          <w:sz w:val="28"/>
          <w:szCs w:val="28"/>
          <w:lang w:val="uk-UA"/>
        </w:rPr>
        <w:t>).</w:t>
      </w:r>
    </w:p>
    <w:p w:rsidR="00264489" w:rsidRPr="007B582D" w:rsidRDefault="00264489" w:rsidP="00264489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Виплати грошової компенсації фізичним особам, які надають соціальні послуги громадянам похилого віку, інвалідам, хворим, які не здатні до</w:t>
      </w:r>
      <w:r w:rsidR="009A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самообслуговування та потребують </w:t>
      </w:r>
      <w:r w:rsidR="0017417E"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сторонньої допомоги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A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проведені в сумі 2,3 млн.грн.</w:t>
      </w:r>
    </w:p>
    <w:p w:rsidR="00264489" w:rsidRPr="007B582D" w:rsidRDefault="00264489" w:rsidP="00264489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>На підтримку ветеранських організацій міста витрачено 0,9 млн.грн., організацію та проведення громадських робіт – 0,8 млн.грн.</w:t>
      </w:r>
    </w:p>
    <w:p w:rsidR="00264489" w:rsidRPr="007B582D" w:rsidRDefault="00264489" w:rsidP="00F527AE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Видатки на інші </w:t>
      </w:r>
      <w:r w:rsidR="009A452D">
        <w:rPr>
          <w:rFonts w:eastAsia="Calibri"/>
          <w:sz w:val="28"/>
          <w:szCs w:val="28"/>
          <w:lang w:val="uk-UA"/>
        </w:rPr>
        <w:t xml:space="preserve">заходи із </w:t>
      </w:r>
      <w:r w:rsidRPr="007B582D">
        <w:rPr>
          <w:rFonts w:eastAsia="Calibri"/>
          <w:sz w:val="28"/>
          <w:szCs w:val="28"/>
          <w:lang w:val="uk-UA"/>
        </w:rPr>
        <w:t>соціальн</w:t>
      </w:r>
      <w:r w:rsidR="009A452D">
        <w:rPr>
          <w:rFonts w:eastAsia="Calibri"/>
          <w:sz w:val="28"/>
          <w:szCs w:val="28"/>
          <w:lang w:val="uk-UA"/>
        </w:rPr>
        <w:t xml:space="preserve">ого </w:t>
      </w:r>
      <w:r w:rsidRPr="007B582D">
        <w:rPr>
          <w:rFonts w:eastAsia="Calibri"/>
          <w:sz w:val="28"/>
          <w:szCs w:val="28"/>
          <w:lang w:val="uk-UA"/>
        </w:rPr>
        <w:t>захист</w:t>
      </w:r>
      <w:r w:rsidR="009A452D">
        <w:rPr>
          <w:rFonts w:eastAsia="Calibri"/>
          <w:sz w:val="28"/>
          <w:szCs w:val="28"/>
          <w:lang w:val="uk-UA"/>
        </w:rPr>
        <w:t>у населення</w:t>
      </w:r>
      <w:r w:rsidRPr="007B582D">
        <w:rPr>
          <w:rFonts w:eastAsia="Calibri"/>
          <w:sz w:val="28"/>
          <w:szCs w:val="28"/>
          <w:lang w:val="uk-UA"/>
        </w:rPr>
        <w:t xml:space="preserve"> склали 26,8</w:t>
      </w:r>
      <w:r w:rsidR="009A452D">
        <w:rPr>
          <w:rFonts w:eastAsia="Calibri"/>
          <w:sz w:val="28"/>
          <w:szCs w:val="28"/>
          <w:lang w:val="uk-UA"/>
        </w:rPr>
        <w:t> </w:t>
      </w:r>
      <w:r w:rsidRPr="007B582D">
        <w:rPr>
          <w:rFonts w:eastAsia="Calibri"/>
          <w:sz w:val="28"/>
          <w:szCs w:val="28"/>
          <w:lang w:val="uk-UA"/>
        </w:rPr>
        <w:t xml:space="preserve">млн.грн. </w:t>
      </w:r>
      <w:r w:rsidR="0017417E" w:rsidRPr="007B582D">
        <w:rPr>
          <w:rFonts w:eastAsia="Calibri"/>
          <w:sz w:val="28"/>
          <w:szCs w:val="28"/>
          <w:lang w:val="uk-UA"/>
        </w:rPr>
        <w:t>За рахунок цих коштів в</w:t>
      </w:r>
      <w:r w:rsidRPr="007B582D">
        <w:rPr>
          <w:rFonts w:eastAsia="Calibri"/>
          <w:sz w:val="28"/>
          <w:szCs w:val="28"/>
          <w:lang w:val="uk-UA"/>
        </w:rPr>
        <w:t xml:space="preserve"> ході виконання завдань Міської комплексної програми соціального захисту населення матеріальну допомогу отримали 13,6 тис. мешканців міста, також 4,4 тис. громадян отримали допомогу за рахунок коштів депутатського фонду. </w:t>
      </w:r>
      <w:r w:rsidR="0017417E" w:rsidRPr="007B582D">
        <w:rPr>
          <w:rFonts w:eastAsia="Calibri"/>
          <w:sz w:val="28"/>
          <w:szCs w:val="28"/>
          <w:lang w:val="uk-UA"/>
        </w:rPr>
        <w:t xml:space="preserve">Також матеріальну підтримку отримали 630 обдарованих молодих громадян міста. </w:t>
      </w:r>
    </w:p>
    <w:p w:rsidR="006E51E7" w:rsidRPr="007B582D" w:rsidRDefault="00612A5A" w:rsidP="006E51E7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На забезпечення функціонування та розвиток установ соціально-культурної сфери спрямовано </w:t>
      </w:r>
      <w:r w:rsidR="008D16FF" w:rsidRPr="007B582D">
        <w:rPr>
          <w:rFonts w:eastAsia="Calibri"/>
          <w:sz w:val="28"/>
          <w:szCs w:val="28"/>
          <w:lang w:val="uk-UA"/>
        </w:rPr>
        <w:t>2 </w:t>
      </w:r>
      <w:r w:rsidR="008E5843" w:rsidRPr="007B582D">
        <w:rPr>
          <w:rFonts w:eastAsia="Calibri"/>
          <w:sz w:val="28"/>
          <w:szCs w:val="28"/>
          <w:lang w:val="uk-UA"/>
        </w:rPr>
        <w:t>137</w:t>
      </w:r>
      <w:r w:rsidRPr="007B582D">
        <w:rPr>
          <w:rFonts w:eastAsia="Calibri"/>
          <w:sz w:val="28"/>
          <w:szCs w:val="28"/>
          <w:lang w:val="uk-UA"/>
        </w:rPr>
        <w:t>,</w:t>
      </w:r>
      <w:r w:rsidR="008E5843" w:rsidRPr="007B582D">
        <w:rPr>
          <w:rFonts w:eastAsia="Calibri"/>
          <w:sz w:val="28"/>
          <w:szCs w:val="28"/>
          <w:lang w:val="uk-UA"/>
        </w:rPr>
        <w:t>6</w:t>
      </w:r>
      <w:r w:rsidR="001F415D" w:rsidRPr="007B582D">
        <w:rPr>
          <w:rFonts w:eastAsia="Calibri"/>
          <w:sz w:val="28"/>
          <w:szCs w:val="28"/>
          <w:lang w:val="uk-UA"/>
        </w:rPr>
        <w:t xml:space="preserve"> млн.грн., що становить 46,1</w:t>
      </w:r>
      <w:r w:rsidRPr="007B582D">
        <w:rPr>
          <w:rFonts w:eastAsia="Calibri"/>
          <w:sz w:val="28"/>
          <w:szCs w:val="28"/>
          <w:lang w:val="uk-UA"/>
        </w:rPr>
        <w:t>% загального обсягу витрат бюджету міста</w:t>
      </w:r>
      <w:r w:rsidR="001F415D" w:rsidRPr="007B582D">
        <w:rPr>
          <w:rFonts w:eastAsia="Calibri"/>
          <w:sz w:val="28"/>
          <w:szCs w:val="28"/>
          <w:lang w:val="uk-UA"/>
        </w:rPr>
        <w:t>, в тому числі на освіту – 1 </w:t>
      </w:r>
      <w:r w:rsidR="00742D7C" w:rsidRPr="007B582D">
        <w:rPr>
          <w:rFonts w:eastAsia="Calibri"/>
          <w:sz w:val="28"/>
          <w:szCs w:val="28"/>
          <w:lang w:val="uk-UA"/>
        </w:rPr>
        <w:t>425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742D7C" w:rsidRPr="007B582D">
        <w:rPr>
          <w:rFonts w:eastAsia="Calibri"/>
          <w:sz w:val="28"/>
          <w:szCs w:val="28"/>
          <w:lang w:val="uk-UA"/>
        </w:rPr>
        <w:t>8</w:t>
      </w:r>
      <w:r w:rsidRPr="007B582D">
        <w:rPr>
          <w:rFonts w:eastAsia="Calibri"/>
          <w:sz w:val="28"/>
          <w:szCs w:val="28"/>
          <w:lang w:val="uk-UA"/>
        </w:rPr>
        <w:t xml:space="preserve"> млн.грн.</w:t>
      </w:r>
      <w:r w:rsidR="00D85376" w:rsidRPr="007B582D">
        <w:rPr>
          <w:rFonts w:eastAsia="Calibri"/>
          <w:sz w:val="28"/>
          <w:szCs w:val="28"/>
          <w:lang w:val="uk-UA"/>
        </w:rPr>
        <w:t xml:space="preserve"> </w:t>
      </w:r>
      <w:r w:rsidR="00035312" w:rsidRPr="007B582D">
        <w:rPr>
          <w:rFonts w:eastAsia="Calibri"/>
          <w:sz w:val="28"/>
          <w:szCs w:val="28"/>
          <w:lang w:val="uk-UA"/>
        </w:rPr>
        <w:t xml:space="preserve">або </w:t>
      </w:r>
      <w:r w:rsidR="00DE2AE8" w:rsidRPr="007B582D">
        <w:rPr>
          <w:rFonts w:eastAsia="Calibri"/>
          <w:sz w:val="28"/>
          <w:szCs w:val="28"/>
          <w:lang w:val="uk-UA"/>
        </w:rPr>
        <w:t>54,1</w:t>
      </w:r>
      <w:r w:rsidR="00035312" w:rsidRPr="007B582D">
        <w:rPr>
          <w:rFonts w:eastAsia="Calibri"/>
          <w:sz w:val="28"/>
          <w:szCs w:val="28"/>
          <w:lang w:val="uk-UA"/>
        </w:rPr>
        <w:t xml:space="preserve">% до плану </w:t>
      </w:r>
      <w:r w:rsidR="00DE2AE8" w:rsidRPr="007B582D">
        <w:rPr>
          <w:rFonts w:eastAsia="Calibri"/>
          <w:sz w:val="28"/>
          <w:szCs w:val="28"/>
          <w:lang w:val="uk-UA"/>
        </w:rPr>
        <w:t xml:space="preserve">на рік </w:t>
      </w:r>
      <w:r w:rsidR="00D85376" w:rsidRPr="007B582D">
        <w:rPr>
          <w:rFonts w:eastAsia="Calibri"/>
          <w:sz w:val="28"/>
          <w:szCs w:val="28"/>
          <w:lang w:val="uk-UA"/>
        </w:rPr>
        <w:t xml:space="preserve">(за рахунок освітньої субвенції з державного бюджету – </w:t>
      </w:r>
      <w:r w:rsidR="00742D7C" w:rsidRPr="007B582D">
        <w:rPr>
          <w:rFonts w:eastAsia="Calibri"/>
          <w:sz w:val="28"/>
          <w:szCs w:val="28"/>
          <w:lang w:val="uk-UA"/>
        </w:rPr>
        <w:t>479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742D7C" w:rsidRPr="007B582D">
        <w:rPr>
          <w:rFonts w:eastAsia="Calibri"/>
          <w:sz w:val="28"/>
          <w:szCs w:val="28"/>
          <w:lang w:val="uk-UA"/>
        </w:rPr>
        <w:t>3</w:t>
      </w:r>
      <w:r w:rsidR="00D85376" w:rsidRPr="007B582D">
        <w:rPr>
          <w:rFonts w:eastAsia="Calibri"/>
          <w:sz w:val="28"/>
          <w:szCs w:val="28"/>
          <w:lang w:val="uk-UA"/>
        </w:rPr>
        <w:t> млн.грн.)</w:t>
      </w:r>
      <w:r w:rsidRPr="007B582D">
        <w:rPr>
          <w:rFonts w:eastAsia="Calibri"/>
          <w:sz w:val="28"/>
          <w:szCs w:val="28"/>
          <w:lang w:val="uk-UA"/>
        </w:rPr>
        <w:t xml:space="preserve">, охорону здоров'я – </w:t>
      </w:r>
      <w:r w:rsidR="00742D7C" w:rsidRPr="007B582D">
        <w:rPr>
          <w:rFonts w:eastAsia="Calibri"/>
          <w:sz w:val="28"/>
          <w:szCs w:val="28"/>
          <w:lang w:val="uk-UA"/>
        </w:rPr>
        <w:t>581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742D7C" w:rsidRPr="007B582D">
        <w:rPr>
          <w:rFonts w:eastAsia="Calibri"/>
          <w:sz w:val="28"/>
          <w:szCs w:val="28"/>
          <w:lang w:val="uk-UA"/>
        </w:rPr>
        <w:t>0</w:t>
      </w:r>
      <w:r w:rsidRPr="007B582D">
        <w:rPr>
          <w:rFonts w:eastAsia="Calibri"/>
          <w:sz w:val="28"/>
          <w:szCs w:val="28"/>
          <w:lang w:val="uk-UA"/>
        </w:rPr>
        <w:t> млн.грн.</w:t>
      </w:r>
      <w:r w:rsidR="00D85376" w:rsidRPr="007B582D">
        <w:rPr>
          <w:rFonts w:eastAsia="Calibri"/>
          <w:sz w:val="28"/>
          <w:szCs w:val="28"/>
          <w:lang w:val="uk-UA"/>
        </w:rPr>
        <w:t xml:space="preserve"> </w:t>
      </w:r>
      <w:r w:rsidR="00035312" w:rsidRPr="007B582D">
        <w:rPr>
          <w:rFonts w:eastAsia="Calibri"/>
          <w:sz w:val="28"/>
          <w:szCs w:val="28"/>
          <w:lang w:val="uk-UA"/>
        </w:rPr>
        <w:t xml:space="preserve">або </w:t>
      </w:r>
      <w:r w:rsidR="00DE2AE8" w:rsidRPr="007B582D">
        <w:rPr>
          <w:rFonts w:eastAsia="Calibri"/>
          <w:sz w:val="28"/>
          <w:szCs w:val="28"/>
          <w:lang w:val="uk-UA"/>
        </w:rPr>
        <w:t>49,1</w:t>
      </w:r>
      <w:r w:rsidR="00035312" w:rsidRPr="007B582D">
        <w:rPr>
          <w:rFonts w:eastAsia="Calibri"/>
          <w:sz w:val="28"/>
          <w:szCs w:val="28"/>
          <w:lang w:val="uk-UA"/>
        </w:rPr>
        <w:t xml:space="preserve">% до плану </w:t>
      </w:r>
      <w:r w:rsidR="00D85376" w:rsidRPr="007B582D">
        <w:rPr>
          <w:rFonts w:eastAsia="Calibri"/>
          <w:sz w:val="28"/>
          <w:szCs w:val="28"/>
          <w:lang w:val="uk-UA"/>
        </w:rPr>
        <w:t xml:space="preserve">(за рахунок </w:t>
      </w:r>
      <w:r w:rsidR="00035312" w:rsidRPr="007B582D">
        <w:rPr>
          <w:rFonts w:eastAsia="Calibri"/>
          <w:sz w:val="28"/>
          <w:szCs w:val="28"/>
          <w:lang w:val="uk-UA"/>
        </w:rPr>
        <w:t xml:space="preserve">медичної та інших цільових </w:t>
      </w:r>
      <w:r w:rsidR="00D85376" w:rsidRPr="007B582D">
        <w:rPr>
          <w:rFonts w:eastAsia="Calibri"/>
          <w:sz w:val="28"/>
          <w:szCs w:val="28"/>
          <w:lang w:val="uk-UA"/>
        </w:rPr>
        <w:t xml:space="preserve">субвенцій з державного бюджету – </w:t>
      </w:r>
      <w:r w:rsidR="00742D7C" w:rsidRPr="007B582D">
        <w:rPr>
          <w:rFonts w:eastAsia="Calibri"/>
          <w:sz w:val="28"/>
          <w:szCs w:val="28"/>
          <w:lang w:val="uk-UA"/>
        </w:rPr>
        <w:t>288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742D7C" w:rsidRPr="007B582D">
        <w:rPr>
          <w:rFonts w:eastAsia="Calibri"/>
          <w:sz w:val="28"/>
          <w:szCs w:val="28"/>
          <w:lang w:val="uk-UA"/>
        </w:rPr>
        <w:t>3</w:t>
      </w:r>
      <w:r w:rsidR="00D85376" w:rsidRPr="007B582D">
        <w:rPr>
          <w:rFonts w:eastAsia="Calibri"/>
          <w:sz w:val="28"/>
          <w:szCs w:val="28"/>
          <w:lang w:val="uk-UA"/>
        </w:rPr>
        <w:t> тис.грн.)</w:t>
      </w:r>
      <w:r w:rsidRPr="007B582D">
        <w:rPr>
          <w:rFonts w:eastAsia="Calibri"/>
          <w:sz w:val="28"/>
          <w:szCs w:val="28"/>
          <w:lang w:val="uk-UA"/>
        </w:rPr>
        <w:t>, культуру –</w:t>
      </w:r>
      <w:r w:rsidR="00035FDB" w:rsidRPr="007B582D">
        <w:rPr>
          <w:rFonts w:eastAsia="Calibri"/>
          <w:sz w:val="28"/>
          <w:szCs w:val="28"/>
          <w:lang w:val="uk-UA"/>
        </w:rPr>
        <w:t xml:space="preserve"> </w:t>
      </w:r>
      <w:r w:rsidR="00742D7C" w:rsidRPr="007B582D">
        <w:rPr>
          <w:rFonts w:eastAsia="Calibri"/>
          <w:sz w:val="28"/>
          <w:szCs w:val="28"/>
          <w:lang w:val="uk-UA"/>
        </w:rPr>
        <w:t>42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742D7C" w:rsidRPr="007B582D">
        <w:rPr>
          <w:rFonts w:eastAsia="Calibri"/>
          <w:sz w:val="28"/>
          <w:szCs w:val="28"/>
          <w:lang w:val="uk-UA"/>
        </w:rPr>
        <w:t>0</w:t>
      </w:r>
      <w:r w:rsidRPr="007B582D">
        <w:rPr>
          <w:rFonts w:eastAsia="Calibri"/>
          <w:sz w:val="28"/>
          <w:szCs w:val="28"/>
          <w:lang w:val="uk-UA"/>
        </w:rPr>
        <w:t> млн.грн.</w:t>
      </w:r>
      <w:r w:rsidR="00035312" w:rsidRPr="007B582D">
        <w:rPr>
          <w:rFonts w:eastAsia="Calibri"/>
          <w:sz w:val="28"/>
          <w:szCs w:val="28"/>
          <w:lang w:val="uk-UA"/>
        </w:rPr>
        <w:t xml:space="preserve"> або </w:t>
      </w:r>
      <w:r w:rsidR="00DE2AE8" w:rsidRPr="007B582D">
        <w:rPr>
          <w:rFonts w:eastAsia="Calibri"/>
          <w:sz w:val="28"/>
          <w:szCs w:val="28"/>
          <w:lang w:val="uk-UA"/>
        </w:rPr>
        <w:t>46,8</w:t>
      </w:r>
      <w:r w:rsidR="00035312" w:rsidRPr="007B582D">
        <w:rPr>
          <w:rFonts w:eastAsia="Calibri"/>
          <w:sz w:val="28"/>
          <w:szCs w:val="28"/>
          <w:lang w:val="uk-UA"/>
        </w:rPr>
        <w:t>% до плану</w:t>
      </w:r>
      <w:r w:rsidRPr="007B582D">
        <w:rPr>
          <w:rFonts w:eastAsia="Calibri"/>
          <w:sz w:val="28"/>
          <w:szCs w:val="28"/>
          <w:lang w:val="uk-UA"/>
        </w:rPr>
        <w:t xml:space="preserve">, фізичну культуру і спорт – </w:t>
      </w:r>
      <w:r w:rsidR="00742D7C" w:rsidRPr="007B582D">
        <w:rPr>
          <w:rFonts w:eastAsia="Calibri"/>
          <w:sz w:val="28"/>
          <w:szCs w:val="28"/>
          <w:lang w:val="uk-UA"/>
        </w:rPr>
        <w:t>58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742D7C" w:rsidRPr="007B582D">
        <w:rPr>
          <w:rFonts w:eastAsia="Calibri"/>
          <w:sz w:val="28"/>
          <w:szCs w:val="28"/>
          <w:lang w:val="uk-UA"/>
        </w:rPr>
        <w:t>6</w:t>
      </w:r>
      <w:r w:rsidRPr="007B582D">
        <w:rPr>
          <w:rFonts w:eastAsia="Calibri"/>
          <w:sz w:val="28"/>
          <w:szCs w:val="28"/>
          <w:lang w:val="uk-UA"/>
        </w:rPr>
        <w:t> млн.грн.</w:t>
      </w:r>
      <w:r w:rsidR="00035312" w:rsidRPr="007B582D">
        <w:rPr>
          <w:rFonts w:eastAsia="Calibri"/>
          <w:sz w:val="28"/>
          <w:szCs w:val="28"/>
          <w:lang w:val="uk-UA"/>
        </w:rPr>
        <w:t xml:space="preserve"> або </w:t>
      </w:r>
      <w:r w:rsidR="00DE2AE8" w:rsidRPr="007B582D">
        <w:rPr>
          <w:rFonts w:eastAsia="Calibri"/>
          <w:sz w:val="28"/>
          <w:szCs w:val="28"/>
          <w:lang w:val="uk-UA"/>
        </w:rPr>
        <w:t>53</w:t>
      </w:r>
      <w:r w:rsidR="00035312" w:rsidRPr="007B582D">
        <w:rPr>
          <w:rFonts w:eastAsia="Calibri"/>
          <w:sz w:val="28"/>
          <w:szCs w:val="28"/>
          <w:lang w:val="uk-UA"/>
        </w:rPr>
        <w:t>% до плану</w:t>
      </w:r>
      <w:r w:rsidRPr="007B582D">
        <w:rPr>
          <w:rFonts w:eastAsia="Calibri"/>
          <w:sz w:val="28"/>
          <w:szCs w:val="28"/>
          <w:lang w:val="uk-UA"/>
        </w:rPr>
        <w:t xml:space="preserve">, установи соціального захисту – </w:t>
      </w:r>
      <w:r w:rsidR="00742D7C" w:rsidRPr="007B582D">
        <w:rPr>
          <w:rFonts w:eastAsia="Calibri"/>
          <w:sz w:val="28"/>
          <w:szCs w:val="28"/>
          <w:lang w:val="uk-UA"/>
        </w:rPr>
        <w:t>30</w:t>
      </w:r>
      <w:r w:rsidRPr="007B582D">
        <w:rPr>
          <w:rFonts w:eastAsia="Calibri"/>
          <w:sz w:val="28"/>
          <w:szCs w:val="28"/>
          <w:lang w:val="uk-UA"/>
        </w:rPr>
        <w:t>,</w:t>
      </w:r>
      <w:r w:rsidR="00742D7C" w:rsidRPr="007B582D">
        <w:rPr>
          <w:rFonts w:eastAsia="Calibri"/>
          <w:sz w:val="28"/>
          <w:szCs w:val="28"/>
          <w:lang w:val="uk-UA"/>
        </w:rPr>
        <w:t>2</w:t>
      </w:r>
      <w:r w:rsidRPr="007B582D">
        <w:rPr>
          <w:rFonts w:eastAsia="Calibri"/>
          <w:sz w:val="28"/>
          <w:szCs w:val="28"/>
          <w:lang w:val="uk-UA"/>
        </w:rPr>
        <w:t> млн.грн.</w:t>
      </w:r>
      <w:r w:rsidR="00035312" w:rsidRPr="007B582D">
        <w:rPr>
          <w:rFonts w:eastAsia="Calibri"/>
          <w:sz w:val="28"/>
          <w:szCs w:val="28"/>
          <w:lang w:val="uk-UA"/>
        </w:rPr>
        <w:t xml:space="preserve"> або </w:t>
      </w:r>
      <w:r w:rsidR="00DE2AE8" w:rsidRPr="007B582D">
        <w:rPr>
          <w:rFonts w:eastAsia="Calibri"/>
          <w:sz w:val="28"/>
          <w:szCs w:val="28"/>
          <w:lang w:val="uk-UA"/>
        </w:rPr>
        <w:t>47,6</w:t>
      </w:r>
      <w:r w:rsidR="00035312" w:rsidRPr="007B582D">
        <w:rPr>
          <w:rFonts w:eastAsia="Calibri"/>
          <w:sz w:val="28"/>
          <w:szCs w:val="28"/>
          <w:lang w:val="uk-UA"/>
        </w:rPr>
        <w:t>% до плану</w:t>
      </w:r>
      <w:r w:rsidRPr="007B582D">
        <w:rPr>
          <w:rFonts w:eastAsia="Calibri"/>
          <w:sz w:val="28"/>
          <w:szCs w:val="28"/>
          <w:lang w:val="uk-UA"/>
        </w:rPr>
        <w:t xml:space="preserve"> </w:t>
      </w:r>
    </w:p>
    <w:p w:rsidR="00035312" w:rsidRDefault="00035312" w:rsidP="00035312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>Поточні видатки загального фонду бюджету на утримання установ склали 1 9</w:t>
      </w:r>
      <w:r w:rsidR="00DE2AE8" w:rsidRPr="007B582D">
        <w:rPr>
          <w:rFonts w:eastAsia="Calibri"/>
          <w:sz w:val="28"/>
          <w:szCs w:val="28"/>
          <w:lang w:val="uk-UA"/>
        </w:rPr>
        <w:t>98</w:t>
      </w:r>
      <w:r w:rsidRPr="007B582D">
        <w:rPr>
          <w:rFonts w:eastAsia="Calibri"/>
          <w:sz w:val="28"/>
          <w:szCs w:val="28"/>
          <w:lang w:val="uk-UA"/>
        </w:rPr>
        <w:t>,</w:t>
      </w:r>
      <w:r w:rsidR="00DE2AE8" w:rsidRPr="007B582D">
        <w:rPr>
          <w:rFonts w:eastAsia="Calibri"/>
          <w:sz w:val="28"/>
          <w:szCs w:val="28"/>
          <w:lang w:val="uk-UA"/>
        </w:rPr>
        <w:t>7</w:t>
      </w:r>
      <w:r w:rsidRPr="007B582D">
        <w:rPr>
          <w:rFonts w:eastAsia="Calibri"/>
          <w:sz w:val="28"/>
          <w:szCs w:val="28"/>
          <w:lang w:val="uk-UA"/>
        </w:rPr>
        <w:t> млн.грн., з яких найбільшу частку займають витрати на оплату праці з нарахуваннями – 1 </w:t>
      </w:r>
      <w:r w:rsidR="003B3C98" w:rsidRPr="007B582D">
        <w:rPr>
          <w:rFonts w:eastAsia="Calibri"/>
          <w:sz w:val="28"/>
          <w:szCs w:val="28"/>
          <w:lang w:val="uk-UA"/>
        </w:rPr>
        <w:t>604</w:t>
      </w:r>
      <w:r w:rsidRPr="007B582D">
        <w:rPr>
          <w:rFonts w:eastAsia="Calibri"/>
          <w:sz w:val="28"/>
          <w:szCs w:val="28"/>
          <w:lang w:val="uk-UA"/>
        </w:rPr>
        <w:t>,</w:t>
      </w:r>
      <w:r w:rsidR="003B3C98" w:rsidRPr="007B582D">
        <w:rPr>
          <w:rFonts w:eastAsia="Calibri"/>
          <w:sz w:val="28"/>
          <w:szCs w:val="28"/>
          <w:lang w:val="uk-UA"/>
        </w:rPr>
        <w:t>9</w:t>
      </w:r>
      <w:r w:rsidRPr="007B582D">
        <w:rPr>
          <w:rFonts w:eastAsia="Calibri"/>
          <w:sz w:val="28"/>
          <w:szCs w:val="28"/>
          <w:lang w:val="uk-UA"/>
        </w:rPr>
        <w:t xml:space="preserve"> млн.грн. та проведення розрахунків за спожиті комунальні послуги та енергоносії – </w:t>
      </w:r>
      <w:r w:rsidR="003B3C98" w:rsidRPr="007B582D">
        <w:rPr>
          <w:rFonts w:eastAsia="Calibri"/>
          <w:sz w:val="28"/>
          <w:szCs w:val="28"/>
          <w:lang w:val="uk-UA"/>
        </w:rPr>
        <w:t>187</w:t>
      </w:r>
      <w:r w:rsidRPr="007B582D">
        <w:rPr>
          <w:rFonts w:eastAsia="Calibri"/>
          <w:sz w:val="28"/>
          <w:szCs w:val="28"/>
          <w:lang w:val="uk-UA"/>
        </w:rPr>
        <w:t>,</w:t>
      </w:r>
      <w:r w:rsidR="003B3C98" w:rsidRPr="007B582D">
        <w:rPr>
          <w:rFonts w:eastAsia="Calibri"/>
          <w:sz w:val="28"/>
          <w:szCs w:val="28"/>
          <w:lang w:val="uk-UA"/>
        </w:rPr>
        <w:t>8</w:t>
      </w:r>
      <w:r w:rsidRPr="007B582D">
        <w:rPr>
          <w:rFonts w:eastAsia="Calibri"/>
          <w:sz w:val="28"/>
          <w:szCs w:val="28"/>
          <w:lang w:val="uk-UA"/>
        </w:rPr>
        <w:t> млн.грн.</w:t>
      </w:r>
    </w:p>
    <w:p w:rsidR="001330AA" w:rsidRPr="007B582D" w:rsidRDefault="001330AA" w:rsidP="001330A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Видатки капітального характеру проведені в сумі </w:t>
      </w:r>
      <w:r w:rsidR="00A4679F" w:rsidRPr="007B582D">
        <w:rPr>
          <w:rFonts w:eastAsia="Calibri"/>
          <w:sz w:val="28"/>
          <w:szCs w:val="28"/>
          <w:lang w:val="uk-UA"/>
        </w:rPr>
        <w:t>51</w:t>
      </w:r>
      <w:r w:rsidRPr="007B582D">
        <w:rPr>
          <w:rFonts w:eastAsia="Calibri"/>
          <w:sz w:val="28"/>
          <w:szCs w:val="28"/>
          <w:lang w:val="uk-UA"/>
        </w:rPr>
        <w:t>,</w:t>
      </w:r>
      <w:r w:rsidR="00A4679F" w:rsidRPr="007B582D">
        <w:rPr>
          <w:rFonts w:eastAsia="Calibri"/>
          <w:sz w:val="28"/>
          <w:szCs w:val="28"/>
          <w:lang w:val="uk-UA"/>
        </w:rPr>
        <w:t>9 м</w:t>
      </w:r>
      <w:r w:rsidRPr="007B582D">
        <w:rPr>
          <w:rFonts w:eastAsia="Calibri"/>
          <w:sz w:val="28"/>
          <w:szCs w:val="28"/>
          <w:lang w:val="uk-UA"/>
        </w:rPr>
        <w:t>лн.грн., з яких за рахунок надходжень бюджету розвитку – 3</w:t>
      </w:r>
      <w:r w:rsidR="00A4679F" w:rsidRPr="007B582D">
        <w:rPr>
          <w:rFonts w:eastAsia="Calibri"/>
          <w:sz w:val="28"/>
          <w:szCs w:val="28"/>
          <w:lang w:val="uk-UA"/>
        </w:rPr>
        <w:t>3</w:t>
      </w:r>
      <w:r w:rsidRPr="007B582D">
        <w:rPr>
          <w:rFonts w:eastAsia="Calibri"/>
          <w:sz w:val="28"/>
          <w:szCs w:val="28"/>
          <w:lang w:val="uk-UA"/>
        </w:rPr>
        <w:t>,</w:t>
      </w:r>
      <w:r w:rsidR="00A4679F" w:rsidRPr="007B582D">
        <w:rPr>
          <w:rFonts w:eastAsia="Calibri"/>
          <w:sz w:val="28"/>
          <w:szCs w:val="28"/>
          <w:lang w:val="uk-UA"/>
        </w:rPr>
        <w:t>2</w:t>
      </w:r>
      <w:r w:rsidRPr="007B582D">
        <w:rPr>
          <w:rFonts w:eastAsia="Calibri"/>
          <w:sz w:val="28"/>
          <w:szCs w:val="28"/>
          <w:lang w:val="uk-UA"/>
        </w:rPr>
        <w:t> млн.грн., що стан</w:t>
      </w:r>
      <w:r w:rsidR="00766E4F">
        <w:rPr>
          <w:rFonts w:eastAsia="Calibri"/>
          <w:sz w:val="28"/>
          <w:szCs w:val="28"/>
          <w:lang w:val="uk-UA"/>
        </w:rPr>
        <w:t>овить 49,6% планових показників, в тому числі по галузі:</w:t>
      </w:r>
    </w:p>
    <w:p w:rsidR="001330AA" w:rsidRPr="007B582D" w:rsidRDefault="00766E4F" w:rsidP="001330AA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«Охорона здоров’я» </w:t>
      </w:r>
      <w:r>
        <w:rPr>
          <w:rFonts w:eastAsia="Calibri"/>
          <w:color w:val="000000" w:themeColor="text1"/>
          <w:sz w:val="28"/>
          <w:szCs w:val="28"/>
          <w:lang w:val="uk-UA"/>
        </w:rPr>
        <w:t>-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14,0 млн.грн. За рахунок цих коштів придбано медичне обладнання, обладнання для господарських потреб, комп’</w:t>
      </w:r>
      <w:r w:rsidR="00A4679F" w:rsidRPr="007B582D">
        <w:rPr>
          <w:rFonts w:eastAsia="Calibri"/>
          <w:color w:val="000000" w:themeColor="text1"/>
          <w:sz w:val="28"/>
          <w:szCs w:val="28"/>
          <w:lang w:val="uk-UA"/>
        </w:rPr>
        <w:t>ютерна техніка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на загальну суму 3,4 млн.грн. Тривали роботи з капітального ремонту 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та 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реконструкції у </w:t>
      </w:r>
      <w:r>
        <w:rPr>
          <w:rFonts w:eastAsia="Calibri"/>
          <w:color w:val="000000" w:themeColor="text1"/>
          <w:sz w:val="28"/>
          <w:szCs w:val="28"/>
          <w:lang w:val="uk-UA"/>
        </w:rPr>
        <w:t>13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-</w:t>
      </w:r>
      <w:r>
        <w:rPr>
          <w:rFonts w:eastAsia="Calibri"/>
          <w:color w:val="000000" w:themeColor="text1"/>
          <w:sz w:val="28"/>
          <w:szCs w:val="28"/>
          <w:lang w:val="uk-UA"/>
        </w:rPr>
        <w:t>ти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закладах</w:t>
      </w:r>
      <w:r>
        <w:rPr>
          <w:rFonts w:eastAsia="Calibri"/>
          <w:color w:val="000000" w:themeColor="text1"/>
          <w:sz w:val="28"/>
          <w:szCs w:val="28"/>
          <w:lang w:val="uk-UA"/>
        </w:rPr>
        <w:t>, на їх оплату витрачено 10,6 млн.грн.</w:t>
      </w:r>
    </w:p>
    <w:p w:rsidR="001330AA" w:rsidRPr="007B582D" w:rsidRDefault="00766E4F" w:rsidP="001330A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lastRenderedPageBreak/>
        <w:t>- «Освіта»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11,9 млн.грн., в тому числі на придбання обладнання та предметів довгострокового користування – 3,8 млн.грн., капітальні ремонти – 7,3 млн.грн., будівництво і реконструкцію – 0,8 млн.грн. </w:t>
      </w:r>
      <w:r>
        <w:rPr>
          <w:rFonts w:eastAsia="Calibri"/>
          <w:color w:val="000000" w:themeColor="text1"/>
          <w:sz w:val="28"/>
          <w:szCs w:val="28"/>
          <w:lang w:val="uk-UA"/>
        </w:rPr>
        <w:t>П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роводились розпочаті у минулих роках роботи з капітального ремонту (дитячий садок №169 та №217, ЗОШ №№65, 76, 95 та 101), реконструкції (дитячий садок №220, Міський палац дитячої та юнацької творчості) та інші.</w:t>
      </w:r>
    </w:p>
    <w:p w:rsidR="001330AA" w:rsidRPr="007B582D" w:rsidRDefault="00766E4F" w:rsidP="001330A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-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«Культура і мистецтво» </w:t>
      </w:r>
      <w:r>
        <w:rPr>
          <w:rFonts w:eastAsia="Calibri"/>
          <w:color w:val="000000" w:themeColor="text1"/>
          <w:sz w:val="28"/>
          <w:szCs w:val="28"/>
          <w:lang w:val="uk-UA"/>
        </w:rPr>
        <w:t>-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4,2 млн.грн., у тому числі на придбання обладнання та предметів довгострокового користування спрямовано 1,5 млн.грн., капітальні ремонти – 2,7 млн.грн. За рахунок цих коштів </w:t>
      </w:r>
      <w:r w:rsidR="001330AA" w:rsidRPr="007B582D">
        <w:rPr>
          <w:color w:val="000000" w:themeColor="text1"/>
          <w:sz w:val="28"/>
          <w:szCs w:val="28"/>
          <w:lang w:val="uk-UA"/>
        </w:rPr>
        <w:t>поповнено бібліотечні фонди книжковою продукцією,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придбано звукозаписувальну та побутову техніку </w:t>
      </w:r>
      <w:r w:rsidR="0033237F">
        <w:rPr>
          <w:rFonts w:eastAsia="Calibri"/>
          <w:color w:val="000000" w:themeColor="text1"/>
          <w:sz w:val="28"/>
          <w:szCs w:val="28"/>
          <w:lang w:val="uk-UA"/>
        </w:rPr>
        <w:t>тощо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, проводились розпочаті у минулих роках роботи з капітального ремонту в трьох палацах культури (</w:t>
      </w:r>
      <w:proofErr w:type="spellStart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КЗ</w:t>
      </w:r>
      <w:proofErr w:type="spellEnd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ПК «</w:t>
      </w:r>
      <w:proofErr w:type="spellStart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Хортицький</w:t>
      </w:r>
      <w:proofErr w:type="spellEnd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», </w:t>
      </w:r>
      <w:proofErr w:type="spellStart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КЗ</w:t>
      </w:r>
      <w:proofErr w:type="spellEnd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33237F">
        <w:rPr>
          <w:rFonts w:eastAsia="Calibri"/>
          <w:color w:val="000000" w:themeColor="text1"/>
          <w:sz w:val="28"/>
          <w:szCs w:val="28"/>
          <w:lang w:val="uk-UA"/>
        </w:rPr>
        <w:t xml:space="preserve">ПК «Титан», </w:t>
      </w:r>
      <w:proofErr w:type="spellStart"/>
      <w:r w:rsidR="0033237F">
        <w:rPr>
          <w:rFonts w:eastAsia="Calibri"/>
          <w:color w:val="000000" w:themeColor="text1"/>
          <w:sz w:val="28"/>
          <w:szCs w:val="28"/>
          <w:lang w:val="uk-UA"/>
        </w:rPr>
        <w:t>КЗ</w:t>
      </w:r>
      <w:proofErr w:type="spellEnd"/>
      <w:r w:rsidR="0033237F">
        <w:rPr>
          <w:rFonts w:eastAsia="Calibri"/>
          <w:color w:val="000000" w:themeColor="text1"/>
          <w:sz w:val="28"/>
          <w:szCs w:val="28"/>
          <w:lang w:val="uk-UA"/>
        </w:rPr>
        <w:t xml:space="preserve"> ПК «Молодіжний»)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:rsidR="00961122" w:rsidRPr="007B582D" w:rsidRDefault="0033237F" w:rsidP="001330A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- «Ф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ізичн</w:t>
      </w:r>
      <w:r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культур</w:t>
      </w:r>
      <w:r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та спорт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» - 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2,1 млн.грн., з яких 1,3 млн.грн. спрямовано на придбання обладнання та предметів довгострокового користування для оновлення матеріально-технічної бази комунальних дитячо-юнацьких спортивних шкіл 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та комплексів 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(спортивні товари та інвентар</w:t>
      </w:r>
      <w:r>
        <w:rPr>
          <w:rFonts w:eastAsia="Calibri"/>
          <w:color w:val="000000" w:themeColor="text1"/>
          <w:sz w:val="28"/>
          <w:szCs w:val="28"/>
          <w:lang w:val="uk-UA"/>
        </w:rPr>
        <w:t>)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:rsidR="00035312" w:rsidRPr="007B582D" w:rsidRDefault="007D3A02" w:rsidP="00961122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Також, з</w:t>
      </w:r>
      <w:r w:rsidR="00961122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авершені будівельні роботи по об’єкту «Реконструкція приміщення за адресою пр. Соборний 182а м. Запоріжжя під відділення соціальної реабілітації дітей-інвалідів </w:t>
      </w:r>
      <w:proofErr w:type="spellStart"/>
      <w:r w:rsidR="00961122" w:rsidRPr="007B582D">
        <w:rPr>
          <w:rFonts w:eastAsia="Calibri"/>
          <w:color w:val="000000" w:themeColor="text1"/>
          <w:sz w:val="28"/>
          <w:szCs w:val="28"/>
          <w:lang w:val="uk-UA"/>
        </w:rPr>
        <w:t>Вознесенівського</w:t>
      </w:r>
      <w:proofErr w:type="spellEnd"/>
      <w:r w:rsidR="00961122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району Запорізького міського територіального центру соціального обслуговування (надання соціальних послуг)».</w:t>
      </w:r>
    </w:p>
    <w:p w:rsidR="00F527AE" w:rsidRPr="007B582D" w:rsidRDefault="00F527AE" w:rsidP="00F527AE">
      <w:pPr>
        <w:pStyle w:val="justifyfull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>Видатки бюджету міста на житлово-комунальне та дорожнє господарство склали 728,6</w:t>
      </w:r>
      <w:r w:rsidR="00730B84">
        <w:rPr>
          <w:rFonts w:eastAsia="Calibri"/>
          <w:sz w:val="28"/>
          <w:szCs w:val="28"/>
          <w:lang w:val="uk-UA"/>
        </w:rPr>
        <w:t> </w:t>
      </w:r>
      <w:r w:rsidRPr="007B582D">
        <w:rPr>
          <w:rFonts w:eastAsia="Calibri"/>
          <w:sz w:val="28"/>
          <w:szCs w:val="28"/>
          <w:lang w:val="uk-UA"/>
        </w:rPr>
        <w:t>млн.грн., виконання планових показників звітного періоду становить 81,0%. Кошти спрямовані на реалізацію наступних міських програм:</w:t>
      </w:r>
    </w:p>
    <w:p w:rsidR="00F527AE" w:rsidRPr="007B582D" w:rsidRDefault="00F527AE" w:rsidP="00F527AE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Програма розвитку та утримання житлово-комунального господарства (з урахуванням коштів депутатського фонду) – 413</w:t>
      </w:r>
      <w:r w:rsidR="00071911"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,8 </w:t>
      </w:r>
      <w:r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млн.грн.</w:t>
      </w:r>
      <w:r w:rsidRPr="007B582D">
        <w:rPr>
          <w:sz w:val="28"/>
          <w:szCs w:val="28"/>
          <w:lang w:val="uk-UA"/>
        </w:rPr>
        <w:t xml:space="preserve"> (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84,3% планових </w:t>
      </w:r>
      <w:r w:rsidR="00C4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показників на 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</w:t>
      </w:r>
      <w:r w:rsidR="00C4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період), з яких на фінансову підтримку комунальних підприємств, що надають житлово-комунальні послуги населенню міста – 318,2 млн.грн.</w:t>
      </w:r>
    </w:p>
    <w:p w:rsidR="00F527AE" w:rsidRPr="007B582D" w:rsidRDefault="00730B84" w:rsidP="00F527AE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</w:t>
      </w:r>
      <w:r w:rsidRPr="00730B84">
        <w:rPr>
          <w:rFonts w:eastAsia="Calibri"/>
          <w:sz w:val="28"/>
          <w:szCs w:val="28"/>
          <w:lang w:val="uk-UA"/>
        </w:rPr>
        <w:t xml:space="preserve">а проведення комплексу ремонтно-будівельних робіт </w:t>
      </w:r>
      <w:r>
        <w:rPr>
          <w:rFonts w:eastAsia="Calibri"/>
          <w:sz w:val="28"/>
          <w:szCs w:val="28"/>
          <w:lang w:val="uk-UA"/>
        </w:rPr>
        <w:t>в</w:t>
      </w:r>
      <w:r w:rsidRPr="00730B84">
        <w:rPr>
          <w:rFonts w:eastAsia="Calibri"/>
          <w:sz w:val="28"/>
          <w:szCs w:val="28"/>
          <w:lang w:val="uk-UA"/>
        </w:rPr>
        <w:t xml:space="preserve"> житловому фонді міст</w:t>
      </w:r>
      <w:r>
        <w:rPr>
          <w:rFonts w:eastAsia="Calibri"/>
          <w:sz w:val="28"/>
          <w:szCs w:val="28"/>
          <w:lang w:val="uk-UA"/>
        </w:rPr>
        <w:t>а</w:t>
      </w:r>
      <w:r w:rsidRPr="00730B84">
        <w:rPr>
          <w:rFonts w:eastAsia="Calibri"/>
          <w:sz w:val="28"/>
          <w:szCs w:val="28"/>
          <w:lang w:val="uk-UA"/>
        </w:rPr>
        <w:t xml:space="preserve"> спрямовано 40,8 млн.грн.</w:t>
      </w:r>
      <w:r w:rsidRPr="00730B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рахунок цих коштів</w:t>
      </w:r>
      <w:r w:rsidR="00F527AE" w:rsidRPr="007B582D">
        <w:rPr>
          <w:sz w:val="28"/>
          <w:szCs w:val="28"/>
          <w:lang w:val="uk-UA"/>
        </w:rPr>
        <w:t xml:space="preserve"> проведено заміну 12,9</w:t>
      </w:r>
      <w:r>
        <w:rPr>
          <w:sz w:val="28"/>
          <w:szCs w:val="28"/>
          <w:lang w:val="uk-UA"/>
        </w:rPr>
        <w:t> </w:t>
      </w:r>
      <w:proofErr w:type="spellStart"/>
      <w:r w:rsidR="00F527AE" w:rsidRPr="007B582D">
        <w:rPr>
          <w:sz w:val="28"/>
          <w:szCs w:val="28"/>
          <w:lang w:val="uk-UA"/>
        </w:rPr>
        <w:t>тис.п.м</w:t>
      </w:r>
      <w:proofErr w:type="spellEnd"/>
      <w:r w:rsidR="00F527AE" w:rsidRPr="007B582D">
        <w:rPr>
          <w:sz w:val="28"/>
          <w:szCs w:val="28"/>
          <w:lang w:val="uk-UA"/>
        </w:rPr>
        <w:t xml:space="preserve"> інженерних мереж, ремонт 8,763</w:t>
      </w:r>
      <w:r>
        <w:rPr>
          <w:sz w:val="28"/>
          <w:szCs w:val="28"/>
          <w:lang w:val="uk-UA"/>
        </w:rPr>
        <w:t> </w:t>
      </w:r>
      <w:proofErr w:type="spellStart"/>
      <w:r w:rsidR="00F527AE" w:rsidRPr="007B582D">
        <w:rPr>
          <w:sz w:val="28"/>
          <w:szCs w:val="28"/>
          <w:lang w:val="uk-UA"/>
        </w:rPr>
        <w:t>тис.кв.м</w:t>
      </w:r>
      <w:proofErr w:type="spellEnd"/>
      <w:r w:rsidR="00F527AE" w:rsidRPr="007B582D">
        <w:rPr>
          <w:sz w:val="28"/>
          <w:szCs w:val="28"/>
          <w:lang w:val="uk-UA"/>
        </w:rPr>
        <w:t>. покрівлі у 16</w:t>
      </w:r>
      <w:r>
        <w:rPr>
          <w:sz w:val="28"/>
          <w:szCs w:val="28"/>
          <w:lang w:val="uk-UA"/>
        </w:rPr>
        <w:t>-ти</w:t>
      </w:r>
      <w:r w:rsidR="00F527AE" w:rsidRPr="007B582D">
        <w:rPr>
          <w:sz w:val="28"/>
          <w:szCs w:val="28"/>
          <w:lang w:val="uk-UA"/>
        </w:rPr>
        <w:t xml:space="preserve"> будинках, завершено вибірковий капітальний ремонт 5</w:t>
      </w:r>
      <w:r>
        <w:rPr>
          <w:sz w:val="28"/>
          <w:szCs w:val="28"/>
          <w:lang w:val="uk-UA"/>
        </w:rPr>
        <w:t>-ти</w:t>
      </w:r>
      <w:r w:rsidR="00F527AE" w:rsidRPr="007B582D">
        <w:rPr>
          <w:sz w:val="28"/>
          <w:szCs w:val="28"/>
          <w:lang w:val="uk-UA"/>
        </w:rPr>
        <w:t xml:space="preserve"> житлових будинків та 2</w:t>
      </w:r>
      <w:r>
        <w:rPr>
          <w:sz w:val="28"/>
          <w:szCs w:val="28"/>
          <w:lang w:val="uk-UA"/>
        </w:rPr>
        <w:t>-х</w:t>
      </w:r>
      <w:r w:rsidR="00F527AE" w:rsidRPr="007B582D">
        <w:rPr>
          <w:sz w:val="28"/>
          <w:szCs w:val="28"/>
          <w:lang w:val="uk-UA"/>
        </w:rPr>
        <w:t xml:space="preserve"> гуртожитків міста. Виконано вирівнювання та усунення наднормативних кренів 1</w:t>
      </w:r>
      <w:r>
        <w:rPr>
          <w:sz w:val="28"/>
          <w:szCs w:val="28"/>
          <w:lang w:val="uk-UA"/>
        </w:rPr>
        <w:t>-го</w:t>
      </w:r>
      <w:r w:rsidR="00F527AE" w:rsidRPr="007B582D">
        <w:rPr>
          <w:sz w:val="28"/>
          <w:szCs w:val="28"/>
          <w:lang w:val="uk-UA"/>
        </w:rPr>
        <w:t xml:space="preserve"> будинку, ще на 2</w:t>
      </w:r>
      <w:r>
        <w:rPr>
          <w:sz w:val="28"/>
          <w:szCs w:val="28"/>
          <w:lang w:val="uk-UA"/>
        </w:rPr>
        <w:t>-х</w:t>
      </w:r>
      <w:r w:rsidR="00F527AE" w:rsidRPr="007B582D">
        <w:rPr>
          <w:sz w:val="28"/>
          <w:szCs w:val="28"/>
          <w:lang w:val="uk-UA"/>
        </w:rPr>
        <w:t xml:space="preserve"> роботи продовжуються. </w:t>
      </w:r>
    </w:p>
    <w:p w:rsidR="00F527AE" w:rsidRPr="007B582D" w:rsidRDefault="00F527AE" w:rsidP="00F527AE">
      <w:pPr>
        <w:pStyle w:val="ad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метою підтримання ефективного власника житла у місті реалізується проект проведення капітальних ремонтів спільного майна у багатоквартирних будинках на умовах </w:t>
      </w:r>
      <w:proofErr w:type="spellStart"/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співфінансування</w:t>
      </w:r>
      <w:proofErr w:type="spellEnd"/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На звітну дату вже майже 60 будинків взяли участь у програмі, видатки за напрямком скла</w:t>
      </w:r>
      <w:r w:rsidR="00730B8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6,9</w:t>
      </w:r>
      <w:r w:rsidR="00730B8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млн.грн. </w:t>
      </w:r>
    </w:p>
    <w:p w:rsidR="00F527AE" w:rsidRPr="007B582D" w:rsidRDefault="00F527AE" w:rsidP="00F527AE">
      <w:pPr>
        <w:ind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З метою забезпечення надійної та безперебійної експлуатації ліфтів проведено модернізацію 8 ліфтів, малий капітальний ремонт 4 ліфтів та експертне обстеження 87 ліфтів. Ще на 38 об’єктах роботи тривають. Видатки бюджету міста на вказані напрямки склали 11,9 млн.грн.</w:t>
      </w:r>
    </w:p>
    <w:p w:rsidR="00F527AE" w:rsidRPr="007B582D" w:rsidRDefault="00F527AE" w:rsidP="00F527AE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Для проведення ремонтних робіт на мережах </w:t>
      </w:r>
      <w:proofErr w:type="spellStart"/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тепло-</w:t>
      </w:r>
      <w:proofErr w:type="spellEnd"/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водопостачання міста з бюджету виділено 4,9 млн.грн. </w:t>
      </w:r>
    </w:p>
    <w:p w:rsidR="00F527AE" w:rsidRPr="007B582D" w:rsidRDefault="00F527AE" w:rsidP="00F527AE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утримання прибудинкових територій в належному санітарному стані спрямовано 32,2</w:t>
      </w:r>
      <w:r w:rsidR="00730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млн.грн., за рахунок яких вивезено 7</w:t>
      </w:r>
      <w:r w:rsidR="00730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,5 </w:t>
      </w:r>
      <w:proofErr w:type="spellStart"/>
      <w:r w:rsidR="00730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тис.т</w:t>
      </w:r>
      <w:proofErr w:type="spellEnd"/>
      <w:r w:rsidR="00730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опалого листя та гілля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проведено санітарну обрізку 579</w:t>
      </w:r>
      <w:r w:rsidR="00730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-ти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дерев, звалювання 71</w:t>
      </w:r>
      <w:r w:rsidR="00730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одиниці аварійних та сухостійних дерев, виконано роботи з покосу прибудинкових територій площею 533,0 </w:t>
      </w:r>
      <w:proofErr w:type="spellStart"/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тис.кв.м</w:t>
      </w:r>
      <w:proofErr w:type="spellEnd"/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роботи з прибирання снігу та посипання тери</w:t>
      </w:r>
      <w:r w:rsidR="00730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торії на площі 9 096,2 </w:t>
      </w:r>
      <w:proofErr w:type="spellStart"/>
      <w:r w:rsidR="00730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тис.кв.м</w:t>
      </w:r>
      <w:proofErr w:type="spellEnd"/>
      <w:r w:rsidR="00730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ін.</w:t>
      </w:r>
    </w:p>
    <w:p w:rsidR="00F527AE" w:rsidRPr="007B582D" w:rsidRDefault="00F527AE" w:rsidP="00F527AE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в місті продовжуються роботи з відновлення асфальтного покриття прибудинкових територій та </w:t>
      </w:r>
      <w:proofErr w:type="spellStart"/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внутрішньоквартальних</w:t>
      </w:r>
      <w:proofErr w:type="spellEnd"/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проїздів. На звітну дату </w:t>
      </w:r>
      <w:r w:rsidR="002D4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зазначені цілі витрачено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15,4 млн.грн.</w:t>
      </w:r>
    </w:p>
    <w:p w:rsidR="00F527AE" w:rsidRPr="007B582D" w:rsidRDefault="00F527AE" w:rsidP="005E5CC4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будівництво та реконструкцію об’єктів житлово-комунального господарства склали </w:t>
      </w:r>
      <w:r w:rsidR="00F71123"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5,8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млн.грн. Тривають роботи з реконструкції житлового будинку по вул. Дзержинського,52, приміщень нежитлової будівлі по вул. Василя Сергієнка, 6-А, каналізаційного колектору КНС-1 та хлораторної ДВС-2</w:t>
      </w:r>
      <w:r w:rsidR="00C4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ін. </w:t>
      </w:r>
    </w:p>
    <w:p w:rsidR="00F527AE" w:rsidRPr="007B582D" w:rsidRDefault="00F527AE" w:rsidP="005E5CC4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Програма муніципальної аварійної служби, муніципальної служби з технічного обслуговування систем диспетчеризації ліфтів та "Контакт-центру 15-80" – 5</w:t>
      </w:r>
      <w:r w:rsidR="00071911"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="00F71123"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млн.грн. (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96,6 % планових </w:t>
      </w:r>
      <w:r w:rsidR="00C4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показників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За рахунок зазначених коштів Муніципальною аварійною службою відпрацьовано 58,8 тис. заявок від мешканців міста, службою з технічного обслуговування систем диспетчеризації ліфтів охоплено 3789</w:t>
      </w:r>
      <w:r w:rsidR="00C4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-ть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ліфт</w:t>
      </w:r>
      <w:r w:rsidR="00C4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F71123"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продовжено проектування будівництва диспетчерських систем зв’язку типу GSM для ліфтового господарства у 42</w:t>
      </w:r>
      <w:r w:rsidR="00C4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</w:t>
      </w:r>
      <w:r w:rsidR="00F71123"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житлових будинках міста.</w:t>
      </w:r>
    </w:p>
    <w:p w:rsidR="00F527AE" w:rsidRPr="007B582D" w:rsidRDefault="00F527AE" w:rsidP="005E5CC4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Програма відшкодування відсоткових ставок за залученими в кредитно-фінансових установах кредитами  - 2,0 млн.грн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(або 87,0 % планових </w:t>
      </w:r>
      <w:r w:rsidR="00C4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показників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Кошти направлено на відшкодування відсоткових ста</w:t>
      </w:r>
      <w:r w:rsidR="005E5CC4"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вок за залученими кредитами на 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реалізацію енергозберігаючих та </w:t>
      </w:r>
      <w:proofErr w:type="spellStart"/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енергоефективних</w:t>
      </w:r>
      <w:proofErr w:type="spellEnd"/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у 188</w:t>
      </w:r>
      <w:r w:rsidR="00C46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-ми</w:t>
      </w:r>
      <w:r w:rsidRPr="007B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будинках ОСББ та ЖБК.</w:t>
      </w:r>
    </w:p>
    <w:p w:rsidR="00F527AE" w:rsidRPr="007B582D" w:rsidRDefault="00F527AE" w:rsidP="00F527AE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color w:val="FF0000"/>
          <w:sz w:val="28"/>
          <w:szCs w:val="28"/>
          <w:lang w:val="uk-UA"/>
        </w:rPr>
      </w:pPr>
      <w:r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Програма розвитку інфраструктури та комплексного благоустрою міста Запоріжжя (з урахуванням коштів депутатського фонду</w:t>
      </w:r>
      <w:r w:rsidR="003B01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заходів</w:t>
      </w:r>
      <w:r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B015A" w:rsidRPr="003B01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Міськ</w:t>
      </w:r>
      <w:r w:rsidR="003B01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ої</w:t>
      </w:r>
      <w:r w:rsidR="003B015A" w:rsidRPr="003B01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цільов</w:t>
      </w:r>
      <w:r w:rsidR="003B01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ої</w:t>
      </w:r>
      <w:r w:rsidR="003B015A" w:rsidRPr="003B01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Програм</w:t>
      </w:r>
      <w:r w:rsidR="003B01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="003B015A" w:rsidRPr="003B01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відновлення інфраструктури території приватного сектору міста Запоріжжя</w:t>
      </w:r>
      <w:r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 – 254,</w:t>
      </w:r>
      <w:r w:rsidR="00071911"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4 </w:t>
      </w:r>
      <w:r w:rsidRPr="007B58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млн.грн., 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становить 73,6% планових показників.</w:t>
      </w:r>
    </w:p>
    <w:p w:rsidR="00F527AE" w:rsidRPr="007B582D" w:rsidRDefault="00F527AE" w:rsidP="00F527AE">
      <w:pPr>
        <w:suppressAutoHyphens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B582D">
        <w:rPr>
          <w:color w:val="000000" w:themeColor="text1"/>
          <w:sz w:val="28"/>
          <w:szCs w:val="28"/>
          <w:lang w:val="uk-UA"/>
        </w:rPr>
        <w:t xml:space="preserve">За рахунок зазначених коштів проведено роботи, пов’язані із ремонтом та утриманням автомобільних доріг міста на загальну суму </w:t>
      </w:r>
      <w:r w:rsidRPr="007B582D">
        <w:rPr>
          <w:sz w:val="28"/>
          <w:szCs w:val="28"/>
          <w:lang w:val="uk-UA"/>
        </w:rPr>
        <w:t>142,7</w:t>
      </w:r>
      <w:r w:rsidRPr="007B582D">
        <w:rPr>
          <w:color w:val="000000" w:themeColor="text1"/>
          <w:sz w:val="28"/>
          <w:szCs w:val="28"/>
          <w:lang w:val="uk-UA"/>
        </w:rPr>
        <w:t> млн.грн., з яких на: утримання і експлуатацію доріг та мостів - 66,1</w:t>
      </w:r>
      <w:r w:rsidR="005E5CC4" w:rsidRPr="007B582D">
        <w:rPr>
          <w:color w:val="000000" w:themeColor="text1"/>
          <w:sz w:val="28"/>
          <w:szCs w:val="28"/>
          <w:lang w:val="uk-UA"/>
        </w:rPr>
        <w:t xml:space="preserve"> млн.грн., поточний ремонт </w:t>
      </w:r>
      <w:r w:rsidRPr="007B582D">
        <w:rPr>
          <w:color w:val="000000" w:themeColor="text1"/>
          <w:sz w:val="28"/>
          <w:szCs w:val="28"/>
          <w:lang w:val="uk-UA"/>
        </w:rPr>
        <w:t xml:space="preserve">доріг (в </w:t>
      </w:r>
      <w:r w:rsidR="005E5CC4" w:rsidRPr="007B582D">
        <w:rPr>
          <w:color w:val="000000" w:themeColor="text1"/>
          <w:sz w:val="28"/>
          <w:szCs w:val="28"/>
          <w:lang w:val="uk-UA"/>
        </w:rPr>
        <w:t xml:space="preserve">т.ч. доріг приватного сектору) </w:t>
      </w:r>
      <w:r w:rsidRPr="007B582D">
        <w:rPr>
          <w:color w:val="000000" w:themeColor="text1"/>
          <w:sz w:val="28"/>
          <w:szCs w:val="28"/>
          <w:lang w:val="uk-UA"/>
        </w:rPr>
        <w:t xml:space="preserve">- 18,5 млн.грн. та тротуарів - 5,7 млн.грн. </w:t>
      </w:r>
    </w:p>
    <w:p w:rsidR="00F527AE" w:rsidRPr="007B582D" w:rsidRDefault="00F527AE" w:rsidP="00F527AE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Також, на об’єктах дорожнього господарства міста проводилися роботи капітального характеру на загальну суму 52,4 млн.грн., у т.ч. завершено роботи </w:t>
      </w:r>
      <w:r w:rsidR="005E5CC4" w:rsidRPr="007B582D">
        <w:rPr>
          <w:rFonts w:eastAsia="Calibri"/>
          <w:sz w:val="28"/>
          <w:szCs w:val="28"/>
          <w:lang w:val="uk-UA"/>
        </w:rPr>
        <w:t xml:space="preserve">з реконструкції </w:t>
      </w:r>
      <w:r w:rsidRPr="007B582D">
        <w:rPr>
          <w:rFonts w:eastAsia="Calibri"/>
          <w:sz w:val="28"/>
          <w:szCs w:val="28"/>
          <w:lang w:val="uk-UA"/>
        </w:rPr>
        <w:t>автодороги по пр.</w:t>
      </w:r>
      <w:r w:rsidR="004970E5">
        <w:rPr>
          <w:rFonts w:eastAsia="Calibri"/>
          <w:sz w:val="28"/>
          <w:szCs w:val="28"/>
          <w:lang w:val="uk-UA"/>
        </w:rPr>
        <w:t> </w:t>
      </w:r>
      <w:r w:rsidRPr="007B582D">
        <w:rPr>
          <w:rFonts w:eastAsia="Calibri"/>
          <w:sz w:val="28"/>
          <w:szCs w:val="28"/>
          <w:lang w:val="uk-UA"/>
        </w:rPr>
        <w:t>Маяковського від вул.</w:t>
      </w:r>
      <w:r w:rsidR="004970E5">
        <w:rPr>
          <w:rFonts w:eastAsia="Calibri"/>
          <w:sz w:val="28"/>
          <w:szCs w:val="28"/>
          <w:lang w:val="uk-UA"/>
        </w:rPr>
        <w:t> </w:t>
      </w:r>
      <w:r w:rsidRPr="007B582D">
        <w:rPr>
          <w:rFonts w:eastAsia="Calibri"/>
          <w:sz w:val="28"/>
          <w:szCs w:val="28"/>
          <w:lang w:val="uk-UA"/>
        </w:rPr>
        <w:t>Патріотичної до ка</w:t>
      </w:r>
      <w:r w:rsidR="004970E5">
        <w:rPr>
          <w:rFonts w:eastAsia="Calibri"/>
          <w:sz w:val="28"/>
          <w:szCs w:val="28"/>
          <w:lang w:val="uk-UA"/>
        </w:rPr>
        <w:t>скаду "Веселка"</w:t>
      </w:r>
      <w:r w:rsidRPr="007B582D">
        <w:rPr>
          <w:rFonts w:eastAsia="Calibri"/>
          <w:sz w:val="28"/>
          <w:szCs w:val="28"/>
          <w:lang w:val="uk-UA"/>
        </w:rPr>
        <w:t>, шляхопроводу по пр.</w:t>
      </w:r>
      <w:r w:rsidR="004970E5">
        <w:rPr>
          <w:rFonts w:eastAsia="Calibri"/>
          <w:sz w:val="28"/>
          <w:szCs w:val="28"/>
          <w:lang w:val="uk-UA"/>
        </w:rPr>
        <w:t> </w:t>
      </w:r>
      <w:r w:rsidRPr="007B582D">
        <w:rPr>
          <w:rFonts w:eastAsia="Calibri"/>
          <w:sz w:val="28"/>
          <w:szCs w:val="28"/>
          <w:lang w:val="uk-UA"/>
        </w:rPr>
        <w:t>Металургів та шляхопрово</w:t>
      </w:r>
      <w:r w:rsidR="005E5CC4" w:rsidRPr="007B582D">
        <w:rPr>
          <w:rFonts w:eastAsia="Calibri"/>
          <w:sz w:val="28"/>
          <w:szCs w:val="28"/>
          <w:lang w:val="uk-UA"/>
        </w:rPr>
        <w:t>ду № </w:t>
      </w:r>
      <w:r w:rsidRPr="007B582D">
        <w:rPr>
          <w:rFonts w:eastAsia="Calibri"/>
          <w:sz w:val="28"/>
          <w:szCs w:val="28"/>
          <w:lang w:val="uk-UA"/>
        </w:rPr>
        <w:t>1 по вул.</w:t>
      </w:r>
      <w:r w:rsidR="004970E5">
        <w:rPr>
          <w:rFonts w:eastAsia="Calibri"/>
          <w:sz w:val="28"/>
          <w:szCs w:val="28"/>
          <w:lang w:val="uk-UA"/>
        </w:rPr>
        <w:t> </w:t>
      </w:r>
      <w:r w:rsidRPr="007B582D">
        <w:rPr>
          <w:rFonts w:eastAsia="Calibri"/>
          <w:sz w:val="28"/>
          <w:szCs w:val="28"/>
          <w:lang w:val="uk-UA"/>
        </w:rPr>
        <w:t>Калібровій</w:t>
      </w:r>
      <w:r w:rsidR="004970E5">
        <w:rPr>
          <w:rFonts w:eastAsia="Calibri"/>
          <w:sz w:val="28"/>
          <w:szCs w:val="28"/>
          <w:lang w:val="uk-UA"/>
        </w:rPr>
        <w:t>,</w:t>
      </w:r>
      <w:r w:rsidR="005E5CC4" w:rsidRPr="007B582D">
        <w:rPr>
          <w:rFonts w:eastAsia="Calibri"/>
          <w:sz w:val="28"/>
          <w:szCs w:val="28"/>
          <w:lang w:val="uk-UA"/>
        </w:rPr>
        <w:t xml:space="preserve"> автодороги по </w:t>
      </w:r>
      <w:r w:rsidR="004970E5">
        <w:rPr>
          <w:rFonts w:eastAsia="Calibri"/>
          <w:sz w:val="28"/>
          <w:szCs w:val="28"/>
          <w:lang w:val="uk-UA"/>
        </w:rPr>
        <w:t>вул. </w:t>
      </w:r>
      <w:r w:rsidRPr="007B582D">
        <w:rPr>
          <w:rFonts w:eastAsia="Calibri"/>
          <w:sz w:val="28"/>
          <w:szCs w:val="28"/>
          <w:lang w:val="uk-UA"/>
        </w:rPr>
        <w:t>Шкільній.</w:t>
      </w:r>
    </w:p>
    <w:p w:rsidR="00F527AE" w:rsidRPr="007B582D" w:rsidRDefault="00F527AE" w:rsidP="00F527AE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На утримання, поточний та капітальний ремонт об’єктів благоустрою спрямовано 83,3 млн.грн. Зазначені кошти використано на: забезпечення </w:t>
      </w:r>
      <w:r w:rsidRPr="007B582D">
        <w:rPr>
          <w:rFonts w:eastAsia="Calibri"/>
          <w:sz w:val="28"/>
          <w:szCs w:val="28"/>
          <w:lang w:val="uk-UA"/>
        </w:rPr>
        <w:lastRenderedPageBreak/>
        <w:t xml:space="preserve">зовнішнього освітлення міста та утримання </w:t>
      </w:r>
      <w:proofErr w:type="spellStart"/>
      <w:r w:rsidRPr="007B582D">
        <w:rPr>
          <w:rFonts w:eastAsia="Calibri"/>
          <w:sz w:val="28"/>
          <w:szCs w:val="28"/>
          <w:lang w:val="uk-UA"/>
        </w:rPr>
        <w:t>світлоточок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 (33,5 млн.грн.), догляд зелених насаджень, </w:t>
      </w:r>
      <w:r w:rsidR="005E5CC4" w:rsidRPr="007B582D">
        <w:rPr>
          <w:rFonts w:eastAsia="Calibri"/>
          <w:sz w:val="28"/>
          <w:szCs w:val="28"/>
          <w:lang w:val="uk-UA"/>
        </w:rPr>
        <w:t xml:space="preserve">обрізку та видалення </w:t>
      </w:r>
      <w:r w:rsidRPr="007B582D">
        <w:rPr>
          <w:rFonts w:eastAsia="Calibri"/>
          <w:sz w:val="28"/>
          <w:szCs w:val="28"/>
          <w:lang w:val="uk-UA"/>
        </w:rPr>
        <w:t>аварійно-небезпечних дерев, пнів та порослі (17,1 млн.грн.), поточний ремонт та утримання парків та площ, берегової лінії пляжів, фонтанів, громадських туалетів</w:t>
      </w:r>
      <w:r w:rsidR="005E5CC4" w:rsidRPr="007B582D">
        <w:rPr>
          <w:rFonts w:eastAsia="Calibri"/>
          <w:sz w:val="28"/>
          <w:szCs w:val="28"/>
          <w:lang w:val="uk-UA"/>
        </w:rPr>
        <w:t>, у т.ч.</w:t>
      </w:r>
      <w:r w:rsidRPr="007B582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7B582D">
        <w:rPr>
          <w:rFonts w:eastAsia="Calibri"/>
          <w:sz w:val="28"/>
          <w:szCs w:val="28"/>
          <w:lang w:val="uk-UA"/>
        </w:rPr>
        <w:t>енерго-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7B582D">
        <w:rPr>
          <w:rFonts w:eastAsia="Calibri"/>
          <w:sz w:val="28"/>
          <w:szCs w:val="28"/>
          <w:lang w:val="uk-UA"/>
        </w:rPr>
        <w:t>газо-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, водопостачання та водовідведення об’єктів </w:t>
      </w:r>
      <w:r w:rsidR="00035FDB" w:rsidRPr="007B582D">
        <w:rPr>
          <w:rFonts w:eastAsia="Calibri"/>
          <w:sz w:val="28"/>
          <w:szCs w:val="28"/>
          <w:lang w:val="uk-UA"/>
        </w:rPr>
        <w:t>(14,4 </w:t>
      </w:r>
      <w:r w:rsidRPr="007B582D">
        <w:rPr>
          <w:rFonts w:eastAsia="Calibri"/>
          <w:sz w:val="28"/>
          <w:szCs w:val="28"/>
          <w:lang w:val="uk-UA"/>
        </w:rPr>
        <w:t>млн.грн.), поточний ремонт та технічне обслуговува</w:t>
      </w:r>
      <w:r w:rsidR="005E5CC4" w:rsidRPr="007B582D">
        <w:rPr>
          <w:rFonts w:eastAsia="Calibri"/>
          <w:sz w:val="28"/>
          <w:szCs w:val="28"/>
          <w:lang w:val="uk-UA"/>
        </w:rPr>
        <w:t>ння</w:t>
      </w:r>
      <w:r w:rsidRPr="007B582D">
        <w:rPr>
          <w:rFonts w:eastAsia="Calibri"/>
          <w:sz w:val="28"/>
          <w:szCs w:val="28"/>
          <w:lang w:val="uk-UA"/>
        </w:rPr>
        <w:t xml:space="preserve"> світлофорних об’єктів (4,7 млн.грн.), перевезення експертних трупів, утримання та поточний ремонт об’єктів кладовищ (4,3</w:t>
      </w:r>
      <w:r w:rsidR="005E5CC4" w:rsidRPr="007B582D">
        <w:rPr>
          <w:rFonts w:eastAsia="Calibri"/>
          <w:sz w:val="28"/>
          <w:szCs w:val="28"/>
          <w:lang w:val="uk-UA"/>
        </w:rPr>
        <w:t> </w:t>
      </w:r>
      <w:r w:rsidRPr="007B582D">
        <w:rPr>
          <w:rFonts w:eastAsia="Calibri"/>
          <w:sz w:val="28"/>
          <w:szCs w:val="28"/>
          <w:lang w:val="uk-UA"/>
        </w:rPr>
        <w:t xml:space="preserve">млн.грн.), захоронення твердих побутових відходів </w:t>
      </w:r>
      <w:r w:rsidR="00035FDB" w:rsidRPr="007B582D">
        <w:rPr>
          <w:rFonts w:eastAsia="Calibri"/>
          <w:sz w:val="28"/>
          <w:szCs w:val="28"/>
          <w:lang w:val="uk-UA"/>
        </w:rPr>
        <w:t>(3,7 </w:t>
      </w:r>
      <w:r w:rsidRPr="007B582D">
        <w:rPr>
          <w:rFonts w:eastAsia="Calibri"/>
          <w:sz w:val="28"/>
          <w:szCs w:val="28"/>
          <w:lang w:val="uk-UA"/>
        </w:rPr>
        <w:t xml:space="preserve">млн.грн.), нанесення дорожньої розмітки </w:t>
      </w:r>
      <w:r w:rsidR="00035FDB" w:rsidRPr="007B582D">
        <w:rPr>
          <w:rFonts w:eastAsia="Calibri"/>
          <w:sz w:val="28"/>
          <w:szCs w:val="28"/>
          <w:lang w:val="uk-UA"/>
        </w:rPr>
        <w:t>(1,0 </w:t>
      </w:r>
      <w:r w:rsidRPr="007B582D">
        <w:rPr>
          <w:rFonts w:eastAsia="Calibri"/>
          <w:sz w:val="28"/>
          <w:szCs w:val="28"/>
          <w:lang w:val="uk-UA"/>
        </w:rPr>
        <w:t>млн.грн.) тощо.</w:t>
      </w:r>
    </w:p>
    <w:p w:rsidR="00F527AE" w:rsidRPr="007B582D" w:rsidRDefault="00F527AE" w:rsidP="00F527AE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>За рахунок коштів бюджету розвитку міста проведено капітальний ремонт ме</w:t>
      </w:r>
      <w:r w:rsidR="004970E5">
        <w:rPr>
          <w:rFonts w:eastAsia="Calibri"/>
          <w:sz w:val="28"/>
          <w:szCs w:val="28"/>
          <w:lang w:val="uk-UA"/>
        </w:rPr>
        <w:t>реж зовнішнього освітлення</w:t>
      </w:r>
      <w:r w:rsidRPr="007B582D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="004970E5">
        <w:rPr>
          <w:rFonts w:eastAsia="Calibri"/>
          <w:sz w:val="28"/>
          <w:szCs w:val="28"/>
          <w:lang w:val="uk-UA"/>
        </w:rPr>
        <w:t>облаштовано</w:t>
      </w:r>
      <w:proofErr w:type="spellEnd"/>
      <w:r w:rsidR="004970E5">
        <w:rPr>
          <w:rFonts w:eastAsia="Calibri"/>
          <w:sz w:val="28"/>
          <w:szCs w:val="28"/>
          <w:lang w:val="uk-UA"/>
        </w:rPr>
        <w:t xml:space="preserve"> дитячих майданчиків, </w:t>
      </w:r>
      <w:r w:rsidRPr="007B582D">
        <w:rPr>
          <w:rFonts w:eastAsia="Calibri"/>
          <w:sz w:val="28"/>
          <w:szCs w:val="28"/>
          <w:lang w:val="uk-UA"/>
        </w:rPr>
        <w:t xml:space="preserve">встановлено </w:t>
      </w:r>
      <w:r w:rsidR="004970E5">
        <w:rPr>
          <w:rFonts w:eastAsia="Calibri"/>
          <w:sz w:val="28"/>
          <w:szCs w:val="28"/>
          <w:lang w:val="uk-UA"/>
        </w:rPr>
        <w:t>лав, урн тощо</w:t>
      </w:r>
      <w:r w:rsidR="00035FDB" w:rsidRPr="007B582D">
        <w:rPr>
          <w:rFonts w:eastAsia="Calibri"/>
          <w:sz w:val="28"/>
          <w:szCs w:val="28"/>
          <w:lang w:val="uk-UA"/>
        </w:rPr>
        <w:t xml:space="preserve"> </w:t>
      </w:r>
      <w:r w:rsidR="004970E5">
        <w:rPr>
          <w:rFonts w:eastAsia="Calibri"/>
          <w:sz w:val="28"/>
          <w:szCs w:val="28"/>
          <w:lang w:val="uk-UA"/>
        </w:rPr>
        <w:t xml:space="preserve">на загальну суму </w:t>
      </w:r>
      <w:r w:rsidR="004970E5" w:rsidRPr="00300A3B">
        <w:rPr>
          <w:rFonts w:eastAsia="Calibri"/>
          <w:sz w:val="28"/>
          <w:szCs w:val="28"/>
          <w:lang w:val="uk-UA"/>
        </w:rPr>
        <w:t>3,1 млн.грн.</w:t>
      </w:r>
      <w:r w:rsidRPr="007B582D">
        <w:rPr>
          <w:rFonts w:eastAsia="Calibri"/>
          <w:sz w:val="28"/>
          <w:szCs w:val="28"/>
          <w:lang w:val="uk-UA"/>
        </w:rPr>
        <w:t xml:space="preserve"> </w:t>
      </w:r>
    </w:p>
    <w:p w:rsidR="004970E5" w:rsidRDefault="00F527AE" w:rsidP="00F527AE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Видатки на будівництво та реконструкцію об’єктів інфраструктури міста склали 27,1 млн.грн.</w:t>
      </w:r>
      <w:r w:rsidR="004970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з яких на 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будівництво та реконструкцію: </w:t>
      </w:r>
    </w:p>
    <w:p w:rsidR="004970E5" w:rsidRDefault="00F527AE" w:rsidP="004970E5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пляжів, парків, скверів </w:t>
      </w:r>
      <w:r w:rsidR="004970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13,7</w:t>
      </w:r>
      <w:r w:rsidR="00035FDB"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млн.грн.</w:t>
      </w:r>
      <w:r w:rsidR="004970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Тривали роботи з реконструкції 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зони відпочинку по вул.</w:t>
      </w:r>
      <w:r w:rsidR="004970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Л.Шмідта (2,9</w:t>
      </w:r>
      <w:r w:rsidR="00035FDB"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млн.грн.), парку ім.</w:t>
      </w:r>
      <w:r w:rsidR="004970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Гагаріна (1,5</w:t>
      </w:r>
      <w:r w:rsidR="00035FDB"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млн.грн.), скверу по вул.</w:t>
      </w:r>
      <w:r w:rsidR="004970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Л.Чайкіної (</w:t>
      </w:r>
      <w:r w:rsidR="00035FDB"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0,8 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млн.грн.), </w:t>
      </w:r>
      <w:proofErr w:type="spellStart"/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ЦПКтаВ</w:t>
      </w:r>
      <w:proofErr w:type="spellEnd"/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"Дубовий Гай" (</w:t>
      </w:r>
      <w:r w:rsidR="00035FDB"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0,7 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млн.грн.), </w:t>
      </w:r>
    </w:p>
    <w:p w:rsidR="004970E5" w:rsidRDefault="00F527AE" w:rsidP="004970E5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мереж зовнішнього освітлення </w:t>
      </w:r>
      <w:r w:rsidR="004970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4,4 млн.грн., </w:t>
      </w:r>
    </w:p>
    <w:p w:rsidR="00F527AE" w:rsidRPr="007B582D" w:rsidRDefault="00F527AE" w:rsidP="004970E5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тротуарів, пішохідного мосту та зливової каналізації</w:t>
      </w:r>
      <w:r w:rsidR="004970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8,4</w:t>
      </w:r>
      <w:r w:rsidR="00035FDB"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млн.грн. На стадії завершення роботи по 4</w:t>
      </w:r>
      <w:r w:rsidR="00FC48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-ій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черзі реконструкції пішохідної частини по пр.</w:t>
      </w:r>
      <w:r w:rsidR="00FC48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Маяковського та 1</w:t>
      </w:r>
      <w:r w:rsidR="00FC48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-ій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черзі реконструкції Правобережного пляжу.</w:t>
      </w:r>
    </w:p>
    <w:p w:rsidR="00F527AE" w:rsidRPr="007B582D" w:rsidRDefault="00F527AE" w:rsidP="00F527AE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Програма поводження з тваринами </w:t>
      </w:r>
      <w:proofErr w:type="spellStart"/>
      <w:r w:rsidRPr="007B58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м.Запоріжжя</w:t>
      </w:r>
      <w:proofErr w:type="spellEnd"/>
      <w:r w:rsidRPr="007B58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– 1,0 млн.грн.,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що складає 96,8 % планових показників.</w:t>
      </w:r>
    </w:p>
    <w:p w:rsidR="00F527AE" w:rsidRPr="007B582D" w:rsidRDefault="00F527AE" w:rsidP="004C253A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Видатки спрямовано на проведення заходів з регулювання чисельності тварин та забезпечення функціонування </w:t>
      </w:r>
      <w:proofErr w:type="spellStart"/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Побутовик</w:t>
      </w:r>
      <w:proofErr w:type="spellEnd"/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», яке займається питаннями </w:t>
      </w:r>
      <w:r w:rsidR="004C253A"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сфері поводження з тваринами.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перше півріччя ветеринарними послугами охоплено 813 безпритульних тварин.</w:t>
      </w:r>
    </w:p>
    <w:p w:rsidR="00F527AE" w:rsidRPr="007B582D" w:rsidRDefault="00F527AE" w:rsidP="004C253A">
      <w:pPr>
        <w:pStyle w:val="ad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Програма фінансування заходів з дератизації відкритих стацій та дезінсекції </w:t>
      </w:r>
      <w:proofErr w:type="spellStart"/>
      <w:r w:rsidRPr="007B58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анофе</w:t>
      </w:r>
      <w:r w:rsidR="00035FDB" w:rsidRPr="007B58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логенних</w:t>
      </w:r>
      <w:proofErr w:type="spellEnd"/>
      <w:r w:rsidR="00035FDB" w:rsidRPr="007B58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водоймищ </w:t>
      </w:r>
      <w:proofErr w:type="spellStart"/>
      <w:r w:rsidR="00035FDB" w:rsidRPr="007B58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м.Запоріжжя</w:t>
      </w:r>
      <w:proofErr w:type="spellEnd"/>
      <w:r w:rsidR="00035FDB" w:rsidRPr="007B58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B582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- 0,2 млн.грн., 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що складає 75,5% планових показників. </w:t>
      </w:r>
      <w:r w:rsidRPr="007B58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попередження та зниження інфекційних захворювань, що розповсюджуються гризунами та комарами в місті проведено заходи з дератизації відкритих стацій на площі 79,7 </w:t>
      </w:r>
      <w:proofErr w:type="spellStart"/>
      <w:r w:rsidRPr="007B582D">
        <w:rPr>
          <w:rFonts w:ascii="Times New Roman" w:eastAsia="Calibri" w:hAnsi="Times New Roman" w:cs="Times New Roman"/>
          <w:sz w:val="28"/>
          <w:szCs w:val="28"/>
          <w:lang w:val="uk-UA"/>
        </w:rPr>
        <w:t>тис.кв.м</w:t>
      </w:r>
      <w:proofErr w:type="spellEnd"/>
      <w:r w:rsidRPr="007B58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та дезінсекції </w:t>
      </w:r>
      <w:proofErr w:type="spellStart"/>
      <w:r w:rsidRPr="007B582D">
        <w:rPr>
          <w:rFonts w:ascii="Times New Roman" w:eastAsia="Calibri" w:hAnsi="Times New Roman" w:cs="Times New Roman"/>
          <w:sz w:val="28"/>
          <w:szCs w:val="28"/>
          <w:lang w:val="uk-UA"/>
        </w:rPr>
        <w:t>анофелогенних</w:t>
      </w:r>
      <w:proofErr w:type="spellEnd"/>
      <w:r w:rsidRPr="007B58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водоймищ </w:t>
      </w:r>
      <w:r w:rsidR="004C253A" w:rsidRPr="007B58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площі </w:t>
      </w:r>
      <w:r w:rsidRPr="007B582D">
        <w:rPr>
          <w:rFonts w:ascii="Times New Roman" w:eastAsia="Calibri" w:hAnsi="Times New Roman" w:cs="Times New Roman"/>
          <w:sz w:val="28"/>
          <w:szCs w:val="28"/>
          <w:lang w:val="uk-UA"/>
        </w:rPr>
        <w:t>83,6 га.</w:t>
      </w:r>
    </w:p>
    <w:p w:rsidR="00F527AE" w:rsidRPr="007B582D" w:rsidRDefault="00F527AE" w:rsidP="00F527AE">
      <w:pPr>
        <w:pStyle w:val="213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B582D">
        <w:rPr>
          <w:sz w:val="28"/>
          <w:szCs w:val="28"/>
        </w:rPr>
        <w:t>На розвиток транспортної галузі спрямовано 251,3 млн.грн. (75,5% планових показників), за рахунок яких н</w:t>
      </w:r>
      <w:r w:rsidRPr="007B582D">
        <w:rPr>
          <w:rFonts w:eastAsia="Calibri"/>
          <w:sz w:val="28"/>
          <w:szCs w:val="28"/>
        </w:rPr>
        <w:t>адано фінансову підтримку ЗКПМЕ</w:t>
      </w:r>
      <w:r w:rsidR="00845A5A">
        <w:rPr>
          <w:rFonts w:eastAsia="Calibri"/>
          <w:sz w:val="28"/>
          <w:szCs w:val="28"/>
        </w:rPr>
        <w:t> </w:t>
      </w:r>
      <w:proofErr w:type="spellStart"/>
      <w:r w:rsidRPr="007B582D">
        <w:rPr>
          <w:rFonts w:eastAsia="Calibri"/>
          <w:sz w:val="28"/>
          <w:szCs w:val="28"/>
        </w:rPr>
        <w:t>Запоріжелектротранс</w:t>
      </w:r>
      <w:proofErr w:type="spellEnd"/>
      <w:r w:rsidRPr="007B582D">
        <w:rPr>
          <w:rFonts w:eastAsia="Calibri"/>
          <w:sz w:val="28"/>
          <w:szCs w:val="28"/>
        </w:rPr>
        <w:t>» для забезпечення належної та безперебійної роботи підприємства у сумі 151,6 млн.грн., з</w:t>
      </w:r>
      <w:r w:rsidRPr="007B582D">
        <w:rPr>
          <w:sz w:val="28"/>
          <w:szCs w:val="28"/>
        </w:rPr>
        <w:t xml:space="preserve">дійснено видатки на забезпечення виконання умов договорів фінансового лізингу на придбання автобусів великої місткості - 58,7 млн.грн., на </w:t>
      </w:r>
      <w:r w:rsidRPr="007B582D">
        <w:rPr>
          <w:rFonts w:eastAsia="Calibri"/>
          <w:sz w:val="28"/>
          <w:szCs w:val="28"/>
        </w:rPr>
        <w:t>придбання 9 тролейбусів та 2 трамваїв, що раніше експлуатувалися в країнах ЄС</w:t>
      </w:r>
      <w:r w:rsidR="003B015A">
        <w:rPr>
          <w:rFonts w:eastAsia="Calibri"/>
          <w:sz w:val="28"/>
          <w:szCs w:val="28"/>
        </w:rPr>
        <w:t>, витрачено 1</w:t>
      </w:r>
      <w:r w:rsidRPr="007B582D">
        <w:rPr>
          <w:rFonts w:eastAsia="Calibri"/>
          <w:sz w:val="28"/>
          <w:szCs w:val="28"/>
        </w:rPr>
        <w:t xml:space="preserve">5,4 млн.грн., проведення </w:t>
      </w:r>
      <w:r w:rsidRPr="007B582D">
        <w:rPr>
          <w:sz w:val="28"/>
          <w:szCs w:val="28"/>
        </w:rPr>
        <w:t>капітального ремонту 2</w:t>
      </w:r>
      <w:r w:rsidR="003B015A">
        <w:rPr>
          <w:sz w:val="28"/>
          <w:szCs w:val="28"/>
        </w:rPr>
        <w:t>-х</w:t>
      </w:r>
      <w:r w:rsidRPr="007B582D">
        <w:rPr>
          <w:sz w:val="28"/>
          <w:szCs w:val="28"/>
        </w:rPr>
        <w:t xml:space="preserve"> трамваїв Т-3 - 11,7 млн.грн. </w:t>
      </w:r>
    </w:p>
    <w:p w:rsidR="00F527AE" w:rsidRPr="007B582D" w:rsidRDefault="00F527AE" w:rsidP="004C253A">
      <w:pPr>
        <w:pStyle w:val="213"/>
        <w:spacing w:after="0" w:line="240" w:lineRule="auto"/>
        <w:ind w:firstLine="708"/>
        <w:jc w:val="both"/>
        <w:rPr>
          <w:sz w:val="28"/>
          <w:szCs w:val="28"/>
        </w:rPr>
      </w:pPr>
      <w:r w:rsidRPr="007B582D">
        <w:rPr>
          <w:sz w:val="28"/>
          <w:szCs w:val="28"/>
        </w:rPr>
        <w:t xml:space="preserve">На будівництво пасажирського терміналу </w:t>
      </w:r>
      <w:proofErr w:type="spellStart"/>
      <w:r w:rsidRPr="007B582D">
        <w:rPr>
          <w:sz w:val="28"/>
          <w:szCs w:val="28"/>
        </w:rPr>
        <w:t>КП</w:t>
      </w:r>
      <w:proofErr w:type="spellEnd"/>
      <w:r w:rsidRPr="007B582D">
        <w:rPr>
          <w:sz w:val="28"/>
          <w:szCs w:val="28"/>
        </w:rPr>
        <w:t xml:space="preserve"> "Міжнародний аеропорт Запоріжжя" спрямовано 13,9 млн.грн.</w:t>
      </w:r>
    </w:p>
    <w:p w:rsidR="00F527AE" w:rsidRPr="007B582D" w:rsidRDefault="00F527AE" w:rsidP="00742D7C">
      <w:pPr>
        <w:pStyle w:val="213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B582D">
        <w:rPr>
          <w:sz w:val="28"/>
          <w:szCs w:val="28"/>
        </w:rPr>
        <w:lastRenderedPageBreak/>
        <w:t xml:space="preserve">На заходи у сфері зв’язку, телекомунікації та інформатики з бюджету спрямовано 8,8 млн.грн., в тому числі </w:t>
      </w:r>
      <w:r w:rsidRPr="007B582D">
        <w:rPr>
          <w:i/>
          <w:sz w:val="28"/>
          <w:szCs w:val="28"/>
        </w:rPr>
        <w:t>на виконання міської цільової програми «Безпечне місто Запоріжжя» - 4,0 млн.грн.,</w:t>
      </w:r>
      <w:r w:rsidRPr="007B582D">
        <w:rPr>
          <w:sz w:val="28"/>
          <w:szCs w:val="28"/>
        </w:rPr>
        <w:t xml:space="preserve"> які спрямовано на продовження </w:t>
      </w:r>
      <w:r w:rsidRPr="007B582D">
        <w:rPr>
          <w:rFonts w:eastAsia="Calibri"/>
          <w:sz w:val="28"/>
          <w:szCs w:val="28"/>
          <w:lang w:eastAsia="ru-RU"/>
        </w:rPr>
        <w:t xml:space="preserve">будівельних робіт зі створення Ситуаційного командного центру та будівництво зон </w:t>
      </w:r>
      <w:proofErr w:type="spellStart"/>
      <w:r w:rsidRPr="007B582D">
        <w:rPr>
          <w:rFonts w:eastAsia="Calibri"/>
          <w:sz w:val="28"/>
          <w:szCs w:val="28"/>
          <w:lang w:eastAsia="ru-RU"/>
        </w:rPr>
        <w:t>відеоспостереження</w:t>
      </w:r>
      <w:proofErr w:type="spellEnd"/>
      <w:r w:rsidRPr="007B582D">
        <w:rPr>
          <w:rFonts w:eastAsia="Calibri"/>
          <w:sz w:val="28"/>
          <w:szCs w:val="28"/>
          <w:lang w:eastAsia="ru-RU"/>
        </w:rPr>
        <w:t xml:space="preserve"> у місті</w:t>
      </w:r>
      <w:r w:rsidR="004C253A" w:rsidRPr="007B582D">
        <w:rPr>
          <w:rFonts w:eastAsia="Calibri"/>
          <w:sz w:val="28"/>
          <w:szCs w:val="28"/>
          <w:lang w:eastAsia="ru-RU"/>
        </w:rPr>
        <w:t xml:space="preserve"> та </w:t>
      </w:r>
      <w:r w:rsidR="004C253A" w:rsidRPr="007B582D">
        <w:rPr>
          <w:i/>
          <w:sz w:val="27"/>
          <w:szCs w:val="27"/>
          <w:lang w:eastAsia="ru-RU"/>
        </w:rPr>
        <w:t>реалізацію заходів програми "Цифрова стратегія міста на 2017-2020 роки"</w:t>
      </w:r>
      <w:r w:rsidR="004C253A" w:rsidRPr="007B582D">
        <w:rPr>
          <w:sz w:val="27"/>
          <w:szCs w:val="27"/>
          <w:lang w:eastAsia="ru-RU"/>
        </w:rPr>
        <w:t xml:space="preserve"> – </w:t>
      </w:r>
      <w:r w:rsidR="00742D7C" w:rsidRPr="007B582D">
        <w:rPr>
          <w:sz w:val="27"/>
          <w:szCs w:val="27"/>
          <w:lang w:eastAsia="ru-RU"/>
        </w:rPr>
        <w:t>4,8</w:t>
      </w:r>
      <w:r w:rsidR="004C253A" w:rsidRPr="007B582D">
        <w:rPr>
          <w:sz w:val="27"/>
          <w:szCs w:val="27"/>
          <w:lang w:eastAsia="ru-RU"/>
        </w:rPr>
        <w:t> млн.грн.</w:t>
      </w:r>
      <w:r w:rsidRPr="007B582D">
        <w:rPr>
          <w:rFonts w:eastAsia="Calibri"/>
          <w:sz w:val="28"/>
          <w:szCs w:val="28"/>
          <w:lang w:eastAsia="ru-RU"/>
        </w:rPr>
        <w:t>.</w:t>
      </w:r>
    </w:p>
    <w:p w:rsidR="00F527AE" w:rsidRPr="007B582D" w:rsidRDefault="00F527AE" w:rsidP="00742D7C">
      <w:pPr>
        <w:pStyle w:val="213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B582D">
        <w:rPr>
          <w:sz w:val="28"/>
          <w:szCs w:val="28"/>
        </w:rPr>
        <w:t xml:space="preserve">Видатки бюджету міста на фінансування завдань та заходів, спрямованих </w:t>
      </w:r>
      <w:r w:rsidRPr="007B582D">
        <w:rPr>
          <w:i/>
          <w:sz w:val="28"/>
          <w:szCs w:val="28"/>
        </w:rPr>
        <w:t>на запобігання та ліквідацію наслідків надзвичайних ситуацій техногенного і природного характеру та організацію рятування на водних об’єктах склали 9,0 млн.грн.,</w:t>
      </w:r>
      <w:r w:rsidRPr="007B582D">
        <w:rPr>
          <w:sz w:val="28"/>
          <w:szCs w:val="28"/>
        </w:rPr>
        <w:t xml:space="preserve"> або 94,7% планових показників. Кошти направлено на забезпечення функціонування двох комунальних служб міста: Комунальної спеціальної воєнізованої аварійно-рятувальної служби</w:t>
      </w:r>
      <w:r w:rsidR="00742D7C" w:rsidRPr="007B582D">
        <w:rPr>
          <w:sz w:val="28"/>
          <w:szCs w:val="28"/>
        </w:rPr>
        <w:t xml:space="preserve"> </w:t>
      </w:r>
      <w:r w:rsidRPr="007B582D">
        <w:rPr>
          <w:sz w:val="28"/>
          <w:szCs w:val="28"/>
        </w:rPr>
        <w:t>(4,2</w:t>
      </w:r>
      <w:r w:rsidR="00742D7C" w:rsidRPr="007B582D">
        <w:rPr>
          <w:sz w:val="28"/>
          <w:szCs w:val="28"/>
        </w:rPr>
        <w:t> </w:t>
      </w:r>
      <w:r w:rsidRPr="007B582D">
        <w:rPr>
          <w:sz w:val="28"/>
          <w:szCs w:val="28"/>
        </w:rPr>
        <w:t>млн.грн.) та Запорізької міської рятувально-водолазної служби (4,8</w:t>
      </w:r>
      <w:r w:rsidR="003B015A">
        <w:rPr>
          <w:sz w:val="28"/>
          <w:szCs w:val="28"/>
        </w:rPr>
        <w:t> </w:t>
      </w:r>
      <w:r w:rsidRPr="007B582D">
        <w:rPr>
          <w:sz w:val="28"/>
          <w:szCs w:val="28"/>
        </w:rPr>
        <w:t xml:space="preserve">млн.грн.). </w:t>
      </w:r>
    </w:p>
    <w:p w:rsidR="00F527AE" w:rsidRPr="007B582D" w:rsidRDefault="00F527AE" w:rsidP="00F527AE">
      <w:pPr>
        <w:pStyle w:val="10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 xml:space="preserve"> Видатки на виконання заходів </w:t>
      </w:r>
      <w:r w:rsidRPr="007B582D">
        <w:rPr>
          <w:i/>
          <w:sz w:val="28"/>
          <w:szCs w:val="28"/>
          <w:lang w:val="uk-UA"/>
        </w:rPr>
        <w:t>Програми фінансування природоохоронних заходів за рахунок екологічних надходжень</w:t>
      </w:r>
      <w:r w:rsidRPr="007B582D">
        <w:rPr>
          <w:i/>
          <w:lang w:val="uk-UA"/>
        </w:rPr>
        <w:t xml:space="preserve"> </w:t>
      </w:r>
      <w:r w:rsidRPr="007B582D">
        <w:rPr>
          <w:rFonts w:eastAsia="Calibri"/>
          <w:i/>
          <w:sz w:val="28"/>
          <w:szCs w:val="28"/>
          <w:lang w:val="uk-UA"/>
        </w:rPr>
        <w:t>за звітний період</w:t>
      </w:r>
      <w:r w:rsidRPr="007B582D">
        <w:rPr>
          <w:i/>
          <w:lang w:val="uk-UA"/>
        </w:rPr>
        <w:t xml:space="preserve"> </w:t>
      </w:r>
      <w:r w:rsidRPr="007B582D">
        <w:rPr>
          <w:rFonts w:eastAsia="Calibri"/>
          <w:i/>
          <w:sz w:val="28"/>
          <w:szCs w:val="28"/>
          <w:lang w:val="uk-UA"/>
        </w:rPr>
        <w:t xml:space="preserve"> склали 2,1 млн.грн.</w:t>
      </w:r>
      <w:r w:rsidRPr="007B582D">
        <w:rPr>
          <w:rFonts w:eastAsia="Calibri"/>
          <w:sz w:val="28"/>
          <w:szCs w:val="28"/>
          <w:lang w:val="uk-UA"/>
        </w:rPr>
        <w:t xml:space="preserve"> Профінансовано роботи з будівництва Ландшафтного парку вздовж Прибережної магістралі – 0,6 млн.грн., озеленення міста – 0,5 млн.грн. заходи з підвищення рівня суспільної екологічної свідомості, в т.ч. проведення </w:t>
      </w:r>
      <w:proofErr w:type="spellStart"/>
      <w:r w:rsidRPr="007B582D">
        <w:rPr>
          <w:rFonts w:eastAsia="Calibri"/>
          <w:sz w:val="28"/>
          <w:szCs w:val="28"/>
          <w:lang w:val="uk-UA"/>
        </w:rPr>
        <w:t>Е</w:t>
      </w:r>
      <w:r w:rsidR="003B015A">
        <w:rPr>
          <w:rFonts w:eastAsia="Calibri"/>
          <w:sz w:val="28"/>
          <w:szCs w:val="28"/>
          <w:lang w:val="uk-UA"/>
        </w:rPr>
        <w:t>кофоруму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 (1,0 млн.грн.). </w:t>
      </w:r>
    </w:p>
    <w:p w:rsidR="00035FDB" w:rsidRPr="007B582D" w:rsidRDefault="00035FDB" w:rsidP="00035FDB">
      <w:pPr>
        <w:pStyle w:val="10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 xml:space="preserve">Видатки по </w:t>
      </w:r>
      <w:r w:rsidRPr="007B582D">
        <w:rPr>
          <w:i/>
          <w:sz w:val="28"/>
          <w:szCs w:val="28"/>
          <w:lang w:val="uk-UA"/>
        </w:rPr>
        <w:t>Програмі забезпечення молоді міста Запоріжжя житлом</w:t>
      </w:r>
      <w:r w:rsidR="00071911" w:rsidRPr="007B582D">
        <w:rPr>
          <w:sz w:val="28"/>
          <w:szCs w:val="28"/>
          <w:lang w:val="uk-UA"/>
        </w:rPr>
        <w:t xml:space="preserve"> проведені в обсязі</w:t>
      </w:r>
      <w:r w:rsidRPr="007B582D">
        <w:rPr>
          <w:sz w:val="28"/>
          <w:szCs w:val="28"/>
          <w:lang w:val="uk-UA"/>
        </w:rPr>
        <w:t xml:space="preserve"> 8,9 млн.грн., що складає 93,0% планових показників. Кошти спрямовано на надання 13 пільго</w:t>
      </w:r>
      <w:r w:rsidR="00071911" w:rsidRPr="007B582D">
        <w:rPr>
          <w:sz w:val="28"/>
          <w:szCs w:val="28"/>
          <w:lang w:val="uk-UA"/>
        </w:rPr>
        <w:t>вих кредитів на придбання житла.</w:t>
      </w:r>
    </w:p>
    <w:p w:rsidR="00AB4CDC" w:rsidRPr="007B582D" w:rsidRDefault="00AB4CDC" w:rsidP="00D6537E">
      <w:pPr>
        <w:pStyle w:val="21"/>
        <w:spacing w:after="0" w:line="240" w:lineRule="auto"/>
        <w:ind w:firstLine="709"/>
        <w:contextualSpacing/>
        <w:jc w:val="both"/>
        <w:rPr>
          <w:sz w:val="16"/>
          <w:szCs w:val="16"/>
        </w:rPr>
      </w:pPr>
    </w:p>
    <w:p w:rsidR="00D6537E" w:rsidRPr="007B582D" w:rsidRDefault="00D6537E" w:rsidP="00D6537E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B582D">
        <w:rPr>
          <w:sz w:val="28"/>
          <w:szCs w:val="28"/>
        </w:rPr>
        <w:t xml:space="preserve">За даними звітності про виконання бюджету міста </w:t>
      </w:r>
      <w:r w:rsidR="00AB4CDC" w:rsidRPr="007B582D">
        <w:rPr>
          <w:sz w:val="28"/>
          <w:szCs w:val="28"/>
        </w:rPr>
        <w:t>н</w:t>
      </w:r>
      <w:r w:rsidRPr="007B582D">
        <w:rPr>
          <w:sz w:val="28"/>
          <w:szCs w:val="28"/>
        </w:rPr>
        <w:t xml:space="preserve">а </w:t>
      </w:r>
      <w:r w:rsidR="00AB4CDC" w:rsidRPr="007B582D">
        <w:rPr>
          <w:sz w:val="28"/>
          <w:szCs w:val="28"/>
        </w:rPr>
        <w:t>звітну дату</w:t>
      </w:r>
      <w:r w:rsidRPr="007B582D">
        <w:rPr>
          <w:sz w:val="28"/>
          <w:szCs w:val="28"/>
        </w:rPr>
        <w:t xml:space="preserve"> кредиторська заборгованість склала </w:t>
      </w:r>
      <w:r w:rsidR="00626D39" w:rsidRPr="007B582D">
        <w:rPr>
          <w:sz w:val="28"/>
          <w:szCs w:val="28"/>
        </w:rPr>
        <w:t>4,1</w:t>
      </w:r>
      <w:r w:rsidRPr="007B582D">
        <w:rPr>
          <w:sz w:val="28"/>
          <w:szCs w:val="28"/>
        </w:rPr>
        <w:t xml:space="preserve"> млн.грн., в тому числі по загальному фонду бюджету – </w:t>
      </w:r>
      <w:r w:rsidR="002167A9" w:rsidRPr="007B582D">
        <w:rPr>
          <w:sz w:val="28"/>
          <w:szCs w:val="28"/>
        </w:rPr>
        <w:t>2,</w:t>
      </w:r>
      <w:r w:rsidR="000C2B02" w:rsidRPr="007B582D">
        <w:rPr>
          <w:sz w:val="28"/>
          <w:szCs w:val="28"/>
        </w:rPr>
        <w:t>6</w:t>
      </w:r>
      <w:r w:rsidR="00626D39" w:rsidRPr="007B582D">
        <w:rPr>
          <w:sz w:val="28"/>
          <w:szCs w:val="28"/>
        </w:rPr>
        <w:t> млн.грн. (</w:t>
      </w:r>
      <w:r w:rsidRPr="007B582D">
        <w:rPr>
          <w:sz w:val="28"/>
          <w:szCs w:val="28"/>
        </w:rPr>
        <w:t>заход</w:t>
      </w:r>
      <w:r w:rsidR="00626D39" w:rsidRPr="007B582D">
        <w:rPr>
          <w:sz w:val="28"/>
          <w:szCs w:val="28"/>
        </w:rPr>
        <w:t>и</w:t>
      </w:r>
      <w:r w:rsidRPr="007B582D">
        <w:rPr>
          <w:sz w:val="28"/>
          <w:szCs w:val="28"/>
        </w:rPr>
        <w:t xml:space="preserve"> державних програм соціального захисту населення за рахунок субвенцій з державного бюджету</w:t>
      </w:r>
      <w:r w:rsidR="00626D39" w:rsidRPr="007B582D">
        <w:rPr>
          <w:sz w:val="28"/>
          <w:szCs w:val="28"/>
        </w:rPr>
        <w:t>)</w:t>
      </w:r>
      <w:r w:rsidRPr="007B582D">
        <w:rPr>
          <w:sz w:val="28"/>
          <w:szCs w:val="28"/>
        </w:rPr>
        <w:t>, спеціальному фонду – 1,5 млн.грн.</w:t>
      </w:r>
      <w:bookmarkStart w:id="0" w:name="_GoBack"/>
      <w:bookmarkEnd w:id="0"/>
    </w:p>
    <w:p w:rsidR="00393789" w:rsidRPr="007B582D" w:rsidRDefault="00393789" w:rsidP="00541B47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225447" w:rsidRPr="007B582D" w:rsidRDefault="00225447" w:rsidP="00541B47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300A3B" w:rsidRDefault="00300A3B" w:rsidP="00225447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5C73A0" w:rsidRPr="007B582D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5C73A0" w:rsidRPr="007B582D">
        <w:rPr>
          <w:sz w:val="28"/>
          <w:szCs w:val="28"/>
          <w:lang w:val="uk-UA"/>
        </w:rPr>
        <w:t xml:space="preserve"> департаменту </w:t>
      </w:r>
    </w:p>
    <w:p w:rsidR="00300A3B" w:rsidRDefault="005C73A0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 xml:space="preserve">фінансової та бюджетної політики </w:t>
      </w:r>
    </w:p>
    <w:p w:rsidR="005C73A0" w:rsidRPr="007B582D" w:rsidRDefault="005C73A0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міської ради</w:t>
      </w:r>
      <w:r w:rsidRPr="007B582D">
        <w:rPr>
          <w:sz w:val="28"/>
          <w:szCs w:val="28"/>
          <w:lang w:val="uk-UA"/>
        </w:rPr>
        <w:tab/>
      </w:r>
      <w:r w:rsidRPr="007B582D">
        <w:rPr>
          <w:sz w:val="28"/>
          <w:szCs w:val="28"/>
          <w:lang w:val="uk-UA"/>
        </w:rPr>
        <w:tab/>
      </w:r>
      <w:r w:rsidRPr="007B582D">
        <w:rPr>
          <w:sz w:val="28"/>
          <w:szCs w:val="28"/>
          <w:lang w:val="uk-UA"/>
        </w:rPr>
        <w:tab/>
      </w:r>
      <w:r w:rsidRPr="007B582D">
        <w:rPr>
          <w:sz w:val="28"/>
          <w:szCs w:val="28"/>
          <w:lang w:val="uk-UA"/>
        </w:rPr>
        <w:tab/>
      </w:r>
      <w:r w:rsidRPr="007B582D">
        <w:rPr>
          <w:sz w:val="28"/>
          <w:szCs w:val="28"/>
          <w:lang w:val="uk-UA"/>
        </w:rPr>
        <w:tab/>
      </w:r>
      <w:r w:rsidR="00300A3B">
        <w:rPr>
          <w:sz w:val="28"/>
          <w:szCs w:val="28"/>
          <w:lang w:val="uk-UA"/>
        </w:rPr>
        <w:tab/>
      </w:r>
      <w:r w:rsidR="00300A3B">
        <w:rPr>
          <w:sz w:val="28"/>
          <w:szCs w:val="28"/>
          <w:lang w:val="uk-UA"/>
        </w:rPr>
        <w:tab/>
      </w:r>
      <w:r w:rsidR="00300A3B">
        <w:rPr>
          <w:sz w:val="28"/>
          <w:szCs w:val="28"/>
          <w:lang w:val="uk-UA"/>
        </w:rPr>
        <w:tab/>
        <w:t>В</w:t>
      </w:r>
      <w:r w:rsidRPr="007B582D">
        <w:rPr>
          <w:sz w:val="28"/>
          <w:szCs w:val="28"/>
          <w:lang w:val="uk-UA"/>
        </w:rPr>
        <w:t>.</w:t>
      </w:r>
      <w:r w:rsidR="00300A3B">
        <w:rPr>
          <w:sz w:val="28"/>
          <w:szCs w:val="28"/>
          <w:lang w:val="uk-UA"/>
        </w:rPr>
        <w:t>В.Логвиненко</w:t>
      </w:r>
    </w:p>
    <w:sectPr w:rsidR="005C73A0" w:rsidRPr="007B582D" w:rsidSect="007B582D">
      <w:headerReference w:type="even" r:id="rId16"/>
      <w:headerReference w:type="default" r:id="rId17"/>
      <w:pgSz w:w="11906" w:h="16838"/>
      <w:pgMar w:top="1134" w:right="567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07" w:rsidRDefault="002B6407">
      <w:r>
        <w:separator/>
      </w:r>
    </w:p>
  </w:endnote>
  <w:endnote w:type="continuationSeparator" w:id="0">
    <w:p w:rsidR="002B6407" w:rsidRDefault="002B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07" w:rsidRDefault="002B6407">
      <w:r>
        <w:separator/>
      </w:r>
    </w:p>
  </w:footnote>
  <w:footnote w:type="continuationSeparator" w:id="0">
    <w:p w:rsidR="002B6407" w:rsidRDefault="002B6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07" w:rsidRDefault="002B6407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6407" w:rsidRDefault="002B640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07" w:rsidRDefault="002B6407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0A3B">
      <w:rPr>
        <w:rStyle w:val="aa"/>
        <w:noProof/>
      </w:rPr>
      <w:t>9</w:t>
    </w:r>
    <w:r>
      <w:rPr>
        <w:rStyle w:val="aa"/>
      </w:rPr>
      <w:fldChar w:fldCharType="end"/>
    </w:r>
  </w:p>
  <w:p w:rsidR="002B6407" w:rsidRDefault="002B64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4CF"/>
    <w:multiLevelType w:val="hybridMultilevel"/>
    <w:tmpl w:val="0DBAED3E"/>
    <w:lvl w:ilvl="0" w:tplc="7A2A2A8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8FF5C17"/>
    <w:multiLevelType w:val="hybridMultilevel"/>
    <w:tmpl w:val="E0CED3B4"/>
    <w:lvl w:ilvl="0" w:tplc="1A3014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AA6423D"/>
    <w:multiLevelType w:val="hybridMultilevel"/>
    <w:tmpl w:val="B364A078"/>
    <w:lvl w:ilvl="0" w:tplc="D1E85DB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E6210"/>
    <w:multiLevelType w:val="hybridMultilevel"/>
    <w:tmpl w:val="9AB45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92BF9"/>
    <w:multiLevelType w:val="hybridMultilevel"/>
    <w:tmpl w:val="04521904"/>
    <w:lvl w:ilvl="0" w:tplc="8DC8AAC6">
      <w:start w:val="2011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D7A07F8"/>
    <w:multiLevelType w:val="hybridMultilevel"/>
    <w:tmpl w:val="C6880C36"/>
    <w:lvl w:ilvl="0" w:tplc="46FC9F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0F1E85"/>
    <w:multiLevelType w:val="hybridMultilevel"/>
    <w:tmpl w:val="89E2086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1E6769"/>
    <w:multiLevelType w:val="hybridMultilevel"/>
    <w:tmpl w:val="6E0059D8"/>
    <w:lvl w:ilvl="0" w:tplc="3100512C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D66745"/>
    <w:multiLevelType w:val="hybridMultilevel"/>
    <w:tmpl w:val="185E33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A3C2DA6"/>
    <w:multiLevelType w:val="hybridMultilevel"/>
    <w:tmpl w:val="3CA044E2"/>
    <w:lvl w:ilvl="0" w:tplc="CF80F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A30D42"/>
    <w:multiLevelType w:val="hybridMultilevel"/>
    <w:tmpl w:val="D19E37C0"/>
    <w:lvl w:ilvl="0" w:tplc="604245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1A603B"/>
    <w:multiLevelType w:val="hybridMultilevel"/>
    <w:tmpl w:val="67A0FDEE"/>
    <w:lvl w:ilvl="0" w:tplc="B1D600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DA02B6"/>
    <w:multiLevelType w:val="hybridMultilevel"/>
    <w:tmpl w:val="25E2966C"/>
    <w:lvl w:ilvl="0" w:tplc="CF80F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82334B"/>
    <w:multiLevelType w:val="hybridMultilevel"/>
    <w:tmpl w:val="F814B8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1C2B5C"/>
    <w:multiLevelType w:val="hybridMultilevel"/>
    <w:tmpl w:val="3BB6FD86"/>
    <w:lvl w:ilvl="0" w:tplc="0520EA2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683177"/>
    <w:multiLevelType w:val="hybridMultilevel"/>
    <w:tmpl w:val="FE08130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A9E747F"/>
    <w:multiLevelType w:val="hybridMultilevel"/>
    <w:tmpl w:val="DEBA2A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>
    <w:nsid w:val="6E24273A"/>
    <w:multiLevelType w:val="hybridMultilevel"/>
    <w:tmpl w:val="F7CAABCC"/>
    <w:lvl w:ilvl="0" w:tplc="FD7ADB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E6912FD"/>
    <w:multiLevelType w:val="hybridMultilevel"/>
    <w:tmpl w:val="C0341D42"/>
    <w:lvl w:ilvl="0" w:tplc="CF80F47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62E0E24"/>
    <w:multiLevelType w:val="hybridMultilevel"/>
    <w:tmpl w:val="8068922E"/>
    <w:lvl w:ilvl="0" w:tplc="4C9A42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A4A4E72"/>
    <w:multiLevelType w:val="hybridMultilevel"/>
    <w:tmpl w:val="3C50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C32DD"/>
    <w:multiLevelType w:val="hybridMultilevel"/>
    <w:tmpl w:val="FF2CFA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D67D3"/>
    <w:multiLevelType w:val="hybridMultilevel"/>
    <w:tmpl w:val="8C78553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9"/>
  </w:num>
  <w:num w:numId="8">
    <w:abstractNumId w:val="10"/>
  </w:num>
  <w:num w:numId="9">
    <w:abstractNumId w:val="5"/>
  </w:num>
  <w:num w:numId="10">
    <w:abstractNumId w:val="1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5"/>
  </w:num>
  <w:num w:numId="18">
    <w:abstractNumId w:val="8"/>
  </w:num>
  <w:num w:numId="19">
    <w:abstractNumId w:val="18"/>
  </w:num>
  <w:num w:numId="20">
    <w:abstractNumId w:val="9"/>
  </w:num>
  <w:num w:numId="21">
    <w:abstractNumId w:val="12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229"/>
    <w:rsid w:val="0000139B"/>
    <w:rsid w:val="00002C3E"/>
    <w:rsid w:val="0000461B"/>
    <w:rsid w:val="00004AD9"/>
    <w:rsid w:val="00004CDB"/>
    <w:rsid w:val="00012F00"/>
    <w:rsid w:val="00013EE8"/>
    <w:rsid w:val="000140BC"/>
    <w:rsid w:val="00014909"/>
    <w:rsid w:val="00014D8E"/>
    <w:rsid w:val="000175C6"/>
    <w:rsid w:val="00017686"/>
    <w:rsid w:val="00021459"/>
    <w:rsid w:val="00021D45"/>
    <w:rsid w:val="00022CD2"/>
    <w:rsid w:val="00024092"/>
    <w:rsid w:val="00026492"/>
    <w:rsid w:val="000300B0"/>
    <w:rsid w:val="0003412C"/>
    <w:rsid w:val="00034638"/>
    <w:rsid w:val="000349FE"/>
    <w:rsid w:val="00035312"/>
    <w:rsid w:val="00035FDB"/>
    <w:rsid w:val="0003703B"/>
    <w:rsid w:val="0004031D"/>
    <w:rsid w:val="000422F9"/>
    <w:rsid w:val="00046A7B"/>
    <w:rsid w:val="00050D58"/>
    <w:rsid w:val="00050F60"/>
    <w:rsid w:val="000527BF"/>
    <w:rsid w:val="00052E69"/>
    <w:rsid w:val="00055598"/>
    <w:rsid w:val="00055898"/>
    <w:rsid w:val="000565D4"/>
    <w:rsid w:val="000566F5"/>
    <w:rsid w:val="000569B4"/>
    <w:rsid w:val="00057602"/>
    <w:rsid w:val="000602F8"/>
    <w:rsid w:val="0006283D"/>
    <w:rsid w:val="00063C53"/>
    <w:rsid w:val="00063F5B"/>
    <w:rsid w:val="00064255"/>
    <w:rsid w:val="0006426B"/>
    <w:rsid w:val="00065FB2"/>
    <w:rsid w:val="000674F0"/>
    <w:rsid w:val="00067734"/>
    <w:rsid w:val="00067838"/>
    <w:rsid w:val="00067979"/>
    <w:rsid w:val="00071911"/>
    <w:rsid w:val="000764E4"/>
    <w:rsid w:val="00083D58"/>
    <w:rsid w:val="0008595D"/>
    <w:rsid w:val="00090E8B"/>
    <w:rsid w:val="00091373"/>
    <w:rsid w:val="00092D44"/>
    <w:rsid w:val="00093FD8"/>
    <w:rsid w:val="000A1309"/>
    <w:rsid w:val="000A30DB"/>
    <w:rsid w:val="000A352B"/>
    <w:rsid w:val="000A364F"/>
    <w:rsid w:val="000B2A00"/>
    <w:rsid w:val="000B42F8"/>
    <w:rsid w:val="000B4B65"/>
    <w:rsid w:val="000B527C"/>
    <w:rsid w:val="000B5BF8"/>
    <w:rsid w:val="000B5D0D"/>
    <w:rsid w:val="000B6E27"/>
    <w:rsid w:val="000C2B02"/>
    <w:rsid w:val="000C36E7"/>
    <w:rsid w:val="000C45CF"/>
    <w:rsid w:val="000C507A"/>
    <w:rsid w:val="000C50CA"/>
    <w:rsid w:val="000C5129"/>
    <w:rsid w:val="000C56E1"/>
    <w:rsid w:val="000C651B"/>
    <w:rsid w:val="000D08D3"/>
    <w:rsid w:val="000D165E"/>
    <w:rsid w:val="000D2BED"/>
    <w:rsid w:val="000D4396"/>
    <w:rsid w:val="000D538C"/>
    <w:rsid w:val="000E186A"/>
    <w:rsid w:val="000E1BAE"/>
    <w:rsid w:val="000E20AE"/>
    <w:rsid w:val="000E23CF"/>
    <w:rsid w:val="000E4D11"/>
    <w:rsid w:val="000E69F0"/>
    <w:rsid w:val="000F23BA"/>
    <w:rsid w:val="000F2AF0"/>
    <w:rsid w:val="000F4103"/>
    <w:rsid w:val="000F50B3"/>
    <w:rsid w:val="000F54FD"/>
    <w:rsid w:val="000F7427"/>
    <w:rsid w:val="000F7944"/>
    <w:rsid w:val="000F7C74"/>
    <w:rsid w:val="00104165"/>
    <w:rsid w:val="001048F7"/>
    <w:rsid w:val="0010591A"/>
    <w:rsid w:val="001077D8"/>
    <w:rsid w:val="00107C3B"/>
    <w:rsid w:val="001103EE"/>
    <w:rsid w:val="00110868"/>
    <w:rsid w:val="00111615"/>
    <w:rsid w:val="00111C9E"/>
    <w:rsid w:val="00111EC8"/>
    <w:rsid w:val="00113740"/>
    <w:rsid w:val="00113D5D"/>
    <w:rsid w:val="001144F8"/>
    <w:rsid w:val="001173C5"/>
    <w:rsid w:val="001174D4"/>
    <w:rsid w:val="00117DF8"/>
    <w:rsid w:val="001200F8"/>
    <w:rsid w:val="00120CBE"/>
    <w:rsid w:val="0012165D"/>
    <w:rsid w:val="00123372"/>
    <w:rsid w:val="00126736"/>
    <w:rsid w:val="00126C9E"/>
    <w:rsid w:val="001304BA"/>
    <w:rsid w:val="00130997"/>
    <w:rsid w:val="001329DB"/>
    <w:rsid w:val="00132C4E"/>
    <w:rsid w:val="00132F2A"/>
    <w:rsid w:val="001330AA"/>
    <w:rsid w:val="0013319E"/>
    <w:rsid w:val="00134B31"/>
    <w:rsid w:val="00135F68"/>
    <w:rsid w:val="001361B2"/>
    <w:rsid w:val="001412CB"/>
    <w:rsid w:val="00142DF8"/>
    <w:rsid w:val="00142F65"/>
    <w:rsid w:val="001431AE"/>
    <w:rsid w:val="0014601B"/>
    <w:rsid w:val="00147891"/>
    <w:rsid w:val="001501D9"/>
    <w:rsid w:val="00150E9B"/>
    <w:rsid w:val="00150EBA"/>
    <w:rsid w:val="00151A72"/>
    <w:rsid w:val="00151C7C"/>
    <w:rsid w:val="00154DCD"/>
    <w:rsid w:val="00155BD9"/>
    <w:rsid w:val="001568DD"/>
    <w:rsid w:val="001621E3"/>
    <w:rsid w:val="0016267A"/>
    <w:rsid w:val="0016343E"/>
    <w:rsid w:val="00165238"/>
    <w:rsid w:val="00165A80"/>
    <w:rsid w:val="00165BAF"/>
    <w:rsid w:val="0017178C"/>
    <w:rsid w:val="0017417E"/>
    <w:rsid w:val="00180467"/>
    <w:rsid w:val="001812AC"/>
    <w:rsid w:val="00181753"/>
    <w:rsid w:val="0018219A"/>
    <w:rsid w:val="00183AD5"/>
    <w:rsid w:val="00185319"/>
    <w:rsid w:val="001866CD"/>
    <w:rsid w:val="00186EDF"/>
    <w:rsid w:val="001879F4"/>
    <w:rsid w:val="00187FC3"/>
    <w:rsid w:val="001902E2"/>
    <w:rsid w:val="0019049D"/>
    <w:rsid w:val="001916B4"/>
    <w:rsid w:val="00192E49"/>
    <w:rsid w:val="001955A5"/>
    <w:rsid w:val="001957BE"/>
    <w:rsid w:val="001A0E81"/>
    <w:rsid w:val="001A254E"/>
    <w:rsid w:val="001A6E20"/>
    <w:rsid w:val="001A79AF"/>
    <w:rsid w:val="001B10F5"/>
    <w:rsid w:val="001B17DE"/>
    <w:rsid w:val="001B1AA0"/>
    <w:rsid w:val="001B1C6D"/>
    <w:rsid w:val="001B236A"/>
    <w:rsid w:val="001B4539"/>
    <w:rsid w:val="001B5D4F"/>
    <w:rsid w:val="001B63E2"/>
    <w:rsid w:val="001C0752"/>
    <w:rsid w:val="001C17EE"/>
    <w:rsid w:val="001C5126"/>
    <w:rsid w:val="001C52B3"/>
    <w:rsid w:val="001D28CA"/>
    <w:rsid w:val="001D35D3"/>
    <w:rsid w:val="001D5B2E"/>
    <w:rsid w:val="001D6070"/>
    <w:rsid w:val="001D6681"/>
    <w:rsid w:val="001D7990"/>
    <w:rsid w:val="001E03DA"/>
    <w:rsid w:val="001E3AB5"/>
    <w:rsid w:val="001E3D1D"/>
    <w:rsid w:val="001E557C"/>
    <w:rsid w:val="001E5E8E"/>
    <w:rsid w:val="001E6CAC"/>
    <w:rsid w:val="001F049C"/>
    <w:rsid w:val="001F33E8"/>
    <w:rsid w:val="001F415D"/>
    <w:rsid w:val="001F41C8"/>
    <w:rsid w:val="001F433D"/>
    <w:rsid w:val="001F652E"/>
    <w:rsid w:val="001F6EF4"/>
    <w:rsid w:val="001F7293"/>
    <w:rsid w:val="00202335"/>
    <w:rsid w:val="00202F90"/>
    <w:rsid w:val="00204BF7"/>
    <w:rsid w:val="00205000"/>
    <w:rsid w:val="002051C6"/>
    <w:rsid w:val="002053D6"/>
    <w:rsid w:val="00205BE2"/>
    <w:rsid w:val="002069AC"/>
    <w:rsid w:val="00207728"/>
    <w:rsid w:val="00207CAE"/>
    <w:rsid w:val="00213A50"/>
    <w:rsid w:val="0021481F"/>
    <w:rsid w:val="00215A9D"/>
    <w:rsid w:val="00215CD5"/>
    <w:rsid w:val="00215F19"/>
    <w:rsid w:val="002167A9"/>
    <w:rsid w:val="00217327"/>
    <w:rsid w:val="002200BA"/>
    <w:rsid w:val="002202DE"/>
    <w:rsid w:val="00221CD0"/>
    <w:rsid w:val="00225447"/>
    <w:rsid w:val="00227ECA"/>
    <w:rsid w:val="00233D9A"/>
    <w:rsid w:val="0023464A"/>
    <w:rsid w:val="00235B33"/>
    <w:rsid w:val="00237192"/>
    <w:rsid w:val="00237BAF"/>
    <w:rsid w:val="00242EE0"/>
    <w:rsid w:val="002448DC"/>
    <w:rsid w:val="00247826"/>
    <w:rsid w:val="00250252"/>
    <w:rsid w:val="00252C87"/>
    <w:rsid w:val="00253ED8"/>
    <w:rsid w:val="00256974"/>
    <w:rsid w:val="00256E10"/>
    <w:rsid w:val="00256FB1"/>
    <w:rsid w:val="00257161"/>
    <w:rsid w:val="00262008"/>
    <w:rsid w:val="00263E02"/>
    <w:rsid w:val="00264489"/>
    <w:rsid w:val="00264854"/>
    <w:rsid w:val="002656E3"/>
    <w:rsid w:val="00267A09"/>
    <w:rsid w:val="00267AAB"/>
    <w:rsid w:val="00270A1C"/>
    <w:rsid w:val="0027258A"/>
    <w:rsid w:val="0027297C"/>
    <w:rsid w:val="00274030"/>
    <w:rsid w:val="002764B5"/>
    <w:rsid w:val="002770DD"/>
    <w:rsid w:val="00277783"/>
    <w:rsid w:val="002778DF"/>
    <w:rsid w:val="002815A5"/>
    <w:rsid w:val="00281E6E"/>
    <w:rsid w:val="002820F8"/>
    <w:rsid w:val="00283BE3"/>
    <w:rsid w:val="00284899"/>
    <w:rsid w:val="00284B1C"/>
    <w:rsid w:val="0028630D"/>
    <w:rsid w:val="0028722C"/>
    <w:rsid w:val="002901AD"/>
    <w:rsid w:val="002941F6"/>
    <w:rsid w:val="002A0C83"/>
    <w:rsid w:val="002A1970"/>
    <w:rsid w:val="002A2088"/>
    <w:rsid w:val="002A2933"/>
    <w:rsid w:val="002A2F26"/>
    <w:rsid w:val="002A3C03"/>
    <w:rsid w:val="002A54DC"/>
    <w:rsid w:val="002A5571"/>
    <w:rsid w:val="002A59A1"/>
    <w:rsid w:val="002A6FBF"/>
    <w:rsid w:val="002B0AB4"/>
    <w:rsid w:val="002B1095"/>
    <w:rsid w:val="002B1A5A"/>
    <w:rsid w:val="002B21D0"/>
    <w:rsid w:val="002B2964"/>
    <w:rsid w:val="002B38AE"/>
    <w:rsid w:val="002B4391"/>
    <w:rsid w:val="002B5985"/>
    <w:rsid w:val="002B5BA6"/>
    <w:rsid w:val="002B62DA"/>
    <w:rsid w:val="002B6407"/>
    <w:rsid w:val="002C0105"/>
    <w:rsid w:val="002C0F8E"/>
    <w:rsid w:val="002C3462"/>
    <w:rsid w:val="002C473D"/>
    <w:rsid w:val="002C47AA"/>
    <w:rsid w:val="002C48F3"/>
    <w:rsid w:val="002C54EB"/>
    <w:rsid w:val="002C5650"/>
    <w:rsid w:val="002C5668"/>
    <w:rsid w:val="002C6817"/>
    <w:rsid w:val="002D0431"/>
    <w:rsid w:val="002D15EC"/>
    <w:rsid w:val="002D23F4"/>
    <w:rsid w:val="002D3225"/>
    <w:rsid w:val="002D3398"/>
    <w:rsid w:val="002D415D"/>
    <w:rsid w:val="002D4538"/>
    <w:rsid w:val="002D56D5"/>
    <w:rsid w:val="002E2FA5"/>
    <w:rsid w:val="002E37B3"/>
    <w:rsid w:val="002E536E"/>
    <w:rsid w:val="002E5FA8"/>
    <w:rsid w:val="002E5FC9"/>
    <w:rsid w:val="002E6032"/>
    <w:rsid w:val="002E6724"/>
    <w:rsid w:val="002F280D"/>
    <w:rsid w:val="002F3873"/>
    <w:rsid w:val="002F7315"/>
    <w:rsid w:val="00300A3B"/>
    <w:rsid w:val="00300E5D"/>
    <w:rsid w:val="0030127A"/>
    <w:rsid w:val="0030139C"/>
    <w:rsid w:val="00301D3B"/>
    <w:rsid w:val="00301E31"/>
    <w:rsid w:val="003100CB"/>
    <w:rsid w:val="00310EAF"/>
    <w:rsid w:val="00312225"/>
    <w:rsid w:val="00312874"/>
    <w:rsid w:val="003132D3"/>
    <w:rsid w:val="003153D1"/>
    <w:rsid w:val="00315626"/>
    <w:rsid w:val="00315772"/>
    <w:rsid w:val="00324123"/>
    <w:rsid w:val="003241E9"/>
    <w:rsid w:val="00326067"/>
    <w:rsid w:val="00326FEB"/>
    <w:rsid w:val="00330378"/>
    <w:rsid w:val="003314DF"/>
    <w:rsid w:val="003318A0"/>
    <w:rsid w:val="00331A1B"/>
    <w:rsid w:val="0033237F"/>
    <w:rsid w:val="0033351E"/>
    <w:rsid w:val="0033553D"/>
    <w:rsid w:val="00336AFC"/>
    <w:rsid w:val="00337811"/>
    <w:rsid w:val="00337C1F"/>
    <w:rsid w:val="00340F9E"/>
    <w:rsid w:val="00341053"/>
    <w:rsid w:val="00341D3C"/>
    <w:rsid w:val="00344A38"/>
    <w:rsid w:val="00345E08"/>
    <w:rsid w:val="003465EC"/>
    <w:rsid w:val="00346B95"/>
    <w:rsid w:val="003504FD"/>
    <w:rsid w:val="00351118"/>
    <w:rsid w:val="00351CDA"/>
    <w:rsid w:val="0035243D"/>
    <w:rsid w:val="00355069"/>
    <w:rsid w:val="00355907"/>
    <w:rsid w:val="00360C75"/>
    <w:rsid w:val="00364928"/>
    <w:rsid w:val="00364DFC"/>
    <w:rsid w:val="00365005"/>
    <w:rsid w:val="00367632"/>
    <w:rsid w:val="00367933"/>
    <w:rsid w:val="00367C87"/>
    <w:rsid w:val="00370602"/>
    <w:rsid w:val="00370A0F"/>
    <w:rsid w:val="00371094"/>
    <w:rsid w:val="003806C0"/>
    <w:rsid w:val="00382104"/>
    <w:rsid w:val="003847C7"/>
    <w:rsid w:val="00385309"/>
    <w:rsid w:val="003868C2"/>
    <w:rsid w:val="00386B42"/>
    <w:rsid w:val="00386FC8"/>
    <w:rsid w:val="00387522"/>
    <w:rsid w:val="003875D6"/>
    <w:rsid w:val="00387DB5"/>
    <w:rsid w:val="00391F30"/>
    <w:rsid w:val="003921B7"/>
    <w:rsid w:val="00393789"/>
    <w:rsid w:val="00394572"/>
    <w:rsid w:val="0039478B"/>
    <w:rsid w:val="00395C97"/>
    <w:rsid w:val="00395CF5"/>
    <w:rsid w:val="00395DAD"/>
    <w:rsid w:val="0039714D"/>
    <w:rsid w:val="003A19FB"/>
    <w:rsid w:val="003A28F3"/>
    <w:rsid w:val="003A2A0F"/>
    <w:rsid w:val="003A508F"/>
    <w:rsid w:val="003A579E"/>
    <w:rsid w:val="003A5E27"/>
    <w:rsid w:val="003A7124"/>
    <w:rsid w:val="003A76E0"/>
    <w:rsid w:val="003B015A"/>
    <w:rsid w:val="003B2C28"/>
    <w:rsid w:val="003B3C98"/>
    <w:rsid w:val="003B3CB3"/>
    <w:rsid w:val="003B469A"/>
    <w:rsid w:val="003B4710"/>
    <w:rsid w:val="003B500A"/>
    <w:rsid w:val="003B7657"/>
    <w:rsid w:val="003C4C67"/>
    <w:rsid w:val="003C51F4"/>
    <w:rsid w:val="003C6E4A"/>
    <w:rsid w:val="003C772D"/>
    <w:rsid w:val="003D0228"/>
    <w:rsid w:val="003D1B33"/>
    <w:rsid w:val="003D24CB"/>
    <w:rsid w:val="003D27EE"/>
    <w:rsid w:val="003D53C3"/>
    <w:rsid w:val="003D7168"/>
    <w:rsid w:val="003E0E40"/>
    <w:rsid w:val="003E1A77"/>
    <w:rsid w:val="003E258E"/>
    <w:rsid w:val="003E265B"/>
    <w:rsid w:val="003E4075"/>
    <w:rsid w:val="003E6806"/>
    <w:rsid w:val="003E6E52"/>
    <w:rsid w:val="003F0B08"/>
    <w:rsid w:val="003F48A4"/>
    <w:rsid w:val="003F4EB8"/>
    <w:rsid w:val="003F7453"/>
    <w:rsid w:val="00401CBB"/>
    <w:rsid w:val="00402C46"/>
    <w:rsid w:val="004030F8"/>
    <w:rsid w:val="004031B5"/>
    <w:rsid w:val="00403C04"/>
    <w:rsid w:val="00403EA8"/>
    <w:rsid w:val="004052F8"/>
    <w:rsid w:val="00405B10"/>
    <w:rsid w:val="00406156"/>
    <w:rsid w:val="00407CFE"/>
    <w:rsid w:val="00410291"/>
    <w:rsid w:val="00411268"/>
    <w:rsid w:val="00413EAC"/>
    <w:rsid w:val="00415E02"/>
    <w:rsid w:val="0041678D"/>
    <w:rsid w:val="004176D6"/>
    <w:rsid w:val="00417AFC"/>
    <w:rsid w:val="0042129C"/>
    <w:rsid w:val="0042163A"/>
    <w:rsid w:val="0042223B"/>
    <w:rsid w:val="00423348"/>
    <w:rsid w:val="00424910"/>
    <w:rsid w:val="00427253"/>
    <w:rsid w:val="00427285"/>
    <w:rsid w:val="00430ADA"/>
    <w:rsid w:val="00430B97"/>
    <w:rsid w:val="0043146A"/>
    <w:rsid w:val="00434076"/>
    <w:rsid w:val="00435A08"/>
    <w:rsid w:val="00436075"/>
    <w:rsid w:val="00441E85"/>
    <w:rsid w:val="0044309A"/>
    <w:rsid w:val="00445205"/>
    <w:rsid w:val="00445EC6"/>
    <w:rsid w:val="00451DC3"/>
    <w:rsid w:val="004547EF"/>
    <w:rsid w:val="0045503E"/>
    <w:rsid w:val="0045665E"/>
    <w:rsid w:val="0046163D"/>
    <w:rsid w:val="004616E1"/>
    <w:rsid w:val="004646BB"/>
    <w:rsid w:val="00464DBE"/>
    <w:rsid w:val="00465E01"/>
    <w:rsid w:val="004666C8"/>
    <w:rsid w:val="0047039B"/>
    <w:rsid w:val="004710E4"/>
    <w:rsid w:val="004719D4"/>
    <w:rsid w:val="00472B4A"/>
    <w:rsid w:val="00473140"/>
    <w:rsid w:val="004753E3"/>
    <w:rsid w:val="00477DF7"/>
    <w:rsid w:val="00481117"/>
    <w:rsid w:val="004812E5"/>
    <w:rsid w:val="00481756"/>
    <w:rsid w:val="00482D23"/>
    <w:rsid w:val="00482ED4"/>
    <w:rsid w:val="00483D76"/>
    <w:rsid w:val="00483E34"/>
    <w:rsid w:val="00484700"/>
    <w:rsid w:val="0048506E"/>
    <w:rsid w:val="004854C1"/>
    <w:rsid w:val="00487596"/>
    <w:rsid w:val="0049054F"/>
    <w:rsid w:val="00491D7A"/>
    <w:rsid w:val="00491F77"/>
    <w:rsid w:val="0049224B"/>
    <w:rsid w:val="00492268"/>
    <w:rsid w:val="004935A6"/>
    <w:rsid w:val="00493E5E"/>
    <w:rsid w:val="00495122"/>
    <w:rsid w:val="0049658B"/>
    <w:rsid w:val="00496D89"/>
    <w:rsid w:val="004970E5"/>
    <w:rsid w:val="00497120"/>
    <w:rsid w:val="004A09DB"/>
    <w:rsid w:val="004A0FDE"/>
    <w:rsid w:val="004A1D18"/>
    <w:rsid w:val="004A28AB"/>
    <w:rsid w:val="004A5E9D"/>
    <w:rsid w:val="004A63EF"/>
    <w:rsid w:val="004A7685"/>
    <w:rsid w:val="004A76B0"/>
    <w:rsid w:val="004B01EE"/>
    <w:rsid w:val="004B2831"/>
    <w:rsid w:val="004B5BE2"/>
    <w:rsid w:val="004B7913"/>
    <w:rsid w:val="004C253A"/>
    <w:rsid w:val="004C38FC"/>
    <w:rsid w:val="004C406E"/>
    <w:rsid w:val="004C4602"/>
    <w:rsid w:val="004C590F"/>
    <w:rsid w:val="004C601E"/>
    <w:rsid w:val="004D0F70"/>
    <w:rsid w:val="004D166D"/>
    <w:rsid w:val="004D249A"/>
    <w:rsid w:val="004D722E"/>
    <w:rsid w:val="004E0189"/>
    <w:rsid w:val="004E28C0"/>
    <w:rsid w:val="004E2D2E"/>
    <w:rsid w:val="004E43FC"/>
    <w:rsid w:val="004E5C6D"/>
    <w:rsid w:val="004E5DDD"/>
    <w:rsid w:val="004E7272"/>
    <w:rsid w:val="004E75EB"/>
    <w:rsid w:val="004F1334"/>
    <w:rsid w:val="004F2073"/>
    <w:rsid w:val="004F3053"/>
    <w:rsid w:val="004F36E4"/>
    <w:rsid w:val="004F585B"/>
    <w:rsid w:val="004F6F1A"/>
    <w:rsid w:val="004F72CF"/>
    <w:rsid w:val="004F7F71"/>
    <w:rsid w:val="00500A96"/>
    <w:rsid w:val="00506441"/>
    <w:rsid w:val="00506652"/>
    <w:rsid w:val="005068D2"/>
    <w:rsid w:val="00507846"/>
    <w:rsid w:val="00510DD2"/>
    <w:rsid w:val="00510FEF"/>
    <w:rsid w:val="00513B18"/>
    <w:rsid w:val="005203A3"/>
    <w:rsid w:val="0052063F"/>
    <w:rsid w:val="00522707"/>
    <w:rsid w:val="0052407A"/>
    <w:rsid w:val="0052460D"/>
    <w:rsid w:val="0052527C"/>
    <w:rsid w:val="00525CAE"/>
    <w:rsid w:val="00530328"/>
    <w:rsid w:val="00534B08"/>
    <w:rsid w:val="00537689"/>
    <w:rsid w:val="00541B47"/>
    <w:rsid w:val="00541BE7"/>
    <w:rsid w:val="00543647"/>
    <w:rsid w:val="00547A4A"/>
    <w:rsid w:val="00552259"/>
    <w:rsid w:val="00553689"/>
    <w:rsid w:val="005536D1"/>
    <w:rsid w:val="00556BEE"/>
    <w:rsid w:val="005575F6"/>
    <w:rsid w:val="00562952"/>
    <w:rsid w:val="00565559"/>
    <w:rsid w:val="00567EF3"/>
    <w:rsid w:val="00573873"/>
    <w:rsid w:val="00573EAD"/>
    <w:rsid w:val="0057467C"/>
    <w:rsid w:val="00574729"/>
    <w:rsid w:val="00576B2D"/>
    <w:rsid w:val="00577F00"/>
    <w:rsid w:val="005802F3"/>
    <w:rsid w:val="00580333"/>
    <w:rsid w:val="0058193D"/>
    <w:rsid w:val="00581D9F"/>
    <w:rsid w:val="00585462"/>
    <w:rsid w:val="00586A1E"/>
    <w:rsid w:val="005874AC"/>
    <w:rsid w:val="00591F88"/>
    <w:rsid w:val="0059238E"/>
    <w:rsid w:val="0059469D"/>
    <w:rsid w:val="005953A2"/>
    <w:rsid w:val="0059632C"/>
    <w:rsid w:val="0059790E"/>
    <w:rsid w:val="005979B7"/>
    <w:rsid w:val="005A031F"/>
    <w:rsid w:val="005A067B"/>
    <w:rsid w:val="005A5EB2"/>
    <w:rsid w:val="005B39EE"/>
    <w:rsid w:val="005B3B3A"/>
    <w:rsid w:val="005B3F31"/>
    <w:rsid w:val="005B6B75"/>
    <w:rsid w:val="005B7FAF"/>
    <w:rsid w:val="005C2246"/>
    <w:rsid w:val="005C2B77"/>
    <w:rsid w:val="005C73A0"/>
    <w:rsid w:val="005C7A49"/>
    <w:rsid w:val="005D0FC3"/>
    <w:rsid w:val="005D2319"/>
    <w:rsid w:val="005D2594"/>
    <w:rsid w:val="005D5F71"/>
    <w:rsid w:val="005D6F84"/>
    <w:rsid w:val="005D78FB"/>
    <w:rsid w:val="005E1514"/>
    <w:rsid w:val="005E2A49"/>
    <w:rsid w:val="005E2F5D"/>
    <w:rsid w:val="005E396A"/>
    <w:rsid w:val="005E3D0F"/>
    <w:rsid w:val="005E3F70"/>
    <w:rsid w:val="005E406D"/>
    <w:rsid w:val="005E5CC4"/>
    <w:rsid w:val="005E643F"/>
    <w:rsid w:val="005E7618"/>
    <w:rsid w:val="005F2878"/>
    <w:rsid w:val="005F2CB2"/>
    <w:rsid w:val="005F3723"/>
    <w:rsid w:val="005F38B7"/>
    <w:rsid w:val="005F4164"/>
    <w:rsid w:val="005F4900"/>
    <w:rsid w:val="005F62F8"/>
    <w:rsid w:val="005F6941"/>
    <w:rsid w:val="005F6E1C"/>
    <w:rsid w:val="005F71F1"/>
    <w:rsid w:val="005F7F99"/>
    <w:rsid w:val="00600382"/>
    <w:rsid w:val="00601224"/>
    <w:rsid w:val="00601A3A"/>
    <w:rsid w:val="00602ED9"/>
    <w:rsid w:val="006055D8"/>
    <w:rsid w:val="00605E57"/>
    <w:rsid w:val="00610020"/>
    <w:rsid w:val="006100D3"/>
    <w:rsid w:val="00612A5A"/>
    <w:rsid w:val="00612F70"/>
    <w:rsid w:val="00614930"/>
    <w:rsid w:val="00615534"/>
    <w:rsid w:val="00621585"/>
    <w:rsid w:val="00622D75"/>
    <w:rsid w:val="00623229"/>
    <w:rsid w:val="0062337F"/>
    <w:rsid w:val="00625041"/>
    <w:rsid w:val="0062551A"/>
    <w:rsid w:val="006266EF"/>
    <w:rsid w:val="00626D39"/>
    <w:rsid w:val="006312BB"/>
    <w:rsid w:val="006317AB"/>
    <w:rsid w:val="006321C7"/>
    <w:rsid w:val="00632B95"/>
    <w:rsid w:val="006401DF"/>
    <w:rsid w:val="006423E0"/>
    <w:rsid w:val="006440B8"/>
    <w:rsid w:val="006444F5"/>
    <w:rsid w:val="00645E0E"/>
    <w:rsid w:val="00646E28"/>
    <w:rsid w:val="00647C21"/>
    <w:rsid w:val="00654F58"/>
    <w:rsid w:val="00656533"/>
    <w:rsid w:val="00660788"/>
    <w:rsid w:val="00664480"/>
    <w:rsid w:val="00665589"/>
    <w:rsid w:val="0066637C"/>
    <w:rsid w:val="00666645"/>
    <w:rsid w:val="00666956"/>
    <w:rsid w:val="00666A05"/>
    <w:rsid w:val="0067121E"/>
    <w:rsid w:val="0067146F"/>
    <w:rsid w:val="00673A08"/>
    <w:rsid w:val="00673B0F"/>
    <w:rsid w:val="006748A7"/>
    <w:rsid w:val="00675437"/>
    <w:rsid w:val="00675531"/>
    <w:rsid w:val="006765EF"/>
    <w:rsid w:val="006769F4"/>
    <w:rsid w:val="00677E0F"/>
    <w:rsid w:val="0068172E"/>
    <w:rsid w:val="00684438"/>
    <w:rsid w:val="00685704"/>
    <w:rsid w:val="00691938"/>
    <w:rsid w:val="00691E05"/>
    <w:rsid w:val="006944E2"/>
    <w:rsid w:val="00695A43"/>
    <w:rsid w:val="00697F57"/>
    <w:rsid w:val="006A0AE3"/>
    <w:rsid w:val="006A417D"/>
    <w:rsid w:val="006A670D"/>
    <w:rsid w:val="006B435D"/>
    <w:rsid w:val="006B4878"/>
    <w:rsid w:val="006B5A70"/>
    <w:rsid w:val="006B6B3A"/>
    <w:rsid w:val="006B7A57"/>
    <w:rsid w:val="006C0EDC"/>
    <w:rsid w:val="006C1A4B"/>
    <w:rsid w:val="006C34D8"/>
    <w:rsid w:val="006C5186"/>
    <w:rsid w:val="006D0686"/>
    <w:rsid w:val="006D0E65"/>
    <w:rsid w:val="006D0F60"/>
    <w:rsid w:val="006D1689"/>
    <w:rsid w:val="006D1CD5"/>
    <w:rsid w:val="006D5A4A"/>
    <w:rsid w:val="006E1665"/>
    <w:rsid w:val="006E3C0A"/>
    <w:rsid w:val="006E51E7"/>
    <w:rsid w:val="006E56E4"/>
    <w:rsid w:val="006E603B"/>
    <w:rsid w:val="006E61CF"/>
    <w:rsid w:val="006E63A4"/>
    <w:rsid w:val="006E669B"/>
    <w:rsid w:val="006E761F"/>
    <w:rsid w:val="006F059A"/>
    <w:rsid w:val="006F2CF8"/>
    <w:rsid w:val="006F3AFF"/>
    <w:rsid w:val="006F783D"/>
    <w:rsid w:val="006F790E"/>
    <w:rsid w:val="00700271"/>
    <w:rsid w:val="00703224"/>
    <w:rsid w:val="00705094"/>
    <w:rsid w:val="007069C9"/>
    <w:rsid w:val="00706DBF"/>
    <w:rsid w:val="00710510"/>
    <w:rsid w:val="00710AD2"/>
    <w:rsid w:val="0071177E"/>
    <w:rsid w:val="0071315B"/>
    <w:rsid w:val="007136F2"/>
    <w:rsid w:val="00713C0C"/>
    <w:rsid w:val="00717481"/>
    <w:rsid w:val="00717670"/>
    <w:rsid w:val="00717F20"/>
    <w:rsid w:val="007225C6"/>
    <w:rsid w:val="00722B10"/>
    <w:rsid w:val="00722D49"/>
    <w:rsid w:val="00727B08"/>
    <w:rsid w:val="00730B84"/>
    <w:rsid w:val="007314CA"/>
    <w:rsid w:val="007362A1"/>
    <w:rsid w:val="00736E89"/>
    <w:rsid w:val="00740B2D"/>
    <w:rsid w:val="00741AE6"/>
    <w:rsid w:val="00742545"/>
    <w:rsid w:val="00742D7C"/>
    <w:rsid w:val="007432E8"/>
    <w:rsid w:val="00745EB2"/>
    <w:rsid w:val="00746D96"/>
    <w:rsid w:val="00751BB7"/>
    <w:rsid w:val="0075241F"/>
    <w:rsid w:val="00752678"/>
    <w:rsid w:val="00753D91"/>
    <w:rsid w:val="007543EF"/>
    <w:rsid w:val="00756540"/>
    <w:rsid w:val="00757BD6"/>
    <w:rsid w:val="00760E37"/>
    <w:rsid w:val="00760F9F"/>
    <w:rsid w:val="00761C85"/>
    <w:rsid w:val="00766BF0"/>
    <w:rsid w:val="00766E4F"/>
    <w:rsid w:val="00772A68"/>
    <w:rsid w:val="0077436A"/>
    <w:rsid w:val="00774709"/>
    <w:rsid w:val="00774747"/>
    <w:rsid w:val="007778A1"/>
    <w:rsid w:val="00777CED"/>
    <w:rsid w:val="007800C5"/>
    <w:rsid w:val="00780327"/>
    <w:rsid w:val="00781580"/>
    <w:rsid w:val="007817DF"/>
    <w:rsid w:val="007839D7"/>
    <w:rsid w:val="007866CB"/>
    <w:rsid w:val="00786FE3"/>
    <w:rsid w:val="00790AFC"/>
    <w:rsid w:val="0079187B"/>
    <w:rsid w:val="00792907"/>
    <w:rsid w:val="00793D1D"/>
    <w:rsid w:val="00795F51"/>
    <w:rsid w:val="00796AA2"/>
    <w:rsid w:val="007A0EC2"/>
    <w:rsid w:val="007A1324"/>
    <w:rsid w:val="007A18B9"/>
    <w:rsid w:val="007A309D"/>
    <w:rsid w:val="007A397A"/>
    <w:rsid w:val="007A56BC"/>
    <w:rsid w:val="007A7C8F"/>
    <w:rsid w:val="007A7FF6"/>
    <w:rsid w:val="007B0B49"/>
    <w:rsid w:val="007B0E6B"/>
    <w:rsid w:val="007B2259"/>
    <w:rsid w:val="007B264D"/>
    <w:rsid w:val="007B3922"/>
    <w:rsid w:val="007B4430"/>
    <w:rsid w:val="007B582D"/>
    <w:rsid w:val="007B5AC6"/>
    <w:rsid w:val="007C00DA"/>
    <w:rsid w:val="007C0896"/>
    <w:rsid w:val="007C1316"/>
    <w:rsid w:val="007C4472"/>
    <w:rsid w:val="007C5448"/>
    <w:rsid w:val="007C5993"/>
    <w:rsid w:val="007C5B81"/>
    <w:rsid w:val="007C6037"/>
    <w:rsid w:val="007C730F"/>
    <w:rsid w:val="007D0073"/>
    <w:rsid w:val="007D1F45"/>
    <w:rsid w:val="007D206A"/>
    <w:rsid w:val="007D267D"/>
    <w:rsid w:val="007D34A1"/>
    <w:rsid w:val="007D3A02"/>
    <w:rsid w:val="007D4FBE"/>
    <w:rsid w:val="007D7030"/>
    <w:rsid w:val="007D790B"/>
    <w:rsid w:val="007E0BF6"/>
    <w:rsid w:val="007E1C85"/>
    <w:rsid w:val="007E2709"/>
    <w:rsid w:val="007E2748"/>
    <w:rsid w:val="007E3769"/>
    <w:rsid w:val="007E37BA"/>
    <w:rsid w:val="007E5CBC"/>
    <w:rsid w:val="007E6BFE"/>
    <w:rsid w:val="007E7E41"/>
    <w:rsid w:val="007F0249"/>
    <w:rsid w:val="007F2070"/>
    <w:rsid w:val="007F7B32"/>
    <w:rsid w:val="007F7EBA"/>
    <w:rsid w:val="008022B8"/>
    <w:rsid w:val="00806F91"/>
    <w:rsid w:val="00807257"/>
    <w:rsid w:val="0081314E"/>
    <w:rsid w:val="008159DE"/>
    <w:rsid w:val="00820190"/>
    <w:rsid w:val="008204EC"/>
    <w:rsid w:val="00822031"/>
    <w:rsid w:val="00824DED"/>
    <w:rsid w:val="00824E10"/>
    <w:rsid w:val="0082573A"/>
    <w:rsid w:val="00826597"/>
    <w:rsid w:val="0083205F"/>
    <w:rsid w:val="00834328"/>
    <w:rsid w:val="0083532E"/>
    <w:rsid w:val="00836C10"/>
    <w:rsid w:val="00837B68"/>
    <w:rsid w:val="00840CE8"/>
    <w:rsid w:val="00842E1B"/>
    <w:rsid w:val="00843A20"/>
    <w:rsid w:val="00844CE5"/>
    <w:rsid w:val="008455ED"/>
    <w:rsid w:val="00845A5A"/>
    <w:rsid w:val="00845F82"/>
    <w:rsid w:val="00846606"/>
    <w:rsid w:val="00850564"/>
    <w:rsid w:val="00853A13"/>
    <w:rsid w:val="00854101"/>
    <w:rsid w:val="008543C4"/>
    <w:rsid w:val="00856498"/>
    <w:rsid w:val="0085716D"/>
    <w:rsid w:val="00860B84"/>
    <w:rsid w:val="00863277"/>
    <w:rsid w:val="00863E33"/>
    <w:rsid w:val="008652B7"/>
    <w:rsid w:val="008657AA"/>
    <w:rsid w:val="00866686"/>
    <w:rsid w:val="0087019A"/>
    <w:rsid w:val="00870FDB"/>
    <w:rsid w:val="008741B3"/>
    <w:rsid w:val="00874E9E"/>
    <w:rsid w:val="008750B1"/>
    <w:rsid w:val="00875163"/>
    <w:rsid w:val="0087538E"/>
    <w:rsid w:val="008756A3"/>
    <w:rsid w:val="00877B7C"/>
    <w:rsid w:val="00877C82"/>
    <w:rsid w:val="00880052"/>
    <w:rsid w:val="00880B67"/>
    <w:rsid w:val="008813F4"/>
    <w:rsid w:val="008839E5"/>
    <w:rsid w:val="00884C5E"/>
    <w:rsid w:val="00884FA3"/>
    <w:rsid w:val="00884FEF"/>
    <w:rsid w:val="008878A0"/>
    <w:rsid w:val="008878F4"/>
    <w:rsid w:val="00893C57"/>
    <w:rsid w:val="008954FF"/>
    <w:rsid w:val="00895D4A"/>
    <w:rsid w:val="0089601D"/>
    <w:rsid w:val="008A242F"/>
    <w:rsid w:val="008A2D22"/>
    <w:rsid w:val="008A38B3"/>
    <w:rsid w:val="008A5200"/>
    <w:rsid w:val="008A7F48"/>
    <w:rsid w:val="008B234D"/>
    <w:rsid w:val="008B2397"/>
    <w:rsid w:val="008B2465"/>
    <w:rsid w:val="008B3279"/>
    <w:rsid w:val="008B47F8"/>
    <w:rsid w:val="008B4D8E"/>
    <w:rsid w:val="008B5CB0"/>
    <w:rsid w:val="008C1F9B"/>
    <w:rsid w:val="008C20FF"/>
    <w:rsid w:val="008C24EB"/>
    <w:rsid w:val="008C524B"/>
    <w:rsid w:val="008C540D"/>
    <w:rsid w:val="008C5FAF"/>
    <w:rsid w:val="008C63F4"/>
    <w:rsid w:val="008C683B"/>
    <w:rsid w:val="008D0CCE"/>
    <w:rsid w:val="008D16FF"/>
    <w:rsid w:val="008D1C9B"/>
    <w:rsid w:val="008D38E7"/>
    <w:rsid w:val="008D53DB"/>
    <w:rsid w:val="008D63D9"/>
    <w:rsid w:val="008D7903"/>
    <w:rsid w:val="008E0434"/>
    <w:rsid w:val="008E27A0"/>
    <w:rsid w:val="008E3585"/>
    <w:rsid w:val="008E5843"/>
    <w:rsid w:val="008E70EB"/>
    <w:rsid w:val="008F239D"/>
    <w:rsid w:val="008F24D5"/>
    <w:rsid w:val="008F2D69"/>
    <w:rsid w:val="008F45D8"/>
    <w:rsid w:val="008F62F3"/>
    <w:rsid w:val="008F663C"/>
    <w:rsid w:val="008F7387"/>
    <w:rsid w:val="008F7667"/>
    <w:rsid w:val="00900AE3"/>
    <w:rsid w:val="00903787"/>
    <w:rsid w:val="00903CF4"/>
    <w:rsid w:val="00904989"/>
    <w:rsid w:val="0090763D"/>
    <w:rsid w:val="00907E6F"/>
    <w:rsid w:val="00911028"/>
    <w:rsid w:val="00914FDF"/>
    <w:rsid w:val="00915241"/>
    <w:rsid w:val="00916547"/>
    <w:rsid w:val="009169BB"/>
    <w:rsid w:val="00920513"/>
    <w:rsid w:val="00921D94"/>
    <w:rsid w:val="00921FC0"/>
    <w:rsid w:val="009240AA"/>
    <w:rsid w:val="00924825"/>
    <w:rsid w:val="00924E0B"/>
    <w:rsid w:val="009255B3"/>
    <w:rsid w:val="00926719"/>
    <w:rsid w:val="0092793B"/>
    <w:rsid w:val="00931806"/>
    <w:rsid w:val="00931DC6"/>
    <w:rsid w:val="00932896"/>
    <w:rsid w:val="00935213"/>
    <w:rsid w:val="009367A4"/>
    <w:rsid w:val="00937926"/>
    <w:rsid w:val="00942FAA"/>
    <w:rsid w:val="00946711"/>
    <w:rsid w:val="00946E27"/>
    <w:rsid w:val="009477FD"/>
    <w:rsid w:val="00950883"/>
    <w:rsid w:val="00951592"/>
    <w:rsid w:val="00951B1A"/>
    <w:rsid w:val="009524E9"/>
    <w:rsid w:val="00952DD1"/>
    <w:rsid w:val="009533CB"/>
    <w:rsid w:val="00953787"/>
    <w:rsid w:val="00953BA8"/>
    <w:rsid w:val="009543FF"/>
    <w:rsid w:val="00954A98"/>
    <w:rsid w:val="00956275"/>
    <w:rsid w:val="00957E39"/>
    <w:rsid w:val="00961122"/>
    <w:rsid w:val="0096289C"/>
    <w:rsid w:val="0096461C"/>
    <w:rsid w:val="00965A53"/>
    <w:rsid w:val="00965C36"/>
    <w:rsid w:val="00967E22"/>
    <w:rsid w:val="00970EC6"/>
    <w:rsid w:val="00971F58"/>
    <w:rsid w:val="009752E0"/>
    <w:rsid w:val="00975F3D"/>
    <w:rsid w:val="00976693"/>
    <w:rsid w:val="009801C2"/>
    <w:rsid w:val="00980926"/>
    <w:rsid w:val="009815F4"/>
    <w:rsid w:val="009817FB"/>
    <w:rsid w:val="0098383C"/>
    <w:rsid w:val="00984276"/>
    <w:rsid w:val="00985415"/>
    <w:rsid w:val="009861E7"/>
    <w:rsid w:val="009861FD"/>
    <w:rsid w:val="00986FB0"/>
    <w:rsid w:val="0098727F"/>
    <w:rsid w:val="0099021B"/>
    <w:rsid w:val="009903E1"/>
    <w:rsid w:val="0099082F"/>
    <w:rsid w:val="009909FB"/>
    <w:rsid w:val="00991181"/>
    <w:rsid w:val="00991313"/>
    <w:rsid w:val="009918BD"/>
    <w:rsid w:val="00991903"/>
    <w:rsid w:val="0099272F"/>
    <w:rsid w:val="00994CE0"/>
    <w:rsid w:val="00994FDB"/>
    <w:rsid w:val="00995065"/>
    <w:rsid w:val="009955A7"/>
    <w:rsid w:val="009A06FC"/>
    <w:rsid w:val="009A0811"/>
    <w:rsid w:val="009A0DDC"/>
    <w:rsid w:val="009A41D8"/>
    <w:rsid w:val="009A452D"/>
    <w:rsid w:val="009A5F72"/>
    <w:rsid w:val="009A7A4E"/>
    <w:rsid w:val="009A7B88"/>
    <w:rsid w:val="009A7F01"/>
    <w:rsid w:val="009B0A4A"/>
    <w:rsid w:val="009B2C20"/>
    <w:rsid w:val="009B32DC"/>
    <w:rsid w:val="009B3888"/>
    <w:rsid w:val="009B3959"/>
    <w:rsid w:val="009B6B55"/>
    <w:rsid w:val="009B7C2A"/>
    <w:rsid w:val="009C0324"/>
    <w:rsid w:val="009C25C0"/>
    <w:rsid w:val="009C4FF2"/>
    <w:rsid w:val="009C5D0E"/>
    <w:rsid w:val="009C7F18"/>
    <w:rsid w:val="009D05FE"/>
    <w:rsid w:val="009D2E5B"/>
    <w:rsid w:val="009D3A58"/>
    <w:rsid w:val="009D490E"/>
    <w:rsid w:val="009D4F67"/>
    <w:rsid w:val="009D5973"/>
    <w:rsid w:val="009D5CA8"/>
    <w:rsid w:val="009D7924"/>
    <w:rsid w:val="009E00CE"/>
    <w:rsid w:val="009E0569"/>
    <w:rsid w:val="009E0AE8"/>
    <w:rsid w:val="009E18BF"/>
    <w:rsid w:val="009E1B70"/>
    <w:rsid w:val="009E2DBB"/>
    <w:rsid w:val="009E5E54"/>
    <w:rsid w:val="009E6011"/>
    <w:rsid w:val="009F1DCB"/>
    <w:rsid w:val="009F30F9"/>
    <w:rsid w:val="009F4500"/>
    <w:rsid w:val="009F4992"/>
    <w:rsid w:val="009F579E"/>
    <w:rsid w:val="009F6601"/>
    <w:rsid w:val="009F6CEF"/>
    <w:rsid w:val="009F7EC8"/>
    <w:rsid w:val="009F7ED6"/>
    <w:rsid w:val="00A01C5D"/>
    <w:rsid w:val="00A02D81"/>
    <w:rsid w:val="00A103C8"/>
    <w:rsid w:val="00A11780"/>
    <w:rsid w:val="00A13328"/>
    <w:rsid w:val="00A134F6"/>
    <w:rsid w:val="00A146CA"/>
    <w:rsid w:val="00A14974"/>
    <w:rsid w:val="00A1542A"/>
    <w:rsid w:val="00A20246"/>
    <w:rsid w:val="00A203B5"/>
    <w:rsid w:val="00A20E75"/>
    <w:rsid w:val="00A2233B"/>
    <w:rsid w:val="00A23580"/>
    <w:rsid w:val="00A2712E"/>
    <w:rsid w:val="00A275D5"/>
    <w:rsid w:val="00A318E8"/>
    <w:rsid w:val="00A320A7"/>
    <w:rsid w:val="00A32441"/>
    <w:rsid w:val="00A332FE"/>
    <w:rsid w:val="00A33F83"/>
    <w:rsid w:val="00A34239"/>
    <w:rsid w:val="00A371D4"/>
    <w:rsid w:val="00A40D28"/>
    <w:rsid w:val="00A41009"/>
    <w:rsid w:val="00A41471"/>
    <w:rsid w:val="00A4203C"/>
    <w:rsid w:val="00A42350"/>
    <w:rsid w:val="00A42C73"/>
    <w:rsid w:val="00A42EC7"/>
    <w:rsid w:val="00A4395E"/>
    <w:rsid w:val="00A4679F"/>
    <w:rsid w:val="00A46868"/>
    <w:rsid w:val="00A4741B"/>
    <w:rsid w:val="00A506FC"/>
    <w:rsid w:val="00A50D96"/>
    <w:rsid w:val="00A5113D"/>
    <w:rsid w:val="00A51B2B"/>
    <w:rsid w:val="00A540E7"/>
    <w:rsid w:val="00A540FA"/>
    <w:rsid w:val="00A56436"/>
    <w:rsid w:val="00A61114"/>
    <w:rsid w:val="00A620DE"/>
    <w:rsid w:val="00A620F4"/>
    <w:rsid w:val="00A63557"/>
    <w:rsid w:val="00A64A2A"/>
    <w:rsid w:val="00A65E57"/>
    <w:rsid w:val="00A664AD"/>
    <w:rsid w:val="00A6738B"/>
    <w:rsid w:val="00A67A6B"/>
    <w:rsid w:val="00A67FDF"/>
    <w:rsid w:val="00A71098"/>
    <w:rsid w:val="00A71C28"/>
    <w:rsid w:val="00A7261F"/>
    <w:rsid w:val="00A72A45"/>
    <w:rsid w:val="00A73590"/>
    <w:rsid w:val="00A7384B"/>
    <w:rsid w:val="00A757D9"/>
    <w:rsid w:val="00A77456"/>
    <w:rsid w:val="00A8133E"/>
    <w:rsid w:val="00A81CD9"/>
    <w:rsid w:val="00A82A63"/>
    <w:rsid w:val="00A8763B"/>
    <w:rsid w:val="00A916F7"/>
    <w:rsid w:val="00A91A9A"/>
    <w:rsid w:val="00A9343F"/>
    <w:rsid w:val="00A97164"/>
    <w:rsid w:val="00A974E9"/>
    <w:rsid w:val="00AA109B"/>
    <w:rsid w:val="00AA3134"/>
    <w:rsid w:val="00AA3867"/>
    <w:rsid w:val="00AA4FB5"/>
    <w:rsid w:val="00AB3441"/>
    <w:rsid w:val="00AB4ACC"/>
    <w:rsid w:val="00AB4CDC"/>
    <w:rsid w:val="00AB4D2C"/>
    <w:rsid w:val="00AB718A"/>
    <w:rsid w:val="00AC23EB"/>
    <w:rsid w:val="00AC36D3"/>
    <w:rsid w:val="00AC48DF"/>
    <w:rsid w:val="00AC58F3"/>
    <w:rsid w:val="00AC6504"/>
    <w:rsid w:val="00AC6C50"/>
    <w:rsid w:val="00AD0965"/>
    <w:rsid w:val="00AD355F"/>
    <w:rsid w:val="00AD3B6A"/>
    <w:rsid w:val="00AD4E5F"/>
    <w:rsid w:val="00AD5D23"/>
    <w:rsid w:val="00AD6B2B"/>
    <w:rsid w:val="00AD7F2F"/>
    <w:rsid w:val="00AE1464"/>
    <w:rsid w:val="00AE1FBE"/>
    <w:rsid w:val="00AE3215"/>
    <w:rsid w:val="00AE4991"/>
    <w:rsid w:val="00AE509B"/>
    <w:rsid w:val="00AE67A8"/>
    <w:rsid w:val="00AE6EC3"/>
    <w:rsid w:val="00AE734C"/>
    <w:rsid w:val="00AF0B66"/>
    <w:rsid w:val="00AF2C68"/>
    <w:rsid w:val="00AF3150"/>
    <w:rsid w:val="00AF46CF"/>
    <w:rsid w:val="00AF50DB"/>
    <w:rsid w:val="00AF553D"/>
    <w:rsid w:val="00AF6A6D"/>
    <w:rsid w:val="00AF6A81"/>
    <w:rsid w:val="00AF6FB1"/>
    <w:rsid w:val="00AF7D95"/>
    <w:rsid w:val="00B00030"/>
    <w:rsid w:val="00B01451"/>
    <w:rsid w:val="00B028E1"/>
    <w:rsid w:val="00B031F2"/>
    <w:rsid w:val="00B054CE"/>
    <w:rsid w:val="00B07760"/>
    <w:rsid w:val="00B1014D"/>
    <w:rsid w:val="00B1158D"/>
    <w:rsid w:val="00B11873"/>
    <w:rsid w:val="00B124C5"/>
    <w:rsid w:val="00B125AC"/>
    <w:rsid w:val="00B12603"/>
    <w:rsid w:val="00B129E0"/>
    <w:rsid w:val="00B12D7B"/>
    <w:rsid w:val="00B130D6"/>
    <w:rsid w:val="00B133F8"/>
    <w:rsid w:val="00B1422F"/>
    <w:rsid w:val="00B1466F"/>
    <w:rsid w:val="00B21040"/>
    <w:rsid w:val="00B21D72"/>
    <w:rsid w:val="00B21F9B"/>
    <w:rsid w:val="00B22163"/>
    <w:rsid w:val="00B23450"/>
    <w:rsid w:val="00B23BC4"/>
    <w:rsid w:val="00B30613"/>
    <w:rsid w:val="00B33010"/>
    <w:rsid w:val="00B330BA"/>
    <w:rsid w:val="00B34621"/>
    <w:rsid w:val="00B347C9"/>
    <w:rsid w:val="00B36B10"/>
    <w:rsid w:val="00B42FAC"/>
    <w:rsid w:val="00B4332F"/>
    <w:rsid w:val="00B43F7F"/>
    <w:rsid w:val="00B469DC"/>
    <w:rsid w:val="00B47163"/>
    <w:rsid w:val="00B50CD3"/>
    <w:rsid w:val="00B60BF0"/>
    <w:rsid w:val="00B61813"/>
    <w:rsid w:val="00B62767"/>
    <w:rsid w:val="00B629D3"/>
    <w:rsid w:val="00B62B02"/>
    <w:rsid w:val="00B65A04"/>
    <w:rsid w:val="00B6604F"/>
    <w:rsid w:val="00B70601"/>
    <w:rsid w:val="00B71441"/>
    <w:rsid w:val="00B72139"/>
    <w:rsid w:val="00B73013"/>
    <w:rsid w:val="00B74228"/>
    <w:rsid w:val="00B7440C"/>
    <w:rsid w:val="00B74A1B"/>
    <w:rsid w:val="00B75F63"/>
    <w:rsid w:val="00B7602B"/>
    <w:rsid w:val="00B7674F"/>
    <w:rsid w:val="00B77F06"/>
    <w:rsid w:val="00B80669"/>
    <w:rsid w:val="00B82C99"/>
    <w:rsid w:val="00B82D57"/>
    <w:rsid w:val="00B83690"/>
    <w:rsid w:val="00B83BEA"/>
    <w:rsid w:val="00B83D03"/>
    <w:rsid w:val="00B84257"/>
    <w:rsid w:val="00B84F6F"/>
    <w:rsid w:val="00B8502E"/>
    <w:rsid w:val="00B85AA3"/>
    <w:rsid w:val="00B8712E"/>
    <w:rsid w:val="00B87184"/>
    <w:rsid w:val="00B921C6"/>
    <w:rsid w:val="00B9220F"/>
    <w:rsid w:val="00B9228E"/>
    <w:rsid w:val="00B928E7"/>
    <w:rsid w:val="00B93491"/>
    <w:rsid w:val="00B96B64"/>
    <w:rsid w:val="00B973EF"/>
    <w:rsid w:val="00BA054D"/>
    <w:rsid w:val="00BA0F6E"/>
    <w:rsid w:val="00BA2791"/>
    <w:rsid w:val="00BA3460"/>
    <w:rsid w:val="00BA4491"/>
    <w:rsid w:val="00BA54A7"/>
    <w:rsid w:val="00BB381D"/>
    <w:rsid w:val="00BB5D89"/>
    <w:rsid w:val="00BB6765"/>
    <w:rsid w:val="00BC20FB"/>
    <w:rsid w:val="00BC26B7"/>
    <w:rsid w:val="00BC2CB5"/>
    <w:rsid w:val="00BC58CB"/>
    <w:rsid w:val="00BC79C7"/>
    <w:rsid w:val="00BD31FB"/>
    <w:rsid w:val="00BD3E8B"/>
    <w:rsid w:val="00BD4663"/>
    <w:rsid w:val="00BD4A34"/>
    <w:rsid w:val="00BD79CD"/>
    <w:rsid w:val="00BE16A6"/>
    <w:rsid w:val="00BE1836"/>
    <w:rsid w:val="00BE1A6A"/>
    <w:rsid w:val="00BE1ABE"/>
    <w:rsid w:val="00BE378A"/>
    <w:rsid w:val="00BE40ED"/>
    <w:rsid w:val="00BE4CCE"/>
    <w:rsid w:val="00BE4CF1"/>
    <w:rsid w:val="00BE5229"/>
    <w:rsid w:val="00BE55F1"/>
    <w:rsid w:val="00BE6A61"/>
    <w:rsid w:val="00BE71E9"/>
    <w:rsid w:val="00BE786E"/>
    <w:rsid w:val="00BE797A"/>
    <w:rsid w:val="00BF3371"/>
    <w:rsid w:val="00BF412B"/>
    <w:rsid w:val="00BF57DE"/>
    <w:rsid w:val="00BF71D4"/>
    <w:rsid w:val="00BF722F"/>
    <w:rsid w:val="00C0283D"/>
    <w:rsid w:val="00C0296E"/>
    <w:rsid w:val="00C04D21"/>
    <w:rsid w:val="00C05307"/>
    <w:rsid w:val="00C0550D"/>
    <w:rsid w:val="00C05BE2"/>
    <w:rsid w:val="00C071C9"/>
    <w:rsid w:val="00C07287"/>
    <w:rsid w:val="00C07799"/>
    <w:rsid w:val="00C10A12"/>
    <w:rsid w:val="00C10FAB"/>
    <w:rsid w:val="00C111B6"/>
    <w:rsid w:val="00C111D8"/>
    <w:rsid w:val="00C12134"/>
    <w:rsid w:val="00C156D8"/>
    <w:rsid w:val="00C15F0D"/>
    <w:rsid w:val="00C16636"/>
    <w:rsid w:val="00C167E9"/>
    <w:rsid w:val="00C20078"/>
    <w:rsid w:val="00C202E2"/>
    <w:rsid w:val="00C246F6"/>
    <w:rsid w:val="00C26360"/>
    <w:rsid w:val="00C26F3F"/>
    <w:rsid w:val="00C275FF"/>
    <w:rsid w:val="00C32E7C"/>
    <w:rsid w:val="00C371A8"/>
    <w:rsid w:val="00C379A7"/>
    <w:rsid w:val="00C43638"/>
    <w:rsid w:val="00C43CEF"/>
    <w:rsid w:val="00C44116"/>
    <w:rsid w:val="00C461D4"/>
    <w:rsid w:val="00C506CE"/>
    <w:rsid w:val="00C50A87"/>
    <w:rsid w:val="00C51CE1"/>
    <w:rsid w:val="00C52E1B"/>
    <w:rsid w:val="00C53838"/>
    <w:rsid w:val="00C53E25"/>
    <w:rsid w:val="00C53FD0"/>
    <w:rsid w:val="00C5428D"/>
    <w:rsid w:val="00C56F7B"/>
    <w:rsid w:val="00C57BE5"/>
    <w:rsid w:val="00C6003C"/>
    <w:rsid w:val="00C609E3"/>
    <w:rsid w:val="00C613F7"/>
    <w:rsid w:val="00C623F8"/>
    <w:rsid w:val="00C658C5"/>
    <w:rsid w:val="00C70067"/>
    <w:rsid w:val="00C70BBE"/>
    <w:rsid w:val="00C71AE1"/>
    <w:rsid w:val="00C71B5A"/>
    <w:rsid w:val="00C72B3F"/>
    <w:rsid w:val="00C730C5"/>
    <w:rsid w:val="00C73574"/>
    <w:rsid w:val="00C73E3D"/>
    <w:rsid w:val="00C74A26"/>
    <w:rsid w:val="00C74D67"/>
    <w:rsid w:val="00C751F6"/>
    <w:rsid w:val="00C7581B"/>
    <w:rsid w:val="00C7663C"/>
    <w:rsid w:val="00C77040"/>
    <w:rsid w:val="00C7730E"/>
    <w:rsid w:val="00C80D11"/>
    <w:rsid w:val="00C80D66"/>
    <w:rsid w:val="00C82E2D"/>
    <w:rsid w:val="00C8353F"/>
    <w:rsid w:val="00C838A6"/>
    <w:rsid w:val="00C84700"/>
    <w:rsid w:val="00C85603"/>
    <w:rsid w:val="00C86AF6"/>
    <w:rsid w:val="00C86B19"/>
    <w:rsid w:val="00C901DE"/>
    <w:rsid w:val="00C902B3"/>
    <w:rsid w:val="00C9036B"/>
    <w:rsid w:val="00C91C58"/>
    <w:rsid w:val="00C92CE6"/>
    <w:rsid w:val="00C9302A"/>
    <w:rsid w:val="00C93556"/>
    <w:rsid w:val="00C93D38"/>
    <w:rsid w:val="00C958FD"/>
    <w:rsid w:val="00C95A1D"/>
    <w:rsid w:val="00C960AB"/>
    <w:rsid w:val="00CA096A"/>
    <w:rsid w:val="00CA57AE"/>
    <w:rsid w:val="00CB26F5"/>
    <w:rsid w:val="00CB3527"/>
    <w:rsid w:val="00CB74CB"/>
    <w:rsid w:val="00CC0062"/>
    <w:rsid w:val="00CC0F6C"/>
    <w:rsid w:val="00CC7A5C"/>
    <w:rsid w:val="00CD0480"/>
    <w:rsid w:val="00CD0F66"/>
    <w:rsid w:val="00CD1AD7"/>
    <w:rsid w:val="00CD25C7"/>
    <w:rsid w:val="00CD5274"/>
    <w:rsid w:val="00CD52BB"/>
    <w:rsid w:val="00CD72CE"/>
    <w:rsid w:val="00CD7378"/>
    <w:rsid w:val="00CD7D2F"/>
    <w:rsid w:val="00CE216B"/>
    <w:rsid w:val="00CE283F"/>
    <w:rsid w:val="00CF0A90"/>
    <w:rsid w:val="00CF2A93"/>
    <w:rsid w:val="00CF2FB1"/>
    <w:rsid w:val="00CF6F19"/>
    <w:rsid w:val="00D01F86"/>
    <w:rsid w:val="00D02DAB"/>
    <w:rsid w:val="00D04EA3"/>
    <w:rsid w:val="00D056CC"/>
    <w:rsid w:val="00D0643E"/>
    <w:rsid w:val="00D06D6C"/>
    <w:rsid w:val="00D07016"/>
    <w:rsid w:val="00D12793"/>
    <w:rsid w:val="00D13BED"/>
    <w:rsid w:val="00D15D34"/>
    <w:rsid w:val="00D173BC"/>
    <w:rsid w:val="00D22022"/>
    <w:rsid w:val="00D2263D"/>
    <w:rsid w:val="00D232D9"/>
    <w:rsid w:val="00D23D67"/>
    <w:rsid w:val="00D25072"/>
    <w:rsid w:val="00D25633"/>
    <w:rsid w:val="00D260BD"/>
    <w:rsid w:val="00D27D04"/>
    <w:rsid w:val="00D27DF6"/>
    <w:rsid w:val="00D31097"/>
    <w:rsid w:val="00D314FB"/>
    <w:rsid w:val="00D317A7"/>
    <w:rsid w:val="00D32332"/>
    <w:rsid w:val="00D32E1F"/>
    <w:rsid w:val="00D33C57"/>
    <w:rsid w:val="00D34910"/>
    <w:rsid w:val="00D364EE"/>
    <w:rsid w:val="00D422E0"/>
    <w:rsid w:val="00D44D93"/>
    <w:rsid w:val="00D47F30"/>
    <w:rsid w:val="00D506A9"/>
    <w:rsid w:val="00D51F5F"/>
    <w:rsid w:val="00D53DA7"/>
    <w:rsid w:val="00D53F0C"/>
    <w:rsid w:val="00D5486C"/>
    <w:rsid w:val="00D55E69"/>
    <w:rsid w:val="00D562ED"/>
    <w:rsid w:val="00D56751"/>
    <w:rsid w:val="00D61299"/>
    <w:rsid w:val="00D635F5"/>
    <w:rsid w:val="00D63D1B"/>
    <w:rsid w:val="00D64271"/>
    <w:rsid w:val="00D6430C"/>
    <w:rsid w:val="00D64EC1"/>
    <w:rsid w:val="00D6537E"/>
    <w:rsid w:val="00D65A82"/>
    <w:rsid w:val="00D6601F"/>
    <w:rsid w:val="00D66243"/>
    <w:rsid w:val="00D67680"/>
    <w:rsid w:val="00D70268"/>
    <w:rsid w:val="00D721B0"/>
    <w:rsid w:val="00D738FE"/>
    <w:rsid w:val="00D75ACC"/>
    <w:rsid w:val="00D77DC0"/>
    <w:rsid w:val="00D77F62"/>
    <w:rsid w:val="00D80A97"/>
    <w:rsid w:val="00D80FF0"/>
    <w:rsid w:val="00D81F23"/>
    <w:rsid w:val="00D85376"/>
    <w:rsid w:val="00D853F7"/>
    <w:rsid w:val="00D863AA"/>
    <w:rsid w:val="00D90F8B"/>
    <w:rsid w:val="00D91B7A"/>
    <w:rsid w:val="00D935C2"/>
    <w:rsid w:val="00D9408F"/>
    <w:rsid w:val="00D974EE"/>
    <w:rsid w:val="00DA0032"/>
    <w:rsid w:val="00DA7551"/>
    <w:rsid w:val="00DA7A16"/>
    <w:rsid w:val="00DB28F8"/>
    <w:rsid w:val="00DB2BBA"/>
    <w:rsid w:val="00DB3C73"/>
    <w:rsid w:val="00DB486B"/>
    <w:rsid w:val="00DC10A1"/>
    <w:rsid w:val="00DC14A7"/>
    <w:rsid w:val="00DC188A"/>
    <w:rsid w:val="00DC3E94"/>
    <w:rsid w:val="00DC655F"/>
    <w:rsid w:val="00DC69D9"/>
    <w:rsid w:val="00DC6B82"/>
    <w:rsid w:val="00DC734D"/>
    <w:rsid w:val="00DC79F0"/>
    <w:rsid w:val="00DD0B85"/>
    <w:rsid w:val="00DD0CE6"/>
    <w:rsid w:val="00DD1288"/>
    <w:rsid w:val="00DD1441"/>
    <w:rsid w:val="00DD1E54"/>
    <w:rsid w:val="00DD1F66"/>
    <w:rsid w:val="00DD257F"/>
    <w:rsid w:val="00DD653A"/>
    <w:rsid w:val="00DD6977"/>
    <w:rsid w:val="00DD6D79"/>
    <w:rsid w:val="00DE2AE8"/>
    <w:rsid w:val="00DE2CCF"/>
    <w:rsid w:val="00DE35E4"/>
    <w:rsid w:val="00DE4140"/>
    <w:rsid w:val="00DE4F57"/>
    <w:rsid w:val="00DE50C3"/>
    <w:rsid w:val="00DE64C2"/>
    <w:rsid w:val="00DE75C1"/>
    <w:rsid w:val="00DF0C33"/>
    <w:rsid w:val="00DF1739"/>
    <w:rsid w:val="00DF2FC0"/>
    <w:rsid w:val="00DF3CDD"/>
    <w:rsid w:val="00DF4257"/>
    <w:rsid w:val="00DF4C87"/>
    <w:rsid w:val="00DF533C"/>
    <w:rsid w:val="00DF5466"/>
    <w:rsid w:val="00DF5BC8"/>
    <w:rsid w:val="00E01BD7"/>
    <w:rsid w:val="00E02674"/>
    <w:rsid w:val="00E02F44"/>
    <w:rsid w:val="00E03261"/>
    <w:rsid w:val="00E0731D"/>
    <w:rsid w:val="00E12C3C"/>
    <w:rsid w:val="00E16BB0"/>
    <w:rsid w:val="00E172F8"/>
    <w:rsid w:val="00E20813"/>
    <w:rsid w:val="00E219AE"/>
    <w:rsid w:val="00E21FCC"/>
    <w:rsid w:val="00E24611"/>
    <w:rsid w:val="00E25A07"/>
    <w:rsid w:val="00E26564"/>
    <w:rsid w:val="00E33861"/>
    <w:rsid w:val="00E33B28"/>
    <w:rsid w:val="00E34D44"/>
    <w:rsid w:val="00E375A7"/>
    <w:rsid w:val="00E37832"/>
    <w:rsid w:val="00E41C9E"/>
    <w:rsid w:val="00E41CD8"/>
    <w:rsid w:val="00E43155"/>
    <w:rsid w:val="00E43F85"/>
    <w:rsid w:val="00E46B2B"/>
    <w:rsid w:val="00E513E0"/>
    <w:rsid w:val="00E51C59"/>
    <w:rsid w:val="00E52010"/>
    <w:rsid w:val="00E52A17"/>
    <w:rsid w:val="00E5518D"/>
    <w:rsid w:val="00E60D2D"/>
    <w:rsid w:val="00E610E1"/>
    <w:rsid w:val="00E62C9F"/>
    <w:rsid w:val="00E6404E"/>
    <w:rsid w:val="00E6524C"/>
    <w:rsid w:val="00E679D5"/>
    <w:rsid w:val="00E70111"/>
    <w:rsid w:val="00E7044D"/>
    <w:rsid w:val="00E72255"/>
    <w:rsid w:val="00E7289E"/>
    <w:rsid w:val="00E7390B"/>
    <w:rsid w:val="00E75749"/>
    <w:rsid w:val="00E80D11"/>
    <w:rsid w:val="00E841CC"/>
    <w:rsid w:val="00E85720"/>
    <w:rsid w:val="00E8748C"/>
    <w:rsid w:val="00E915CB"/>
    <w:rsid w:val="00E9359C"/>
    <w:rsid w:val="00E945A2"/>
    <w:rsid w:val="00E9530D"/>
    <w:rsid w:val="00E9785B"/>
    <w:rsid w:val="00EA0DB4"/>
    <w:rsid w:val="00EA253F"/>
    <w:rsid w:val="00EA2B80"/>
    <w:rsid w:val="00EA3D1A"/>
    <w:rsid w:val="00EA6468"/>
    <w:rsid w:val="00EA7C36"/>
    <w:rsid w:val="00EB0FD2"/>
    <w:rsid w:val="00EB10F9"/>
    <w:rsid w:val="00EB3E49"/>
    <w:rsid w:val="00EB4AFC"/>
    <w:rsid w:val="00EB5708"/>
    <w:rsid w:val="00EC00B3"/>
    <w:rsid w:val="00EC01D1"/>
    <w:rsid w:val="00EC113D"/>
    <w:rsid w:val="00EC247E"/>
    <w:rsid w:val="00EC7538"/>
    <w:rsid w:val="00ED0BA9"/>
    <w:rsid w:val="00ED18E4"/>
    <w:rsid w:val="00EE0044"/>
    <w:rsid w:val="00EE1106"/>
    <w:rsid w:val="00EE2A80"/>
    <w:rsid w:val="00EE3A35"/>
    <w:rsid w:val="00EE6C47"/>
    <w:rsid w:val="00EE75C0"/>
    <w:rsid w:val="00EF2C79"/>
    <w:rsid w:val="00EF335D"/>
    <w:rsid w:val="00EF40B1"/>
    <w:rsid w:val="00EF55B2"/>
    <w:rsid w:val="00EF7D36"/>
    <w:rsid w:val="00F024F3"/>
    <w:rsid w:val="00F031F2"/>
    <w:rsid w:val="00F03B42"/>
    <w:rsid w:val="00F04843"/>
    <w:rsid w:val="00F05AE3"/>
    <w:rsid w:val="00F07424"/>
    <w:rsid w:val="00F07BF0"/>
    <w:rsid w:val="00F07DC5"/>
    <w:rsid w:val="00F104A4"/>
    <w:rsid w:val="00F10BFA"/>
    <w:rsid w:val="00F12A82"/>
    <w:rsid w:val="00F16C8B"/>
    <w:rsid w:val="00F25EE2"/>
    <w:rsid w:val="00F27404"/>
    <w:rsid w:val="00F27546"/>
    <w:rsid w:val="00F3104A"/>
    <w:rsid w:val="00F31BF1"/>
    <w:rsid w:val="00F33981"/>
    <w:rsid w:val="00F36301"/>
    <w:rsid w:val="00F36352"/>
    <w:rsid w:val="00F37178"/>
    <w:rsid w:val="00F42F25"/>
    <w:rsid w:val="00F44545"/>
    <w:rsid w:val="00F46174"/>
    <w:rsid w:val="00F47D22"/>
    <w:rsid w:val="00F50E84"/>
    <w:rsid w:val="00F527AE"/>
    <w:rsid w:val="00F57471"/>
    <w:rsid w:val="00F60645"/>
    <w:rsid w:val="00F61CE1"/>
    <w:rsid w:val="00F631E4"/>
    <w:rsid w:val="00F63B5C"/>
    <w:rsid w:val="00F6661A"/>
    <w:rsid w:val="00F670BB"/>
    <w:rsid w:val="00F673FD"/>
    <w:rsid w:val="00F6749D"/>
    <w:rsid w:val="00F71098"/>
    <w:rsid w:val="00F71123"/>
    <w:rsid w:val="00F71776"/>
    <w:rsid w:val="00F71C13"/>
    <w:rsid w:val="00F71FFB"/>
    <w:rsid w:val="00F720BF"/>
    <w:rsid w:val="00F72B25"/>
    <w:rsid w:val="00F74927"/>
    <w:rsid w:val="00F749FA"/>
    <w:rsid w:val="00F7503B"/>
    <w:rsid w:val="00F769EB"/>
    <w:rsid w:val="00F8083B"/>
    <w:rsid w:val="00F84AB0"/>
    <w:rsid w:val="00F8685D"/>
    <w:rsid w:val="00F86E4B"/>
    <w:rsid w:val="00F90462"/>
    <w:rsid w:val="00F91F60"/>
    <w:rsid w:val="00F94D8A"/>
    <w:rsid w:val="00F97C1E"/>
    <w:rsid w:val="00FA4A67"/>
    <w:rsid w:val="00FA6AB5"/>
    <w:rsid w:val="00FA6B90"/>
    <w:rsid w:val="00FA7BC6"/>
    <w:rsid w:val="00FB01BD"/>
    <w:rsid w:val="00FB4185"/>
    <w:rsid w:val="00FB53F2"/>
    <w:rsid w:val="00FB7AEC"/>
    <w:rsid w:val="00FC024A"/>
    <w:rsid w:val="00FC07E3"/>
    <w:rsid w:val="00FC1439"/>
    <w:rsid w:val="00FC27A4"/>
    <w:rsid w:val="00FC351A"/>
    <w:rsid w:val="00FC48AC"/>
    <w:rsid w:val="00FC4B0A"/>
    <w:rsid w:val="00FC61D4"/>
    <w:rsid w:val="00FC6DAE"/>
    <w:rsid w:val="00FC7698"/>
    <w:rsid w:val="00FD0FC6"/>
    <w:rsid w:val="00FD101A"/>
    <w:rsid w:val="00FD2606"/>
    <w:rsid w:val="00FD2F5C"/>
    <w:rsid w:val="00FD30EA"/>
    <w:rsid w:val="00FD4658"/>
    <w:rsid w:val="00FD5078"/>
    <w:rsid w:val="00FD646B"/>
    <w:rsid w:val="00FD7AF6"/>
    <w:rsid w:val="00FD7D0D"/>
    <w:rsid w:val="00FE1A97"/>
    <w:rsid w:val="00FE2FDC"/>
    <w:rsid w:val="00FE4D91"/>
    <w:rsid w:val="00FE5ACD"/>
    <w:rsid w:val="00FE5C62"/>
    <w:rsid w:val="00FE6128"/>
    <w:rsid w:val="00FF0589"/>
    <w:rsid w:val="00FF22B3"/>
    <w:rsid w:val="00FF318E"/>
    <w:rsid w:val="00FF3580"/>
    <w:rsid w:val="00FF3BC4"/>
    <w:rsid w:val="00FF3BF4"/>
    <w:rsid w:val="00FF6436"/>
    <w:rsid w:val="00FF6648"/>
    <w:rsid w:val="00FF68E3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4A"/>
    <w:rPr>
      <w:sz w:val="24"/>
      <w:szCs w:val="24"/>
    </w:rPr>
  </w:style>
  <w:style w:type="paragraph" w:styleId="1">
    <w:name w:val="heading 1"/>
    <w:basedOn w:val="a"/>
    <w:next w:val="a"/>
    <w:qFormat/>
    <w:rsid w:val="003C6E4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E4A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semiHidden/>
    <w:rsid w:val="003C6E4A"/>
    <w:pPr>
      <w:jc w:val="both"/>
    </w:pPr>
    <w:rPr>
      <w:sz w:val="28"/>
      <w:lang w:val="uk-UA"/>
    </w:rPr>
  </w:style>
  <w:style w:type="paragraph" w:styleId="2">
    <w:name w:val="Body Text Indent 2"/>
    <w:basedOn w:val="a"/>
    <w:link w:val="20"/>
    <w:unhideWhenUsed/>
    <w:rsid w:val="000A36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364F"/>
    <w:rPr>
      <w:sz w:val="24"/>
      <w:szCs w:val="24"/>
    </w:rPr>
  </w:style>
  <w:style w:type="paragraph" w:styleId="a6">
    <w:name w:val="Body Text Indent"/>
    <w:basedOn w:val="a"/>
    <w:link w:val="a7"/>
    <w:unhideWhenUsed/>
    <w:rsid w:val="0066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6645"/>
    <w:rPr>
      <w:sz w:val="24"/>
      <w:szCs w:val="24"/>
    </w:rPr>
  </w:style>
  <w:style w:type="paragraph" w:styleId="a8">
    <w:name w:val="Balloon Text"/>
    <w:basedOn w:val="a"/>
    <w:semiHidden/>
    <w:rsid w:val="00A01C5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02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02F44"/>
  </w:style>
  <w:style w:type="paragraph" w:styleId="ab">
    <w:name w:val="footer"/>
    <w:basedOn w:val="a"/>
    <w:rsid w:val="00142DF8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semiHidden/>
    <w:rsid w:val="00EB3E49"/>
    <w:rPr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360C75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D5486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5486C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styleId="ad">
    <w:name w:val="List Paragraph"/>
    <w:basedOn w:val="a"/>
    <w:uiPriority w:val="34"/>
    <w:qFormat/>
    <w:rsid w:val="00D54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3">
    <w:name w:val="Основной текст 213"/>
    <w:basedOn w:val="a"/>
    <w:uiPriority w:val="99"/>
    <w:rsid w:val="00612A5A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customStyle="1" w:styleId="xfmc1">
    <w:name w:val="xfmc1"/>
    <w:basedOn w:val="a"/>
    <w:rsid w:val="008D63D9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52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17.1.2\fin\&#1044;&#1054;&#1061;&#1054;&#1044;&#1048;\&#1057;&#1090;&#1088;&#1091;&#1082;&#1090;&#1091;&#1088;&#1072;%20&#1076;&#1086;&#1093;&#1086;&#1076;&#1110;&#1074;%20&#1047;&#106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Zmr-w-03037\&#1089;&#1077;&#1090;&#1077;&#1074;&#1072;&#1103;\&#1048;.&#1053;\&#1048;&#1088;&#1080;&#1085;&#1072;\&#1056;&#1030;&#1064;,%20&#1044;&#1054;&#1042;&#1030;&#1044;&#1050;&#1048;%20&#1087;&#1088;&#1086;%20&#1074;&#1080;&#1082;&#1086;&#1085;%20&#1073;&#1102;&#1076;&#1078;&#1077;&#1090;&#1091;,%20&#1084;&#1072;&#1090;&#1077;&#1088;&#1110;&#1072;&#1083;&#1080;%20&#1085;&#1072;%20&#1085;&#1072;&#1088;&#1072;&#1076;&#1080;%20&#1090;&#1072;%20&#1082;&#1086;&#1083;&#1077;&#1075;&#1110;&#1111;\2019\&#1076;&#1110;&#1072;&#1075;&#1088;&#1072;&#1084;&#1080;%20&#1089;&#1090;&#1072;&#1085;&#1086;&#1084;%20&#1085;&#1072;%2001.07.2019\&#1057;&#106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0.25143803264906578"/>
          <c:y val="0.35040608982236821"/>
          <c:w val="0.37466968025591391"/>
          <c:h val="0.61939058718417483"/>
        </c:manualLayout>
      </c:layout>
      <c:pieChart>
        <c:varyColors val="1"/>
        <c:ser>
          <c:idx val="0"/>
          <c:order val="0"/>
          <c:dPt>
            <c:idx val="0"/>
            <c:explosion val="7"/>
          </c:dPt>
          <c:dPt>
            <c:idx val="1"/>
            <c:explosion val="18"/>
          </c:dPt>
          <c:dPt>
            <c:idx val="2"/>
            <c:explosion val="38"/>
          </c:dPt>
          <c:dPt>
            <c:idx val="3"/>
            <c:explosion val="9"/>
          </c:dPt>
          <c:dPt>
            <c:idx val="4"/>
            <c:explosion val="9"/>
          </c:dPt>
          <c:dPt>
            <c:idx val="5"/>
            <c:explosion val="13"/>
          </c:dPt>
          <c:dPt>
            <c:idx val="6"/>
            <c:explosion val="36"/>
          </c:dPt>
          <c:dPt>
            <c:idx val="7"/>
            <c:explosion val="62"/>
          </c:dPt>
          <c:dPt>
            <c:idx val="8"/>
            <c:explosion val="47"/>
          </c:dPt>
          <c:dLbls>
            <c:dLbl>
              <c:idx val="0"/>
              <c:layout>
                <c:manualLayout>
                  <c:x val="-9.0426488234015237E-2"/>
                  <c:y val="-5.1284052370367317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0.20848004862641806"/>
                  <c:y val="0.18117347212826596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Податок на прибуток 
12,8 млн.грн.
0,5%</a:t>
                    </a:r>
                    <a:endParaRPr lang="ru-RU" sz="900"/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6.5199432038208341E-2"/>
                  <c:y val="9.981127438959992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Ч</a:t>
                    </a:r>
                    <a:r>
                      <a:rPr lang="ru-RU"/>
                      <a:t>астина чистого прибутку
2,1млн.грн.
0,1%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0.19368600013398407"/>
                  <c:y val="-4.374448425855071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А</a:t>
                    </a:r>
                    <a:r>
                      <a:rPr lang="ru-RU"/>
                      <a:t>кцизний податок 
133,6 млн.грн.
4,8%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5.4005130288416928E-2"/>
                  <c:y val="-0.10908180821652384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М</a:t>
                    </a:r>
                    <a:r>
                      <a:rPr lang="ru-RU"/>
                      <a:t>ісцеві податки і збори
800,6 млн.грн.
28,6%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6.8443878833743851E-2"/>
                  <c:y val="-0.29348533968198154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П</a:t>
                    </a:r>
                    <a:r>
                      <a:rPr lang="ru-RU"/>
                      <a:t>лата за надання інших адмінпослуг
17,5 млн.грн.
0,6%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6.3996748622740754E-2"/>
                  <c:y val="-8.820769695849756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П</a:t>
                    </a:r>
                    <a:r>
                      <a:rPr lang="ru-RU"/>
                      <a:t>лата за оренду МК
9,5 млн.грн.
0,3%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1.8063629033337469E-2"/>
                  <c:y val="7.086582859247909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І</a:t>
                    </a:r>
                    <a:r>
                      <a:rPr lang="ru-RU"/>
                      <a:t>нші доходи
12,8 млн.грн.
0,5%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'1'!$B$5:$B$12</c:f>
              <c:strCache>
                <c:ptCount val="8"/>
                <c:pt idx="0">
                  <c:v>Податок на доходи фізичних осіб</c:v>
                </c:pt>
                <c:pt idx="1">
                  <c:v>Податок на прибуток </c:v>
                </c:pt>
                <c:pt idx="2">
                  <c:v>Частина чистого прибутку</c:v>
                </c:pt>
                <c:pt idx="3">
                  <c:v>Акцизний податок </c:v>
                </c:pt>
                <c:pt idx="4">
                  <c:v>Місцеві податки і збори</c:v>
                </c:pt>
                <c:pt idx="5">
                  <c:v>Плата за надання інших адмінпослуг</c:v>
                </c:pt>
                <c:pt idx="6">
                  <c:v>Плата за оренду МК</c:v>
                </c:pt>
                <c:pt idx="7">
                  <c:v>Інші доходи</c:v>
                </c:pt>
              </c:strCache>
            </c:strRef>
          </c:cat>
          <c:val>
            <c:numRef>
              <c:f>'1'!$C$5:$C$12</c:f>
              <c:numCache>
                <c:formatCode>#,##0.0</c:formatCode>
                <c:ptCount val="8"/>
                <c:pt idx="0">
                  <c:v>1801.5217869999999</c:v>
                </c:pt>
                <c:pt idx="1">
                  <c:v>12.817823000000001</c:v>
                </c:pt>
                <c:pt idx="2">
                  <c:v>2.1133660000000001</c:v>
                </c:pt>
                <c:pt idx="3">
                  <c:v>133.585791</c:v>
                </c:pt>
                <c:pt idx="4">
                  <c:v>800.55370800000003</c:v>
                </c:pt>
                <c:pt idx="5">
                  <c:v>17.521294999999999</c:v>
                </c:pt>
                <c:pt idx="6">
                  <c:v>9.5165030000000002</c:v>
                </c:pt>
                <c:pt idx="7">
                  <c:v>12.76129199999998</c:v>
                </c:pt>
              </c:numCache>
            </c:numRef>
          </c:val>
        </c:ser>
        <c:firstSliceAng val="110"/>
      </c:pieChart>
    </c:plotArea>
    <c:plotVisOnly val="1"/>
    <c:dispBlanksAs val="zero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200"/>
      <c:perspective val="0"/>
    </c:view3D>
    <c:plotArea>
      <c:layout>
        <c:manualLayout>
          <c:layoutTarget val="inner"/>
          <c:xMode val="edge"/>
          <c:yMode val="edge"/>
          <c:x val="0"/>
          <c:y val="0.24775517230287539"/>
          <c:w val="0.9832411831218818"/>
          <c:h val="0.4201757545530157"/>
        </c:manualLayout>
      </c:layout>
      <c:pie3DChart>
        <c:varyColors val="1"/>
        <c:ser>
          <c:idx val="0"/>
          <c:order val="0"/>
          <c:tx>
            <c:strRef>
              <c:f>'1'!$Z$3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99"/>
            </a:solidFill>
            <a:ln w="469900">
              <a:solidFill>
                <a:sysClr val="windowText" lastClr="000000"/>
              </a:solidFill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 prstMaterial="plastic">
              <a:bevelT w="387350" h="184150"/>
              <a:bevelB/>
              <a:contourClr>
                <a:srgbClr val="000000"/>
              </a:contourClr>
            </a:sp3d>
          </c:spPr>
          <c:dPt>
            <c:idx val="0"/>
            <c:spPr>
              <a:solidFill>
                <a:srgbClr val="CC99FF"/>
              </a:solidFill>
              <a:ln w="469900">
                <a:solidFill>
                  <a:sysClr val="windowText" lastClr="000000"/>
                </a:solidFill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plastic">
                <a:bevelT w="387350" h="184150"/>
                <a:bevelB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  <a:ln w="469900">
                <a:solidFill>
                  <a:sysClr val="windowText" lastClr="000000"/>
                </a:solidFill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plastic">
                <a:bevelT w="387350" h="184150"/>
                <a:bevelB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chemeClr val="accent2">
                  <a:lumMod val="40000"/>
                  <a:lumOff val="60000"/>
                </a:schemeClr>
              </a:solidFill>
              <a:ln w="469900">
                <a:solidFill>
                  <a:sysClr val="windowText" lastClr="000000"/>
                </a:solidFill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plastic">
                <a:bevelT w="387350" h="184150"/>
                <a:bevelB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  <a:ln w="469900">
                <a:solidFill>
                  <a:sysClr val="windowText" lastClr="000000"/>
                </a:solidFill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plastic">
                <a:bevelT w="387350" h="184150"/>
                <a:bevelB/>
                <a:contourClr>
                  <a:srgbClr val="000000"/>
                </a:contourClr>
              </a:sp3d>
            </c:spPr>
          </c:dPt>
          <c:dPt>
            <c:idx val="4"/>
            <c:spPr>
              <a:solidFill>
                <a:srgbClr val="B2DF93"/>
              </a:solidFill>
              <a:ln w="469900">
                <a:solidFill>
                  <a:schemeClr val="accent4">
                    <a:lumMod val="50000"/>
                  </a:schemeClr>
                </a:solidFill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plastic">
                <a:bevelT w="387350" h="184150"/>
                <a:bevelB/>
                <a:contourClr>
                  <a:srgbClr val="000000"/>
                </a:contourClr>
              </a:sp3d>
            </c:spPr>
          </c:dPt>
          <c:dPt>
            <c:idx val="5"/>
            <c:explosion val="30"/>
            <c:spPr>
              <a:solidFill>
                <a:srgbClr val="FFFF00"/>
              </a:solidFill>
              <a:ln w="469900">
                <a:solidFill>
                  <a:sysClr val="windowText" lastClr="000000"/>
                </a:solidFill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plastic">
                <a:bevelT w="387350" h="184150"/>
                <a:bevelB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4518179295555828"/>
                  <c:y val="0.1105254432657644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Arial"/>
                        <a:cs typeface="Times New Roman" pitchFamily="18" charset="0"/>
                      </a:defRPr>
                    </a:pPr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В</a:t>
                    </a:r>
                    <a:r>
                      <a:rPr lang="ru-RU" sz="800"/>
                      <a:t>ласні надходження</a:t>
                    </a:r>
                    <a:r>
                      <a:rPr lang="ru-RU" sz="800" baseline="0"/>
                      <a:t> бюджетних установ </a:t>
                    </a:r>
                  </a:p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Arial"/>
                        <a:cs typeface="Times New Roman" pitchFamily="18" charset="0"/>
                      </a:defRPr>
                    </a:pPr>
                    <a:r>
                      <a:rPr lang="ru-RU" sz="800" baseline="0"/>
                      <a:t>104,1 млн.грн. </a:t>
                    </a:r>
                  </a:p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Arial"/>
                        <a:cs typeface="Times New Roman" pitchFamily="18" charset="0"/>
                      </a:defRPr>
                    </a:pPr>
                    <a:r>
                      <a:rPr lang="ru-RU" sz="800" baseline="0"/>
                      <a:t>76,7% </a:t>
                    </a:r>
                    <a:endParaRPr lang="ru-RU" sz="8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9.4555177809952248E-2"/>
                  <c:y val="-0.14468309073794514"/>
                </c:manualLayout>
              </c:layout>
              <c:tx>
                <c:rich>
                  <a:bodyPr/>
                  <a:lstStyle/>
                  <a:p>
                    <a:r>
                      <a:rPr lang="uk-UA" sz="800" b="1">
                        <a:latin typeface="Times New Roman" pitchFamily="18" charset="0"/>
                        <a:cs typeface="Times New Roman" pitchFamily="18" charset="0"/>
                      </a:rPr>
                      <a:t>Е</a:t>
                    </a:r>
                    <a:r>
                      <a:rPr lang="uk-UA"/>
                      <a:t>кологічний податок </a:t>
                    </a:r>
                  </a:p>
                  <a:p>
                    <a:r>
                      <a:rPr lang="uk-UA"/>
                      <a:t>12,9 млн.грн.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9,5%</a:t>
                    </a:r>
                    <a:endParaRPr lang="en-US"/>
                  </a:p>
                </c:rich>
              </c:tx>
              <c:dLblPos val="bestFit"/>
            </c:dLbl>
            <c:dLbl>
              <c:idx val="2"/>
              <c:layout>
                <c:manualLayout>
                  <c:x val="0.13290564812525141"/>
                  <c:y val="4.134307555975327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  <a:r>
                      <a:rPr lang="ru-RU"/>
                      <a:t>ошти від відчуження майна</a:t>
                    </a:r>
                  </a:p>
                  <a:p>
                    <a:r>
                      <a:rPr lang="ru-RU"/>
                      <a:t> 4,8 млн.грн. </a:t>
                    </a:r>
                  </a:p>
                  <a:p>
                    <a:r>
                      <a:rPr lang="ru-RU"/>
                      <a:t>3,5%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8.652933170489539E-3"/>
                  <c:y val="0.13831560246711022"/>
                </c:manualLayout>
              </c:layout>
              <c:tx>
                <c:rich>
                  <a:bodyPr/>
                  <a:lstStyle/>
                  <a:p>
                    <a:r>
                      <a:rPr lang="ru-RU" sz="8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Кошти пайової участі  </a:t>
                    </a:r>
                  </a:p>
                  <a:p>
                    <a:r>
                      <a:rPr lang="ru-RU" sz="8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3,4 млн.грн. </a:t>
                    </a:r>
                  </a:p>
                  <a:p>
                    <a:r>
                      <a:rPr lang="ru-RU" sz="8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2,5%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1.9779103767619152E-2"/>
                  <c:y val="0.16312173058250121"/>
                </c:manualLayout>
              </c:layout>
              <c:tx>
                <c:rich>
                  <a:bodyPr/>
                  <a:lstStyle/>
                  <a:p>
                    <a:r>
                      <a:rPr lang="ru-RU" sz="8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Кошти від продажу землі</a:t>
                    </a:r>
                  </a:p>
                  <a:p>
                    <a:r>
                      <a:rPr lang="ru-RU" sz="8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10,2 млн.грн. </a:t>
                    </a:r>
                  </a:p>
                  <a:p>
                    <a:r>
                      <a:rPr lang="ru-RU" sz="8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7,5%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-0.13620285756893341"/>
                  <c:y val="8.1101171803062526E-3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Arial"/>
                        <a:cs typeface="Times New Roman" pitchFamily="18" charset="0"/>
                      </a:defRPr>
                    </a:pPr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І</a:t>
                    </a:r>
                    <a:r>
                      <a:rPr lang="ru-RU" sz="800"/>
                      <a:t>нші</a:t>
                    </a:r>
                    <a:endParaRPr lang="ru-RU" sz="800" baseline="0"/>
                  </a:p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Arial"/>
                        <a:cs typeface="Times New Roman" pitchFamily="18" charset="0"/>
                      </a:defRPr>
                    </a:pPr>
                    <a:r>
                      <a:rPr lang="ru-RU" sz="800" baseline="0"/>
                      <a:t>0,3 млн.грн. </a:t>
                    </a:r>
                  </a:p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Arial"/>
                        <a:cs typeface="Times New Roman" pitchFamily="18" charset="0"/>
                      </a:defRPr>
                    </a:pPr>
                    <a:r>
                      <a:rPr lang="ru-RU" sz="800" baseline="0"/>
                      <a:t>0,3%</a:t>
                    </a:r>
                    <a:endParaRPr lang="ru-RU" sz="8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Times New Roman" pitchFamily="18" charset="0"/>
                  </a:defRPr>
                </a:pPr>
                <a:endParaRPr lang="ru-RU"/>
              </a:p>
            </c:txPr>
            <c:showSerName val="1"/>
            <c:showLeaderLines val="1"/>
            <c:leaderLines>
              <c:spPr>
                <a:ln w="3175">
                  <a:solidFill>
                    <a:schemeClr val="tx1"/>
                  </a:solidFill>
                </a:ln>
              </c:spPr>
            </c:leaderLines>
          </c:dLbls>
          <c:cat>
            <c:strRef>
              <c:f>'1'!$Y$4:$Y$9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'1'!$Z$4:$Z$9</c:f>
              <c:numCache>
                <c:formatCode>#,##0.0</c:formatCode>
                <c:ptCount val="6"/>
                <c:pt idx="0">
                  <c:v>104.145983</c:v>
                </c:pt>
                <c:pt idx="1">
                  <c:v>12.866692000000018</c:v>
                </c:pt>
                <c:pt idx="2">
                  <c:v>4.7712390000000093</c:v>
                </c:pt>
                <c:pt idx="3">
                  <c:v>3.3907629999999971</c:v>
                </c:pt>
                <c:pt idx="4">
                  <c:v>10.188438</c:v>
                </c:pt>
                <c:pt idx="5">
                  <c:v>0.36205000000000381</c:v>
                </c:pt>
              </c:numCache>
            </c:numRef>
          </c:val>
        </c:ser>
        <c:ser>
          <c:idx val="1"/>
          <c:order val="1"/>
          <c:tx>
            <c:strRef>
              <c:f>'1'!#ССЫЛКА!</c:f>
              <c:strCache>
                <c:ptCount val="1"/>
                <c:pt idx="0">
                  <c:v>#ССЫЛКА!</c:v>
                </c:pt>
              </c:strCache>
            </c:strRef>
          </c:tx>
          <c:spPr>
            <a:pattFill prst="pct90">
              <a:fgClr>
                <a:srgbClr val="8080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3175">
                  <a:solidFill>
                    <a:schemeClr val="tx1"/>
                  </a:solidFill>
                </a:ln>
              </c:spPr>
            </c:leaderLines>
          </c:dLbls>
          <c:cat>
            <c:strRef>
              <c:f>'1'!$Y$4:$Y$9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'1'!#ССЫЛКА!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spPr>
            <a:pattFill prst="pct75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xplosion val="25"/>
          <c:dLbls>
            <c:delete val="1"/>
          </c:dLbls>
          <c:cat>
            <c:strRef>
              <c:f>'1'!$Y$4:$Y$9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'1'!$Z$6</c:f>
              <c:numCache>
                <c:formatCode>#,##0.0</c:formatCode>
                <c:ptCount val="1"/>
                <c:pt idx="0">
                  <c:v>4.7712390000000093</c:v>
                </c:pt>
              </c:numCache>
            </c:numRef>
          </c:val>
        </c:ser>
        <c:ser>
          <c:idx val="3"/>
          <c:order val="3"/>
          <c:spPr>
            <a:pattFill prst="pct2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xplosion val="25"/>
          <c:dLbls>
            <c:delete val="1"/>
          </c:dLbls>
          <c:cat>
            <c:strRef>
              <c:f>'1'!$Y$4:$Y$9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'1'!$Z$7</c:f>
              <c:numCache>
                <c:formatCode>#,##0.0</c:formatCode>
                <c:ptCount val="1"/>
                <c:pt idx="0">
                  <c:v>3.3907629999999971</c:v>
                </c:pt>
              </c:numCache>
            </c:numRef>
          </c:val>
        </c:ser>
        <c:ser>
          <c:idx val="4"/>
          <c:order val="4"/>
          <c:spPr>
            <a:pattFill prst="pct6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xplosion val="25"/>
          <c:dLbls>
            <c:delete val="1"/>
          </c:dLbls>
          <c:cat>
            <c:strRef>
              <c:f>'1'!$Y$4:$Y$9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'1'!$Z$8</c:f>
              <c:numCache>
                <c:formatCode>#,##0.0</c:formatCode>
                <c:ptCount val="1"/>
                <c:pt idx="0">
                  <c:v>10.188438</c:v>
                </c:pt>
              </c:numCache>
            </c:numRef>
          </c:val>
        </c:ser>
        <c:ser>
          <c:idx val="5"/>
          <c:order val="5"/>
          <c:spPr>
            <a:pattFill prst="pct3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xplosion val="25"/>
          <c:dLbls>
            <c:delete val="1"/>
          </c:dLbls>
          <c:cat>
            <c:strRef>
              <c:f>'1'!$Y$4:$Y$9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'1'!$Z$9</c:f>
              <c:numCache>
                <c:formatCode>#,##0.0</c:formatCode>
                <c:ptCount val="1"/>
                <c:pt idx="0">
                  <c:v>0.36205000000000381</c:v>
                </c:pt>
              </c:numCache>
            </c:numRef>
          </c:val>
        </c:ser>
        <c:ser>
          <c:idx val="6"/>
          <c:order val="6"/>
          <c:spPr>
            <a:pattFill prst="ltDn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xplosion val="25"/>
          <c:dLbls>
            <c:delete val="1"/>
          </c:dLbls>
          <c:cat>
            <c:strRef>
              <c:f>'1'!$Y$4:$Y$9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'1'!#ССЫЛКА!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spPr>
            <a:pattFill prst="dkUp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xplosion val="25"/>
          <c:dLbls>
            <c:delete val="1"/>
          </c:dLbls>
          <c:cat>
            <c:strRef>
              <c:f>'1'!$Y$4:$Y$9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'1'!#ССЫЛКА!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spPr>
            <a:pattFill prst="ltUp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xplosion val="25"/>
          <c:dLbls>
            <c:delete val="1"/>
          </c:dLbls>
          <c:cat>
            <c:strRef>
              <c:f>'1'!$Y$4:$Y$9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'1'!#ССЫЛКА!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'1'!#ССЫЛКА!</c:f>
              <c:strCache>
                <c:ptCount val="1"/>
                <c:pt idx="0">
                  <c:v>#ССЫЛКА!</c:v>
                </c:pt>
              </c:strCache>
            </c:strRef>
          </c:tx>
          <c:spPr>
            <a:pattFill prst="dkDn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explosion val="16"/>
            <c:spPr>
              <a:pattFill prst="dkDnDiag">
                <a:fgClr>
                  <a:srgbClr val="CC99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16"/>
            <c:spPr>
              <a:pattFill prst="lgConfetti">
                <a:fgClr>
                  <a:srgbClr val="69FFFF"/>
                </a:fgClr>
                <a:bgClr>
                  <a:srgbClr val="FF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16"/>
            <c:spPr>
              <a:pattFill prst="pct90">
                <a:fgClr>
                  <a:srgbClr val="CCFFCC"/>
                </a:fgClr>
                <a:bgClr>
                  <a:srgbClr val="424242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16"/>
          </c:dPt>
          <c:dPt>
            <c:idx val="4"/>
            <c:explosion val="16"/>
            <c:spPr>
              <a:pattFill prst="ltUpDiag">
                <a:fgClr>
                  <a:srgbClr val="FFFFFF"/>
                </a:fgClr>
                <a:bgClr>
                  <a:srgbClr val="00FF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16"/>
            <c:spPr>
              <a:pattFill prst="dkDnDiag">
                <a:fgClr>
                  <a:srgbClr val="FFFF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LblPos val="bestFit"/>
              <c:showPercent val="1"/>
            </c:dLbl>
            <c:dLbl>
              <c:idx val="1"/>
              <c:dLblPos val="bestFit"/>
              <c:showPercent val="1"/>
            </c:dLbl>
            <c:dLbl>
              <c:idx val="2"/>
              <c:dLblPos val="bestFit"/>
              <c:showPercent val="1"/>
            </c:dLbl>
            <c:dLbl>
              <c:idx val="3"/>
              <c:dLblPos val="bestFit"/>
              <c:showPercent val="1"/>
            </c:dLbl>
            <c:dLbl>
              <c:idx val="4"/>
              <c:dLblPos val="bestFit"/>
              <c:showPercent val="1"/>
            </c:dLbl>
            <c:dLbl>
              <c:idx val="5"/>
              <c:dLblPos val="bestFit"/>
              <c:showPercent val="1"/>
            </c:dLbl>
            <c:dLbl>
              <c:idx val="6"/>
              <c:dLblPos val="bestFit"/>
              <c:showPercent val="1"/>
            </c:dLbl>
            <c:dLbl>
              <c:idx val="7"/>
              <c:dLblPos val="bestFit"/>
              <c:showPercent val="1"/>
            </c:dLbl>
            <c:dLbl>
              <c:idx val="8"/>
              <c:dLblPos val="bestFit"/>
              <c:showPercent val="1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3175">
                  <a:solidFill>
                    <a:schemeClr val="tx1"/>
                  </a:solidFill>
                </a:ln>
              </c:spPr>
            </c:leaderLines>
          </c:dLbls>
          <c:cat>
            <c:strRef>
              <c:f>'1'!$Y$4:$Y$9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'1'!#ССЫЛКА!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22900790614926722"/>
          <c:y val="0.15389787354425041"/>
          <c:w val="0.5590960219758766"/>
          <c:h val="0.53658639545056297"/>
        </c:manualLayout>
      </c:layout>
      <c:pie3DChart>
        <c:varyColors val="1"/>
        <c:ser>
          <c:idx val="0"/>
          <c:order val="0"/>
          <c:spPr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406400" h="368300"/>
              <a:bevelB w="57150" h="184150"/>
            </a:sp3d>
          </c:spPr>
          <c:explosion val="9"/>
          <c:dLbls>
            <c:dLbl>
              <c:idx val="0"/>
              <c:layout>
                <c:manualLayout>
                  <c:x val="9.5287036008675316E-2"/>
                  <c:y val="-9.167570371068953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О</a:t>
                    </a:r>
                    <a:r>
                      <a:rPr lang="ru-RU"/>
                      <a:t>світа</a:t>
                    </a:r>
                  </a:p>
                  <a:p>
                    <a:r>
                      <a:rPr lang="ru-RU"/>
                      <a:t> 1 425,8 млн.грн. </a:t>
                    </a:r>
                  </a:p>
                  <a:p>
                    <a:r>
                      <a:rPr lang="ru-RU"/>
                      <a:t>34%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3.5352820672989595E-2"/>
                  <c:y val="-1.783205243057193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О</a:t>
                    </a:r>
                    <a:r>
                      <a:rPr lang="ru-RU"/>
                      <a:t>хорона здоров'я</a:t>
                    </a:r>
                  </a:p>
                  <a:p>
                    <a:r>
                      <a:rPr lang="ru-RU"/>
                      <a:t> 581,0 млн.грн.</a:t>
                    </a:r>
                  </a:p>
                  <a:p>
                    <a:r>
                      <a:rPr lang="ru-RU"/>
                      <a:t>14%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0.1210845146167974"/>
                  <c:y val="6.366023997426173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К</a:t>
                    </a:r>
                    <a:r>
                      <a:rPr lang="ru-RU"/>
                      <a:t>ультура </a:t>
                    </a:r>
                  </a:p>
                  <a:p>
                    <a:r>
                      <a:rPr lang="ru-RU"/>
                      <a:t>42,0 млн.грн. 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1.9610115485668086E-2"/>
                  <c:y val="0.1170777042735706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Ф</a:t>
                    </a:r>
                    <a:r>
                      <a:rPr lang="ru-RU"/>
                      <a:t>ізична культура і спорт</a:t>
                    </a:r>
                  </a:p>
                  <a:p>
                    <a:r>
                      <a:rPr lang="ru-RU"/>
                      <a:t> 58,6 млн.грн. 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0.22348567586432691"/>
                  <c:y val="0.1057331356363455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У</a:t>
                    </a:r>
                    <a:r>
                      <a:rPr lang="ru-RU"/>
                      <a:t>тримання та заходи соціальних служб </a:t>
                    </a:r>
                  </a:p>
                  <a:p>
                    <a:r>
                      <a:rPr lang="ru-RU"/>
                      <a:t>30,2 млн.грн.</a:t>
                    </a:r>
                  </a:p>
                  <a:p>
                    <a:r>
                      <a:rPr lang="ru-RU"/>
                      <a:t> 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-0.16215433925826703"/>
                  <c:y val="-3.378489940222061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Д</a:t>
                    </a:r>
                    <a:r>
                      <a:rPr lang="ru-RU" sz="800"/>
                      <a:t>ержавні та міські програми соціального захисту</a:t>
                    </a:r>
                    <a:endParaRPr lang="ru-RU"/>
                  </a:p>
                  <a:p>
                    <a:r>
                      <a:rPr lang="ru-RU"/>
                      <a:t> 661,6 млн.грн. </a:t>
                    </a:r>
                  </a:p>
                  <a:p>
                    <a:r>
                      <a:rPr lang="ru-RU"/>
                      <a:t>16%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-0.16984699794279756"/>
                  <c:y val="-1.425291149983497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Ж</a:t>
                    </a:r>
                    <a:r>
                      <a:rPr lang="ru-RU"/>
                      <a:t>итлово-комунальне  господарство </a:t>
                    </a:r>
                  </a:p>
                  <a:p>
                    <a:r>
                      <a:rPr lang="ru-RU"/>
                      <a:t>728,6 млн.грн.</a:t>
                    </a:r>
                  </a:p>
                  <a:p>
                    <a:r>
                      <a:rPr lang="ru-RU"/>
                      <a:t> 17%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-7.0869531084359727E-2"/>
                  <c:y val="-5.58893505284274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К</a:t>
                    </a:r>
                    <a:r>
                      <a:rPr lang="ru-RU"/>
                      <a:t>ошти, що передаються до  держаного бюджету </a:t>
                    </a:r>
                  </a:p>
                  <a:p>
                    <a:r>
                      <a:rPr lang="ru-RU"/>
                      <a:t>187,6 млн.грн. </a:t>
                    </a:r>
                  </a:p>
                  <a:p>
                    <a:r>
                      <a:rPr lang="ru-RU"/>
                      <a:t>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8"/>
              <c:layout>
                <c:manualLayout>
                  <c:x val="3.3560324185162298E-2"/>
                  <c:y val="-7.73314256767723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Т</a:t>
                    </a:r>
                    <a:r>
                      <a:rPr lang="ru-RU"/>
                      <a:t>ранспорт </a:t>
                    </a:r>
                  </a:p>
                  <a:p>
                    <a:r>
                      <a:rPr lang="ru-RU"/>
                      <a:t>251,3 млн.грн.</a:t>
                    </a:r>
                  </a:p>
                  <a:p>
                    <a:r>
                      <a:rPr lang="ru-RU"/>
                      <a:t> 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9"/>
              <c:layout>
                <c:manualLayout>
                  <c:x val="0.19964068831046081"/>
                  <c:y val="-2.96531041680986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І</a:t>
                    </a:r>
                    <a:r>
                      <a:rPr lang="ru-RU"/>
                      <a:t>нші видатки </a:t>
                    </a:r>
                  </a:p>
                  <a:p>
                    <a:r>
                      <a:rPr lang="ru-RU"/>
                      <a:t>275,3 млн.грн. </a:t>
                    </a:r>
                  </a:p>
                  <a:p>
                    <a:r>
                      <a:rPr lang="ru-RU"/>
                      <a:t>6%</a:t>
                    </a:r>
                  </a:p>
                </c:rich>
              </c:tx>
              <c:showVal val="1"/>
              <c:showCatName val="1"/>
              <c:showPercent val="1"/>
            </c:dLbl>
            <c:spPr>
              <a:solidFill>
                <a:schemeClr val="bg1"/>
              </a:solidFill>
              <a:scene3d>
                <a:camera prst="orthographicFront"/>
                <a:lightRig rig="threePt" dir="t"/>
              </a:scene3d>
              <a:sp3d prstMaterial="flat"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  <c:leaderLines>
              <c:spPr>
                <a:ln w="6350" cap="rnd">
                  <a:bevel/>
                </a:ln>
              </c:spPr>
            </c:leaderLines>
          </c:dLbls>
          <c:cat>
            <c:strRef>
              <c:f>'з+с ф. функц.'!$A$1:$A$10</c:f>
              <c:strCache>
                <c:ptCount val="10"/>
                <c:pt idx="0">
                  <c:v>Освіта</c:v>
                </c:pt>
                <c:pt idx="1">
                  <c:v>Охорона здоров'я</c:v>
                </c:pt>
                <c:pt idx="2">
                  <c:v>Культура</c:v>
                </c:pt>
                <c:pt idx="3">
                  <c:v>Фізична культура і спорт</c:v>
                </c:pt>
                <c:pt idx="4">
                  <c:v>Утримання та заходи соціальних служб</c:v>
                </c:pt>
                <c:pt idx="5">
                  <c:v>Соціальний захист та соціальне  забезпечення, 
компенсація пільгового проїзду</c:v>
                </c:pt>
                <c:pt idx="6">
                  <c:v>Житлово-комунальне  господарство</c:v>
                </c:pt>
                <c:pt idx="7">
                  <c:v>Кошти, що передаються до  держаного бюджету</c:v>
                </c:pt>
                <c:pt idx="8">
                  <c:v>Транспорт</c:v>
                </c:pt>
                <c:pt idx="9">
                  <c:v>Інші видатки</c:v>
                </c:pt>
              </c:strCache>
            </c:strRef>
          </c:cat>
          <c:val>
            <c:numRef>
              <c:f>'з+с ф. функц.'!$B$1:$B$10</c:f>
              <c:numCache>
                <c:formatCode>#,##0.0</c:formatCode>
                <c:ptCount val="10"/>
                <c:pt idx="0">
                  <c:v>1425.8</c:v>
                </c:pt>
                <c:pt idx="1">
                  <c:v>581</c:v>
                </c:pt>
                <c:pt idx="2">
                  <c:v>42</c:v>
                </c:pt>
                <c:pt idx="3">
                  <c:v>58.6</c:v>
                </c:pt>
                <c:pt idx="4">
                  <c:v>30.2</c:v>
                </c:pt>
                <c:pt idx="5">
                  <c:v>661.6</c:v>
                </c:pt>
                <c:pt idx="6">
                  <c:v>728.6</c:v>
                </c:pt>
                <c:pt idx="7">
                  <c:v>187.6</c:v>
                </c:pt>
                <c:pt idx="8">
                  <c:v>251.3</c:v>
                </c:pt>
                <c:pt idx="9">
                  <c:v>275.3</c:v>
                </c:pt>
              </c:numCache>
            </c:numRef>
          </c:val>
        </c:ser>
        <c:dLbls>
          <c:showVal val="1"/>
          <c:showCatName val="1"/>
        </c:dLbls>
      </c:pie3DChart>
      <c:spPr>
        <a:effectLst>
          <a:outerShdw blurRad="50800" dist="50800" dir="5400000" algn="ctr" rotWithShape="0">
            <a:srgbClr val="DCFCEE"/>
          </a:outerShdw>
        </a:effectLst>
      </c:spPr>
    </c:plotArea>
    <c:plotVisOnly val="1"/>
  </c:chart>
  <c:spPr>
    <a:noFill/>
    <a:ln>
      <a:noFill/>
    </a:ln>
    <a:effectLst>
      <a:outerShdw blurRad="50800" dist="50800" dir="5400000" sx="1000" sy="1000" algn="ctr" rotWithShape="0">
        <a:srgbClr val="000000"/>
      </a:outerShdw>
    </a:effectLst>
    <a:scene3d>
      <a:camera prst="orthographicFront"/>
      <a:lightRig rig="threePt" dir="t"/>
    </a:scene3d>
    <a:sp3d prstMaterial="translucentPowder">
      <a:bevelT w="165100" prst="coolSlant"/>
      <a:bevelB w="63500" h="165100"/>
    </a:sp3d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D857-EEC8-4F5B-870B-2D05BE41508D}" type="doc">
      <dgm:prSet loTypeId="urn:microsoft.com/office/officeart/2005/8/layout/hierarchy2" loCatId="hierarchy" qsTypeId="urn:microsoft.com/office/officeart/2005/8/quickstyle/simple3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4A12D90F-117E-4A05-B0FC-1474ED2AAF1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Доходи загального фонду</a:t>
          </a:r>
        </a:p>
      </dgm:t>
    </dgm:pt>
    <dgm:pt modelId="{DA88303F-4044-49DE-BA93-DC1764CA0FEC}" type="parTrans" cxnId="{733AAC97-A9DE-42E7-A47B-370843CDEF94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EA2C9192-A882-4BE3-A71C-5A6CFA954490}" type="sibTrans" cxnId="{733AAC97-A9DE-42E7-A47B-370843CDEF94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39031A33-CEE8-4112-93D4-58ADECD6615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63,9%</a:t>
          </a:r>
        </a:p>
      </dgm:t>
    </dgm:pt>
    <dgm:pt modelId="{A77A02C1-5528-4770-B33F-997F0D5E5298}" type="parTrans" cxnId="{BF93BC14-CC0B-437E-9826-37AEA838C08D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59A12370-3633-4E73-A93D-D40B5C441422}" type="sibTrans" cxnId="{BF93BC14-CC0B-437E-9826-37AEA838C08D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D5A809D0-CCC9-469B-B430-415F15E5B9E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2 790,4 млн.грн.</a:t>
          </a:r>
        </a:p>
      </dgm:t>
    </dgm:pt>
    <dgm:pt modelId="{DDC4F2BF-838F-436D-9AE1-841D9C289EB5}" type="parTrans" cxnId="{303D8BD6-06D2-40B2-BF09-76B081EE0F6D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53C9DD93-62C9-4D98-9D21-D44C1DC8D271}" type="sibTrans" cxnId="{303D8BD6-06D2-40B2-BF09-76B081EE0F6D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82B9EA7B-1032-4524-A531-D5E48E25ADEB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Офіційні трансферти</a:t>
          </a:r>
        </a:p>
      </dgm:t>
    </dgm:pt>
    <dgm:pt modelId="{5002AD07-95CF-48CB-8E7C-1E6E2D6C9CAD}" type="parTrans" cxnId="{5AA77AD4-247D-4912-A8D4-3046FF67596C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2AD0A3B6-31E9-4D3A-B524-AB572AE11A05}" type="sibTrans" cxnId="{5AA77AD4-247D-4912-A8D4-3046FF67596C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5C1BC9B5-AA51-46C4-89E2-496744128E56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33,0%</a:t>
          </a:r>
        </a:p>
      </dgm:t>
    </dgm:pt>
    <dgm:pt modelId="{F610A43E-A98F-4B75-80DE-702FFB6EEB78}" type="parTrans" cxnId="{05A13523-1F0A-40BE-9029-9C99905B3075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D6E4B6A3-85E3-4D26-A61E-BCC4974F632F}" type="sibTrans" cxnId="{05A13523-1F0A-40BE-9029-9C99905B3075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C5792DE4-FE90-46D7-A11E-2862E8C7A673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1 44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1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,6 млн.грн.</a:t>
          </a:r>
        </a:p>
      </dgm:t>
    </dgm:pt>
    <dgm:pt modelId="{01EF441E-355A-442C-AC4B-9F9441C9FA67}" type="parTrans" cxnId="{9AC8A866-F1E9-47D3-BD7A-8ADB9E110B44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19CB8FB5-6247-45B7-ADDE-17D5F7FE9A7C}" type="sibTrans" cxnId="{9AC8A866-F1E9-47D3-BD7A-8ADB9E110B44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A369C4CC-5037-4729-8917-1E8D8EF76A16}">
      <dgm:prSet phldrT="[Текст]" custT="1"/>
      <dgm:spPr/>
      <dgm:t>
        <a:bodyPr anchor="ctr"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Доходи спеціального фонду</a:t>
          </a:r>
        </a:p>
      </dgm:t>
    </dgm:pt>
    <dgm:pt modelId="{6CFE281D-5769-4582-915E-0DDE0628A9E0}" type="parTrans" cxnId="{CE6ADEB6-32FD-453A-A21A-0A511BFF8DE7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36E578B1-3C95-46D2-9ACD-5F25FA91C242}" type="sibTrans" cxnId="{CE6ADEB6-32FD-453A-A21A-0A511BFF8DE7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6EEE3B6C-18DD-459A-9B46-A3FB724AB3D7}">
      <dgm:prSet phldrT="[Текст]" custT="1"/>
      <dgm:spPr/>
      <dgm:t>
        <a:bodyPr anchor="ctr"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3,1%</a:t>
          </a:r>
        </a:p>
      </dgm:t>
    </dgm:pt>
    <dgm:pt modelId="{B79DBC18-1D8D-4AB9-905C-3CD3B82520AC}" type="parTrans" cxnId="{5C0F032F-5C62-4C54-B200-6278088B2B20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A146C5E4-2EFA-46F9-96AF-BC8C99F64804}" type="sibTrans" cxnId="{5C0F032F-5C62-4C54-B200-6278088B2B20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B7D958AF-94A0-4508-8B05-D3A262C8C2DB}">
      <dgm:prSet phldrT="[Текст]" custT="1"/>
      <dgm:spPr/>
      <dgm:t>
        <a:bodyPr anchor="ctr"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135,7 млн.грн.</a:t>
          </a:r>
        </a:p>
      </dgm:t>
    </dgm:pt>
    <dgm:pt modelId="{3353CB08-3220-468D-B0C5-78802E11F7AA}" type="parTrans" cxnId="{D0E1277C-33D9-4414-B78D-07472E447844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1CC36EAB-AAB7-4A44-AD85-E0A84790616A}" type="sibTrans" cxnId="{D0E1277C-33D9-4414-B78D-07472E447844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F355771B-CB80-4488-A5DA-187E98DEE3EB}" type="pres">
      <dgm:prSet presAssocID="{F371D857-EEC8-4F5B-870B-2D05BE41508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0E8FCC9-BA1B-4812-8B66-17F7DE703E87}" type="pres">
      <dgm:prSet presAssocID="{4A12D90F-117E-4A05-B0FC-1474ED2AAF1F}" presName="root1" presStyleCnt="0"/>
      <dgm:spPr/>
      <dgm:t>
        <a:bodyPr/>
        <a:lstStyle/>
        <a:p>
          <a:endParaRPr lang="ru-RU"/>
        </a:p>
      </dgm:t>
    </dgm:pt>
    <dgm:pt modelId="{F17187FB-4C63-4E87-A651-06427C3BCC4B}" type="pres">
      <dgm:prSet presAssocID="{4A12D90F-117E-4A05-B0FC-1474ED2AAF1F}" presName="LevelOneTextNode" presStyleLbl="node0" presStyleIdx="0" presStyleCnt="3" custScaleX="337965" custScaleY="986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188B3C-E48E-4948-8828-E7C5B2AE52D5}" type="pres">
      <dgm:prSet presAssocID="{4A12D90F-117E-4A05-B0FC-1474ED2AAF1F}" presName="level2hierChild" presStyleCnt="0"/>
      <dgm:spPr/>
      <dgm:t>
        <a:bodyPr/>
        <a:lstStyle/>
        <a:p>
          <a:endParaRPr lang="ru-RU"/>
        </a:p>
      </dgm:t>
    </dgm:pt>
    <dgm:pt modelId="{7E04FCC9-2D7F-4703-9E09-1FC91C740656}" type="pres">
      <dgm:prSet presAssocID="{A77A02C1-5528-4770-B33F-997F0D5E5298}" presName="conn2-1" presStyleLbl="parChTrans1D2" presStyleIdx="0" presStyleCnt="6"/>
      <dgm:spPr/>
      <dgm:t>
        <a:bodyPr/>
        <a:lstStyle/>
        <a:p>
          <a:endParaRPr lang="ru-RU"/>
        </a:p>
      </dgm:t>
    </dgm:pt>
    <dgm:pt modelId="{2724BAA2-0CC1-4347-8727-4D0239F458C4}" type="pres">
      <dgm:prSet presAssocID="{A77A02C1-5528-4770-B33F-997F0D5E5298}" presName="connTx" presStyleLbl="parChTrans1D2" presStyleIdx="0" presStyleCnt="6"/>
      <dgm:spPr/>
      <dgm:t>
        <a:bodyPr/>
        <a:lstStyle/>
        <a:p>
          <a:endParaRPr lang="ru-RU"/>
        </a:p>
      </dgm:t>
    </dgm:pt>
    <dgm:pt modelId="{34066E4A-843B-4204-BA46-9B180778BC4F}" type="pres">
      <dgm:prSet presAssocID="{39031A33-CEE8-4112-93D4-58ADECD66156}" presName="root2" presStyleCnt="0"/>
      <dgm:spPr/>
      <dgm:t>
        <a:bodyPr/>
        <a:lstStyle/>
        <a:p>
          <a:endParaRPr lang="ru-RU"/>
        </a:p>
      </dgm:t>
    </dgm:pt>
    <dgm:pt modelId="{CF954819-0777-44E2-8D72-7436331C025C}" type="pres">
      <dgm:prSet presAssocID="{39031A33-CEE8-4112-93D4-58ADECD66156}" presName="LevelTwoTextNode" presStyleLbl="node2" presStyleIdx="0" presStyleCnt="6" custScaleX="1519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012BBA-559F-478A-A175-AD2EB5DFC193}" type="pres">
      <dgm:prSet presAssocID="{39031A33-CEE8-4112-93D4-58ADECD66156}" presName="level3hierChild" presStyleCnt="0"/>
      <dgm:spPr/>
      <dgm:t>
        <a:bodyPr/>
        <a:lstStyle/>
        <a:p>
          <a:endParaRPr lang="ru-RU"/>
        </a:p>
      </dgm:t>
    </dgm:pt>
    <dgm:pt modelId="{F2A0E653-077D-4DD6-B901-DA92B9E3B78C}" type="pres">
      <dgm:prSet presAssocID="{DDC4F2BF-838F-436D-9AE1-841D9C289EB5}" presName="conn2-1" presStyleLbl="parChTrans1D2" presStyleIdx="1" presStyleCnt="6"/>
      <dgm:spPr/>
      <dgm:t>
        <a:bodyPr/>
        <a:lstStyle/>
        <a:p>
          <a:endParaRPr lang="ru-RU"/>
        </a:p>
      </dgm:t>
    </dgm:pt>
    <dgm:pt modelId="{6504A14B-0728-4488-B883-7D73EB35D0DB}" type="pres">
      <dgm:prSet presAssocID="{DDC4F2BF-838F-436D-9AE1-841D9C289EB5}" presName="connTx" presStyleLbl="parChTrans1D2" presStyleIdx="1" presStyleCnt="6"/>
      <dgm:spPr/>
      <dgm:t>
        <a:bodyPr/>
        <a:lstStyle/>
        <a:p>
          <a:endParaRPr lang="ru-RU"/>
        </a:p>
      </dgm:t>
    </dgm:pt>
    <dgm:pt modelId="{0AE3173A-1499-4ADF-AE88-43996C9B236F}" type="pres">
      <dgm:prSet presAssocID="{D5A809D0-CCC9-469B-B430-415F15E5B9EF}" presName="root2" presStyleCnt="0"/>
      <dgm:spPr/>
      <dgm:t>
        <a:bodyPr/>
        <a:lstStyle/>
        <a:p>
          <a:endParaRPr lang="ru-RU"/>
        </a:p>
      </dgm:t>
    </dgm:pt>
    <dgm:pt modelId="{5E6B5DB6-9E4B-4793-B054-A6B41ECCAED2}" type="pres">
      <dgm:prSet presAssocID="{D5A809D0-CCC9-469B-B430-415F15E5B9EF}" presName="LevelTwoTextNode" presStyleLbl="node2" presStyleIdx="1" presStyleCnt="6" custScaleX="1489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BF638E-783F-482F-9695-0DE4272FEC98}" type="pres">
      <dgm:prSet presAssocID="{D5A809D0-CCC9-469B-B430-415F15E5B9EF}" presName="level3hierChild" presStyleCnt="0"/>
      <dgm:spPr/>
      <dgm:t>
        <a:bodyPr/>
        <a:lstStyle/>
        <a:p>
          <a:endParaRPr lang="ru-RU"/>
        </a:p>
      </dgm:t>
    </dgm:pt>
    <dgm:pt modelId="{003A643C-9E89-45FB-8910-8701CAD80A67}" type="pres">
      <dgm:prSet presAssocID="{82B9EA7B-1032-4524-A531-D5E48E25ADEB}" presName="root1" presStyleCnt="0"/>
      <dgm:spPr/>
      <dgm:t>
        <a:bodyPr/>
        <a:lstStyle/>
        <a:p>
          <a:endParaRPr lang="ru-RU"/>
        </a:p>
      </dgm:t>
    </dgm:pt>
    <dgm:pt modelId="{8725CA98-4403-4784-A069-E991535BE5D3}" type="pres">
      <dgm:prSet presAssocID="{82B9EA7B-1032-4524-A531-D5E48E25ADEB}" presName="LevelOneTextNode" presStyleLbl="node0" presStyleIdx="1" presStyleCnt="3" custScaleX="291110" custScaleY="91539" custLinFactNeighborX="21772" custLinFactNeighborY="-980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C3731A-A7AF-4AD6-8515-77A5BBEACBC1}" type="pres">
      <dgm:prSet presAssocID="{82B9EA7B-1032-4524-A531-D5E48E25ADEB}" presName="level2hierChild" presStyleCnt="0"/>
      <dgm:spPr/>
      <dgm:t>
        <a:bodyPr/>
        <a:lstStyle/>
        <a:p>
          <a:endParaRPr lang="ru-RU"/>
        </a:p>
      </dgm:t>
    </dgm:pt>
    <dgm:pt modelId="{82563104-C1A3-4589-8209-C6E9C3685F5F}" type="pres">
      <dgm:prSet presAssocID="{F610A43E-A98F-4B75-80DE-702FFB6EEB78}" presName="conn2-1" presStyleLbl="parChTrans1D2" presStyleIdx="2" presStyleCnt="6"/>
      <dgm:spPr/>
      <dgm:t>
        <a:bodyPr/>
        <a:lstStyle/>
        <a:p>
          <a:endParaRPr lang="ru-RU"/>
        </a:p>
      </dgm:t>
    </dgm:pt>
    <dgm:pt modelId="{5E1ABBB2-EAFF-41CF-BAC9-4EF1B8172639}" type="pres">
      <dgm:prSet presAssocID="{F610A43E-A98F-4B75-80DE-702FFB6EEB78}" presName="connTx" presStyleLbl="parChTrans1D2" presStyleIdx="2" presStyleCnt="6"/>
      <dgm:spPr/>
      <dgm:t>
        <a:bodyPr/>
        <a:lstStyle/>
        <a:p>
          <a:endParaRPr lang="ru-RU"/>
        </a:p>
      </dgm:t>
    </dgm:pt>
    <dgm:pt modelId="{497EC320-BC6E-4A07-BDBD-92F49C4FCCE0}" type="pres">
      <dgm:prSet presAssocID="{5C1BC9B5-AA51-46C4-89E2-496744128E56}" presName="root2" presStyleCnt="0"/>
      <dgm:spPr/>
      <dgm:t>
        <a:bodyPr/>
        <a:lstStyle/>
        <a:p>
          <a:endParaRPr lang="ru-RU"/>
        </a:p>
      </dgm:t>
    </dgm:pt>
    <dgm:pt modelId="{5A5DD5B5-870A-49DA-AAEF-66C8D3D472DC}" type="pres">
      <dgm:prSet presAssocID="{5C1BC9B5-AA51-46C4-89E2-496744128E56}" presName="LevelTwoTextNode" presStyleLbl="node2" presStyleIdx="2" presStyleCnt="6" custScaleX="127776" custLinFactNeighborX="27306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131C1E-84BA-433F-A160-68C519A1B757}" type="pres">
      <dgm:prSet presAssocID="{5C1BC9B5-AA51-46C4-89E2-496744128E56}" presName="level3hierChild" presStyleCnt="0"/>
      <dgm:spPr/>
      <dgm:t>
        <a:bodyPr/>
        <a:lstStyle/>
        <a:p>
          <a:endParaRPr lang="ru-RU"/>
        </a:p>
      </dgm:t>
    </dgm:pt>
    <dgm:pt modelId="{851752C2-0D97-418F-8EF8-416C9D939721}" type="pres">
      <dgm:prSet presAssocID="{01EF441E-355A-442C-AC4B-9F9441C9FA67}" presName="conn2-1" presStyleLbl="parChTrans1D2" presStyleIdx="3" presStyleCnt="6"/>
      <dgm:spPr/>
      <dgm:t>
        <a:bodyPr/>
        <a:lstStyle/>
        <a:p>
          <a:endParaRPr lang="ru-RU"/>
        </a:p>
      </dgm:t>
    </dgm:pt>
    <dgm:pt modelId="{2C683A53-E7F7-4B83-AF44-B0759AABB3BA}" type="pres">
      <dgm:prSet presAssocID="{01EF441E-355A-442C-AC4B-9F9441C9FA67}" presName="connTx" presStyleLbl="parChTrans1D2" presStyleIdx="3" presStyleCnt="6"/>
      <dgm:spPr/>
      <dgm:t>
        <a:bodyPr/>
        <a:lstStyle/>
        <a:p>
          <a:endParaRPr lang="ru-RU"/>
        </a:p>
      </dgm:t>
    </dgm:pt>
    <dgm:pt modelId="{B44D140D-3566-4223-8AD4-1CE761CFAF56}" type="pres">
      <dgm:prSet presAssocID="{C5792DE4-FE90-46D7-A11E-2862E8C7A673}" presName="root2" presStyleCnt="0"/>
      <dgm:spPr/>
      <dgm:t>
        <a:bodyPr/>
        <a:lstStyle/>
        <a:p>
          <a:endParaRPr lang="ru-RU"/>
        </a:p>
      </dgm:t>
    </dgm:pt>
    <dgm:pt modelId="{8F93582E-E9AB-4298-8937-6811C834B0A5}" type="pres">
      <dgm:prSet presAssocID="{C5792DE4-FE90-46D7-A11E-2862E8C7A673}" presName="LevelTwoTextNode" presStyleLbl="node2" presStyleIdx="3" presStyleCnt="6" custScaleX="120695" custLinFactNeighborX="29330" custLinFactNeighborY="50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63D0AD-B04C-4122-AEAA-6B35EA63EA06}" type="pres">
      <dgm:prSet presAssocID="{C5792DE4-FE90-46D7-A11E-2862E8C7A673}" presName="level3hierChild" presStyleCnt="0"/>
      <dgm:spPr/>
      <dgm:t>
        <a:bodyPr/>
        <a:lstStyle/>
        <a:p>
          <a:endParaRPr lang="ru-RU"/>
        </a:p>
      </dgm:t>
    </dgm:pt>
    <dgm:pt modelId="{F1414BAE-1F93-4411-A472-6C014F93C147}" type="pres">
      <dgm:prSet presAssocID="{A369C4CC-5037-4729-8917-1E8D8EF76A16}" presName="root1" presStyleCnt="0"/>
      <dgm:spPr/>
      <dgm:t>
        <a:bodyPr/>
        <a:lstStyle/>
        <a:p>
          <a:endParaRPr lang="ru-RU"/>
        </a:p>
      </dgm:t>
    </dgm:pt>
    <dgm:pt modelId="{B6D538B6-D1DC-47BD-BF66-DFDD45EB383B}" type="pres">
      <dgm:prSet presAssocID="{A369C4CC-5037-4729-8917-1E8D8EF76A16}" presName="LevelOneTextNode" presStyleLbl="node0" presStyleIdx="2" presStyleCnt="3" custScaleX="146782" custScaleY="138563" custLinFactNeighborX="48039" custLinFactNeighborY="-928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590070-F9B5-41F9-A10D-638D11266BEB}" type="pres">
      <dgm:prSet presAssocID="{A369C4CC-5037-4729-8917-1E8D8EF76A16}" presName="level2hierChild" presStyleCnt="0"/>
      <dgm:spPr/>
      <dgm:t>
        <a:bodyPr/>
        <a:lstStyle/>
        <a:p>
          <a:endParaRPr lang="ru-RU"/>
        </a:p>
      </dgm:t>
    </dgm:pt>
    <dgm:pt modelId="{328B908E-BEBB-4EE1-A6B6-2DB45A412E6C}" type="pres">
      <dgm:prSet presAssocID="{B79DBC18-1D8D-4AB9-905C-3CD3B82520AC}" presName="conn2-1" presStyleLbl="parChTrans1D2" presStyleIdx="4" presStyleCnt="6"/>
      <dgm:spPr/>
      <dgm:t>
        <a:bodyPr/>
        <a:lstStyle/>
        <a:p>
          <a:endParaRPr lang="ru-RU"/>
        </a:p>
      </dgm:t>
    </dgm:pt>
    <dgm:pt modelId="{0A115240-0D6C-4096-B551-EF62729DCC19}" type="pres">
      <dgm:prSet presAssocID="{B79DBC18-1D8D-4AB9-905C-3CD3B82520AC}" presName="connTx" presStyleLbl="parChTrans1D2" presStyleIdx="4" presStyleCnt="6"/>
      <dgm:spPr/>
      <dgm:t>
        <a:bodyPr/>
        <a:lstStyle/>
        <a:p>
          <a:endParaRPr lang="ru-RU"/>
        </a:p>
      </dgm:t>
    </dgm:pt>
    <dgm:pt modelId="{5C8C8272-7A95-4987-AEFF-F8ED5719AFA6}" type="pres">
      <dgm:prSet presAssocID="{6EEE3B6C-18DD-459A-9B46-A3FB724AB3D7}" presName="root2" presStyleCnt="0"/>
      <dgm:spPr/>
      <dgm:t>
        <a:bodyPr/>
        <a:lstStyle/>
        <a:p>
          <a:endParaRPr lang="ru-RU"/>
        </a:p>
      </dgm:t>
    </dgm:pt>
    <dgm:pt modelId="{E8BFF934-B56F-405B-89CF-BAA9BF6D1290}" type="pres">
      <dgm:prSet presAssocID="{6EEE3B6C-18DD-459A-9B46-A3FB724AB3D7}" presName="LevelTwoTextNode" presStyleLbl="node2" presStyleIdx="4" presStyleCnt="6" custScaleX="90362" custScaleY="66534" custLinFactNeighborX="50328" custLinFactNeighborY="-805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05032B-9AC2-4333-97AF-4ABFD758F8E5}" type="pres">
      <dgm:prSet presAssocID="{6EEE3B6C-18DD-459A-9B46-A3FB724AB3D7}" presName="level3hierChild" presStyleCnt="0"/>
      <dgm:spPr/>
      <dgm:t>
        <a:bodyPr/>
        <a:lstStyle/>
        <a:p>
          <a:endParaRPr lang="ru-RU"/>
        </a:p>
      </dgm:t>
    </dgm:pt>
    <dgm:pt modelId="{41999382-657F-4207-AF07-57FF5340CC66}" type="pres">
      <dgm:prSet presAssocID="{3353CB08-3220-468D-B0C5-78802E11F7AA}" presName="conn2-1" presStyleLbl="parChTrans1D2" presStyleIdx="5" presStyleCnt="6"/>
      <dgm:spPr/>
      <dgm:t>
        <a:bodyPr/>
        <a:lstStyle/>
        <a:p>
          <a:endParaRPr lang="ru-RU"/>
        </a:p>
      </dgm:t>
    </dgm:pt>
    <dgm:pt modelId="{13991D80-23BB-4E6D-B764-C12EEF985A55}" type="pres">
      <dgm:prSet presAssocID="{3353CB08-3220-468D-B0C5-78802E11F7AA}" presName="connTx" presStyleLbl="parChTrans1D2" presStyleIdx="5" presStyleCnt="6"/>
      <dgm:spPr/>
      <dgm:t>
        <a:bodyPr/>
        <a:lstStyle/>
        <a:p>
          <a:endParaRPr lang="ru-RU"/>
        </a:p>
      </dgm:t>
    </dgm:pt>
    <dgm:pt modelId="{E583F67B-CA3D-4A58-8B42-81E901422D97}" type="pres">
      <dgm:prSet presAssocID="{B7D958AF-94A0-4508-8B05-D3A262C8C2DB}" presName="root2" presStyleCnt="0"/>
      <dgm:spPr/>
      <dgm:t>
        <a:bodyPr/>
        <a:lstStyle/>
        <a:p>
          <a:endParaRPr lang="ru-RU"/>
        </a:p>
      </dgm:t>
    </dgm:pt>
    <dgm:pt modelId="{98C98612-54E8-45A5-A0FE-487782374EE9}" type="pres">
      <dgm:prSet presAssocID="{B7D958AF-94A0-4508-8B05-D3A262C8C2DB}" presName="LevelTwoTextNode" presStyleLbl="node2" presStyleIdx="5" presStyleCnt="6" custFlipHor="0" custScaleX="90452" custScaleY="106579" custLinFactNeighborX="52879" custLinFactNeighborY="-748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DAD5C2-8A34-4C03-BB26-5158C4491C23}" type="pres">
      <dgm:prSet presAssocID="{B7D958AF-94A0-4508-8B05-D3A262C8C2DB}" presName="level3hierChild" presStyleCnt="0"/>
      <dgm:spPr/>
      <dgm:t>
        <a:bodyPr/>
        <a:lstStyle/>
        <a:p>
          <a:endParaRPr lang="ru-RU"/>
        </a:p>
      </dgm:t>
    </dgm:pt>
  </dgm:ptLst>
  <dgm:cxnLst>
    <dgm:cxn modelId="{05A13523-1F0A-40BE-9029-9C99905B3075}" srcId="{82B9EA7B-1032-4524-A531-D5E48E25ADEB}" destId="{5C1BC9B5-AA51-46C4-89E2-496744128E56}" srcOrd="0" destOrd="0" parTransId="{F610A43E-A98F-4B75-80DE-702FFB6EEB78}" sibTransId="{D6E4B6A3-85E3-4D26-A61E-BCC4974F632F}"/>
    <dgm:cxn modelId="{6555F3F5-315D-4AB6-B4F1-EE54E01F89A2}" type="presOf" srcId="{B79DBC18-1D8D-4AB9-905C-3CD3B82520AC}" destId="{0A115240-0D6C-4096-B551-EF62729DCC19}" srcOrd="1" destOrd="0" presId="urn:microsoft.com/office/officeart/2005/8/layout/hierarchy2"/>
    <dgm:cxn modelId="{B6D39F96-8F97-40F8-97D0-94943E2BC53F}" type="presOf" srcId="{A369C4CC-5037-4729-8917-1E8D8EF76A16}" destId="{B6D538B6-D1DC-47BD-BF66-DFDD45EB383B}" srcOrd="0" destOrd="0" presId="urn:microsoft.com/office/officeart/2005/8/layout/hierarchy2"/>
    <dgm:cxn modelId="{B85DD03A-AE4B-45B1-A86D-78DE2EB8D1C7}" type="presOf" srcId="{01EF441E-355A-442C-AC4B-9F9441C9FA67}" destId="{2C683A53-E7F7-4B83-AF44-B0759AABB3BA}" srcOrd="1" destOrd="0" presId="urn:microsoft.com/office/officeart/2005/8/layout/hierarchy2"/>
    <dgm:cxn modelId="{5AA77AD4-247D-4912-A8D4-3046FF67596C}" srcId="{F371D857-EEC8-4F5B-870B-2D05BE41508D}" destId="{82B9EA7B-1032-4524-A531-D5E48E25ADEB}" srcOrd="1" destOrd="0" parTransId="{5002AD07-95CF-48CB-8E7C-1E6E2D6C9CAD}" sibTransId="{2AD0A3B6-31E9-4D3A-B524-AB572AE11A05}"/>
    <dgm:cxn modelId="{E7CAD634-7C76-4E3C-9067-9EB0FE039976}" type="presOf" srcId="{A77A02C1-5528-4770-B33F-997F0D5E5298}" destId="{2724BAA2-0CC1-4347-8727-4D0239F458C4}" srcOrd="1" destOrd="0" presId="urn:microsoft.com/office/officeart/2005/8/layout/hierarchy2"/>
    <dgm:cxn modelId="{B8094CC2-A141-4F9E-AE83-B34685979F78}" type="presOf" srcId="{C5792DE4-FE90-46D7-A11E-2862E8C7A673}" destId="{8F93582E-E9AB-4298-8937-6811C834B0A5}" srcOrd="0" destOrd="0" presId="urn:microsoft.com/office/officeart/2005/8/layout/hierarchy2"/>
    <dgm:cxn modelId="{D0E1277C-33D9-4414-B78D-07472E447844}" srcId="{A369C4CC-5037-4729-8917-1E8D8EF76A16}" destId="{B7D958AF-94A0-4508-8B05-D3A262C8C2DB}" srcOrd="1" destOrd="0" parTransId="{3353CB08-3220-468D-B0C5-78802E11F7AA}" sibTransId="{1CC36EAB-AAB7-4A44-AD85-E0A84790616A}"/>
    <dgm:cxn modelId="{9AC8A866-F1E9-47D3-BD7A-8ADB9E110B44}" srcId="{82B9EA7B-1032-4524-A531-D5E48E25ADEB}" destId="{C5792DE4-FE90-46D7-A11E-2862E8C7A673}" srcOrd="1" destOrd="0" parTransId="{01EF441E-355A-442C-AC4B-9F9441C9FA67}" sibTransId="{19CB8FB5-6247-45B7-ADDE-17D5F7FE9A7C}"/>
    <dgm:cxn modelId="{BF93BC14-CC0B-437E-9826-37AEA838C08D}" srcId="{4A12D90F-117E-4A05-B0FC-1474ED2AAF1F}" destId="{39031A33-CEE8-4112-93D4-58ADECD66156}" srcOrd="0" destOrd="0" parTransId="{A77A02C1-5528-4770-B33F-997F0D5E5298}" sibTransId="{59A12370-3633-4E73-A93D-D40B5C441422}"/>
    <dgm:cxn modelId="{303D8BD6-06D2-40B2-BF09-76B081EE0F6D}" srcId="{4A12D90F-117E-4A05-B0FC-1474ED2AAF1F}" destId="{D5A809D0-CCC9-469B-B430-415F15E5B9EF}" srcOrd="1" destOrd="0" parTransId="{DDC4F2BF-838F-436D-9AE1-841D9C289EB5}" sibTransId="{53C9DD93-62C9-4D98-9D21-D44C1DC8D271}"/>
    <dgm:cxn modelId="{04087083-69A5-4533-9F89-3D924A9DCA12}" type="presOf" srcId="{B79DBC18-1D8D-4AB9-905C-3CD3B82520AC}" destId="{328B908E-BEBB-4EE1-A6B6-2DB45A412E6C}" srcOrd="0" destOrd="0" presId="urn:microsoft.com/office/officeart/2005/8/layout/hierarchy2"/>
    <dgm:cxn modelId="{6192EC88-EBBF-4799-9057-33B890962E8B}" type="presOf" srcId="{01EF441E-355A-442C-AC4B-9F9441C9FA67}" destId="{851752C2-0D97-418F-8EF8-416C9D939721}" srcOrd="0" destOrd="0" presId="urn:microsoft.com/office/officeart/2005/8/layout/hierarchy2"/>
    <dgm:cxn modelId="{5C0F032F-5C62-4C54-B200-6278088B2B20}" srcId="{A369C4CC-5037-4729-8917-1E8D8EF76A16}" destId="{6EEE3B6C-18DD-459A-9B46-A3FB724AB3D7}" srcOrd="0" destOrd="0" parTransId="{B79DBC18-1D8D-4AB9-905C-3CD3B82520AC}" sibTransId="{A146C5E4-2EFA-46F9-96AF-BC8C99F64804}"/>
    <dgm:cxn modelId="{DFE0A403-C72C-4F2E-ABD9-EA8F150716D1}" type="presOf" srcId="{6EEE3B6C-18DD-459A-9B46-A3FB724AB3D7}" destId="{E8BFF934-B56F-405B-89CF-BAA9BF6D1290}" srcOrd="0" destOrd="0" presId="urn:microsoft.com/office/officeart/2005/8/layout/hierarchy2"/>
    <dgm:cxn modelId="{CE6ADEB6-32FD-453A-A21A-0A511BFF8DE7}" srcId="{F371D857-EEC8-4F5B-870B-2D05BE41508D}" destId="{A369C4CC-5037-4729-8917-1E8D8EF76A16}" srcOrd="2" destOrd="0" parTransId="{6CFE281D-5769-4582-915E-0DDE0628A9E0}" sibTransId="{36E578B1-3C95-46D2-9ACD-5F25FA91C242}"/>
    <dgm:cxn modelId="{D58186CF-DB5C-4334-9838-32427011B902}" type="presOf" srcId="{3353CB08-3220-468D-B0C5-78802E11F7AA}" destId="{13991D80-23BB-4E6D-B764-C12EEF985A55}" srcOrd="1" destOrd="0" presId="urn:microsoft.com/office/officeart/2005/8/layout/hierarchy2"/>
    <dgm:cxn modelId="{DA1C0E4B-330E-432C-AF01-2C53D1064971}" type="presOf" srcId="{A77A02C1-5528-4770-B33F-997F0D5E5298}" destId="{7E04FCC9-2D7F-4703-9E09-1FC91C740656}" srcOrd="0" destOrd="0" presId="urn:microsoft.com/office/officeart/2005/8/layout/hierarchy2"/>
    <dgm:cxn modelId="{91464143-7322-479E-BB53-0DDF81105DF4}" type="presOf" srcId="{DDC4F2BF-838F-436D-9AE1-841D9C289EB5}" destId="{F2A0E653-077D-4DD6-B901-DA92B9E3B78C}" srcOrd="0" destOrd="0" presId="urn:microsoft.com/office/officeart/2005/8/layout/hierarchy2"/>
    <dgm:cxn modelId="{417977D1-D5F7-4C29-A39B-7CB240ECBFDD}" type="presOf" srcId="{B7D958AF-94A0-4508-8B05-D3A262C8C2DB}" destId="{98C98612-54E8-45A5-A0FE-487782374EE9}" srcOrd="0" destOrd="0" presId="urn:microsoft.com/office/officeart/2005/8/layout/hierarchy2"/>
    <dgm:cxn modelId="{294A37CB-849D-4C3B-872A-4DAEB032DF20}" type="presOf" srcId="{4A12D90F-117E-4A05-B0FC-1474ED2AAF1F}" destId="{F17187FB-4C63-4E87-A651-06427C3BCC4B}" srcOrd="0" destOrd="0" presId="urn:microsoft.com/office/officeart/2005/8/layout/hierarchy2"/>
    <dgm:cxn modelId="{BB542C1F-64F9-466E-ACF1-E65C6160D035}" type="presOf" srcId="{5C1BC9B5-AA51-46C4-89E2-496744128E56}" destId="{5A5DD5B5-870A-49DA-AAEF-66C8D3D472DC}" srcOrd="0" destOrd="0" presId="urn:microsoft.com/office/officeart/2005/8/layout/hierarchy2"/>
    <dgm:cxn modelId="{09B5864D-DF3F-4E86-BF2D-C18F085D0E27}" type="presOf" srcId="{F371D857-EEC8-4F5B-870B-2D05BE41508D}" destId="{F355771B-CB80-4488-A5DA-187E98DEE3EB}" srcOrd="0" destOrd="0" presId="urn:microsoft.com/office/officeart/2005/8/layout/hierarchy2"/>
    <dgm:cxn modelId="{CECA3439-0FE0-4581-ACD3-94555020DC80}" type="presOf" srcId="{F610A43E-A98F-4B75-80DE-702FFB6EEB78}" destId="{5E1ABBB2-EAFF-41CF-BAC9-4EF1B8172639}" srcOrd="1" destOrd="0" presId="urn:microsoft.com/office/officeart/2005/8/layout/hierarchy2"/>
    <dgm:cxn modelId="{FA95BECC-FDBC-4EC1-B045-30CA98D5FBD3}" type="presOf" srcId="{D5A809D0-CCC9-469B-B430-415F15E5B9EF}" destId="{5E6B5DB6-9E4B-4793-B054-A6B41ECCAED2}" srcOrd="0" destOrd="0" presId="urn:microsoft.com/office/officeart/2005/8/layout/hierarchy2"/>
    <dgm:cxn modelId="{02535FF4-422E-49DF-B7E9-17599A92D39D}" type="presOf" srcId="{82B9EA7B-1032-4524-A531-D5E48E25ADEB}" destId="{8725CA98-4403-4784-A069-E991535BE5D3}" srcOrd="0" destOrd="0" presId="urn:microsoft.com/office/officeart/2005/8/layout/hierarchy2"/>
    <dgm:cxn modelId="{F837742F-A52E-4C63-9D69-6BAD7D54D7BC}" type="presOf" srcId="{39031A33-CEE8-4112-93D4-58ADECD66156}" destId="{CF954819-0777-44E2-8D72-7436331C025C}" srcOrd="0" destOrd="0" presId="urn:microsoft.com/office/officeart/2005/8/layout/hierarchy2"/>
    <dgm:cxn modelId="{7993FF67-8113-4E9C-8A74-56C14D202686}" type="presOf" srcId="{F610A43E-A98F-4B75-80DE-702FFB6EEB78}" destId="{82563104-C1A3-4589-8209-C6E9C3685F5F}" srcOrd="0" destOrd="0" presId="urn:microsoft.com/office/officeart/2005/8/layout/hierarchy2"/>
    <dgm:cxn modelId="{733AAC97-A9DE-42E7-A47B-370843CDEF94}" srcId="{F371D857-EEC8-4F5B-870B-2D05BE41508D}" destId="{4A12D90F-117E-4A05-B0FC-1474ED2AAF1F}" srcOrd="0" destOrd="0" parTransId="{DA88303F-4044-49DE-BA93-DC1764CA0FEC}" sibTransId="{EA2C9192-A882-4BE3-A71C-5A6CFA954490}"/>
    <dgm:cxn modelId="{712B3BB6-5DDF-4C06-8407-4F1495615ADC}" type="presOf" srcId="{DDC4F2BF-838F-436D-9AE1-841D9C289EB5}" destId="{6504A14B-0728-4488-B883-7D73EB35D0DB}" srcOrd="1" destOrd="0" presId="urn:microsoft.com/office/officeart/2005/8/layout/hierarchy2"/>
    <dgm:cxn modelId="{ADC41C14-CF68-4309-A221-93A043D6A863}" type="presOf" srcId="{3353CB08-3220-468D-B0C5-78802E11F7AA}" destId="{41999382-657F-4207-AF07-57FF5340CC66}" srcOrd="0" destOrd="0" presId="urn:microsoft.com/office/officeart/2005/8/layout/hierarchy2"/>
    <dgm:cxn modelId="{EFA82108-D39F-4141-A51C-5505E3E5AAC7}" type="presParOf" srcId="{F355771B-CB80-4488-A5DA-187E98DEE3EB}" destId="{B0E8FCC9-BA1B-4812-8B66-17F7DE703E87}" srcOrd="0" destOrd="0" presId="urn:microsoft.com/office/officeart/2005/8/layout/hierarchy2"/>
    <dgm:cxn modelId="{463CDB57-9E0F-4BE5-8E72-8B71FD238E85}" type="presParOf" srcId="{B0E8FCC9-BA1B-4812-8B66-17F7DE703E87}" destId="{F17187FB-4C63-4E87-A651-06427C3BCC4B}" srcOrd="0" destOrd="0" presId="urn:microsoft.com/office/officeart/2005/8/layout/hierarchy2"/>
    <dgm:cxn modelId="{9881E73D-1661-41F0-A3C0-1DCFE44CE485}" type="presParOf" srcId="{B0E8FCC9-BA1B-4812-8B66-17F7DE703E87}" destId="{92188B3C-E48E-4948-8828-E7C5B2AE52D5}" srcOrd="1" destOrd="0" presId="urn:microsoft.com/office/officeart/2005/8/layout/hierarchy2"/>
    <dgm:cxn modelId="{CB6C3DCC-BAD0-4A1E-9B21-58375FACD570}" type="presParOf" srcId="{92188B3C-E48E-4948-8828-E7C5B2AE52D5}" destId="{7E04FCC9-2D7F-4703-9E09-1FC91C740656}" srcOrd="0" destOrd="0" presId="urn:microsoft.com/office/officeart/2005/8/layout/hierarchy2"/>
    <dgm:cxn modelId="{96C37A18-39E1-44A1-B5DB-0FA0D7B547FB}" type="presParOf" srcId="{7E04FCC9-2D7F-4703-9E09-1FC91C740656}" destId="{2724BAA2-0CC1-4347-8727-4D0239F458C4}" srcOrd="0" destOrd="0" presId="urn:microsoft.com/office/officeart/2005/8/layout/hierarchy2"/>
    <dgm:cxn modelId="{3C51E969-590D-443C-897E-A075CF8B9989}" type="presParOf" srcId="{92188B3C-E48E-4948-8828-E7C5B2AE52D5}" destId="{34066E4A-843B-4204-BA46-9B180778BC4F}" srcOrd="1" destOrd="0" presId="urn:microsoft.com/office/officeart/2005/8/layout/hierarchy2"/>
    <dgm:cxn modelId="{35B45608-B9FB-42D4-B799-508ADA22BFEF}" type="presParOf" srcId="{34066E4A-843B-4204-BA46-9B180778BC4F}" destId="{CF954819-0777-44E2-8D72-7436331C025C}" srcOrd="0" destOrd="0" presId="urn:microsoft.com/office/officeart/2005/8/layout/hierarchy2"/>
    <dgm:cxn modelId="{A6284F3B-45B2-4D66-92F5-B73FD8583B5C}" type="presParOf" srcId="{34066E4A-843B-4204-BA46-9B180778BC4F}" destId="{31012BBA-559F-478A-A175-AD2EB5DFC193}" srcOrd="1" destOrd="0" presId="urn:microsoft.com/office/officeart/2005/8/layout/hierarchy2"/>
    <dgm:cxn modelId="{CDE4BD81-2CCE-458C-91C1-90197230B31C}" type="presParOf" srcId="{92188B3C-E48E-4948-8828-E7C5B2AE52D5}" destId="{F2A0E653-077D-4DD6-B901-DA92B9E3B78C}" srcOrd="2" destOrd="0" presId="urn:microsoft.com/office/officeart/2005/8/layout/hierarchy2"/>
    <dgm:cxn modelId="{952258A6-1616-46A9-B0DE-431CBE864D57}" type="presParOf" srcId="{F2A0E653-077D-4DD6-B901-DA92B9E3B78C}" destId="{6504A14B-0728-4488-B883-7D73EB35D0DB}" srcOrd="0" destOrd="0" presId="urn:microsoft.com/office/officeart/2005/8/layout/hierarchy2"/>
    <dgm:cxn modelId="{773CAE42-3A1D-49A8-A9B4-2A3720E27816}" type="presParOf" srcId="{92188B3C-E48E-4948-8828-E7C5B2AE52D5}" destId="{0AE3173A-1499-4ADF-AE88-43996C9B236F}" srcOrd="3" destOrd="0" presId="urn:microsoft.com/office/officeart/2005/8/layout/hierarchy2"/>
    <dgm:cxn modelId="{72CDD930-C62B-4E11-B52C-3CA224F1F404}" type="presParOf" srcId="{0AE3173A-1499-4ADF-AE88-43996C9B236F}" destId="{5E6B5DB6-9E4B-4793-B054-A6B41ECCAED2}" srcOrd="0" destOrd="0" presId="urn:microsoft.com/office/officeart/2005/8/layout/hierarchy2"/>
    <dgm:cxn modelId="{A20FD857-4329-4ABE-B4A2-3573C895C82F}" type="presParOf" srcId="{0AE3173A-1499-4ADF-AE88-43996C9B236F}" destId="{85BF638E-783F-482F-9695-0DE4272FEC98}" srcOrd="1" destOrd="0" presId="urn:microsoft.com/office/officeart/2005/8/layout/hierarchy2"/>
    <dgm:cxn modelId="{87AF9E79-556F-44E4-8CA3-FF8C808F21A3}" type="presParOf" srcId="{F355771B-CB80-4488-A5DA-187E98DEE3EB}" destId="{003A643C-9E89-45FB-8910-8701CAD80A67}" srcOrd="1" destOrd="0" presId="urn:microsoft.com/office/officeart/2005/8/layout/hierarchy2"/>
    <dgm:cxn modelId="{DD25F8C7-E5BE-41B9-83D2-D2E912A076EE}" type="presParOf" srcId="{003A643C-9E89-45FB-8910-8701CAD80A67}" destId="{8725CA98-4403-4784-A069-E991535BE5D3}" srcOrd="0" destOrd="0" presId="urn:microsoft.com/office/officeart/2005/8/layout/hierarchy2"/>
    <dgm:cxn modelId="{5E689F6C-384D-4D32-88FD-DCF85E2E50E2}" type="presParOf" srcId="{003A643C-9E89-45FB-8910-8701CAD80A67}" destId="{7FC3731A-A7AF-4AD6-8515-77A5BBEACBC1}" srcOrd="1" destOrd="0" presId="urn:microsoft.com/office/officeart/2005/8/layout/hierarchy2"/>
    <dgm:cxn modelId="{967DED35-0817-4884-98C2-F985835865E6}" type="presParOf" srcId="{7FC3731A-A7AF-4AD6-8515-77A5BBEACBC1}" destId="{82563104-C1A3-4589-8209-C6E9C3685F5F}" srcOrd="0" destOrd="0" presId="urn:microsoft.com/office/officeart/2005/8/layout/hierarchy2"/>
    <dgm:cxn modelId="{2883EEF4-764C-42B3-A3C7-15E93B452354}" type="presParOf" srcId="{82563104-C1A3-4589-8209-C6E9C3685F5F}" destId="{5E1ABBB2-EAFF-41CF-BAC9-4EF1B8172639}" srcOrd="0" destOrd="0" presId="urn:microsoft.com/office/officeart/2005/8/layout/hierarchy2"/>
    <dgm:cxn modelId="{D0B203C7-5EA4-4DB1-9CEE-6AFCB75C030B}" type="presParOf" srcId="{7FC3731A-A7AF-4AD6-8515-77A5BBEACBC1}" destId="{497EC320-BC6E-4A07-BDBD-92F49C4FCCE0}" srcOrd="1" destOrd="0" presId="urn:microsoft.com/office/officeart/2005/8/layout/hierarchy2"/>
    <dgm:cxn modelId="{CEE77CBB-2AB4-4920-B0B9-03BDF812EC4F}" type="presParOf" srcId="{497EC320-BC6E-4A07-BDBD-92F49C4FCCE0}" destId="{5A5DD5B5-870A-49DA-AAEF-66C8D3D472DC}" srcOrd="0" destOrd="0" presId="urn:microsoft.com/office/officeart/2005/8/layout/hierarchy2"/>
    <dgm:cxn modelId="{2C8E4BC4-DB04-4440-A7DA-6F73392049E5}" type="presParOf" srcId="{497EC320-BC6E-4A07-BDBD-92F49C4FCCE0}" destId="{B6131C1E-84BA-433F-A160-68C519A1B757}" srcOrd="1" destOrd="0" presId="urn:microsoft.com/office/officeart/2005/8/layout/hierarchy2"/>
    <dgm:cxn modelId="{9A4A050F-BF25-4381-858F-B26F383BDA37}" type="presParOf" srcId="{7FC3731A-A7AF-4AD6-8515-77A5BBEACBC1}" destId="{851752C2-0D97-418F-8EF8-416C9D939721}" srcOrd="2" destOrd="0" presId="urn:microsoft.com/office/officeart/2005/8/layout/hierarchy2"/>
    <dgm:cxn modelId="{71A288B3-7E73-4A41-B0FD-F38C5590CF7A}" type="presParOf" srcId="{851752C2-0D97-418F-8EF8-416C9D939721}" destId="{2C683A53-E7F7-4B83-AF44-B0759AABB3BA}" srcOrd="0" destOrd="0" presId="urn:microsoft.com/office/officeart/2005/8/layout/hierarchy2"/>
    <dgm:cxn modelId="{17964B2C-5524-468D-A85C-4E293B0708B2}" type="presParOf" srcId="{7FC3731A-A7AF-4AD6-8515-77A5BBEACBC1}" destId="{B44D140D-3566-4223-8AD4-1CE761CFAF56}" srcOrd="3" destOrd="0" presId="urn:microsoft.com/office/officeart/2005/8/layout/hierarchy2"/>
    <dgm:cxn modelId="{E6B72B13-B702-495C-ABBF-3A0F903784DF}" type="presParOf" srcId="{B44D140D-3566-4223-8AD4-1CE761CFAF56}" destId="{8F93582E-E9AB-4298-8937-6811C834B0A5}" srcOrd="0" destOrd="0" presId="urn:microsoft.com/office/officeart/2005/8/layout/hierarchy2"/>
    <dgm:cxn modelId="{4734F5CC-D9D8-4CAA-A675-71EB65FF23D0}" type="presParOf" srcId="{B44D140D-3566-4223-8AD4-1CE761CFAF56}" destId="{7B63D0AD-B04C-4122-AEAA-6B35EA63EA06}" srcOrd="1" destOrd="0" presId="urn:microsoft.com/office/officeart/2005/8/layout/hierarchy2"/>
    <dgm:cxn modelId="{A3AB454C-5C14-4415-B71F-6E546ED3408D}" type="presParOf" srcId="{F355771B-CB80-4488-A5DA-187E98DEE3EB}" destId="{F1414BAE-1F93-4411-A472-6C014F93C147}" srcOrd="2" destOrd="0" presId="urn:microsoft.com/office/officeart/2005/8/layout/hierarchy2"/>
    <dgm:cxn modelId="{DBBA3221-CF5E-45E7-830A-071347978969}" type="presParOf" srcId="{F1414BAE-1F93-4411-A472-6C014F93C147}" destId="{B6D538B6-D1DC-47BD-BF66-DFDD45EB383B}" srcOrd="0" destOrd="0" presId="urn:microsoft.com/office/officeart/2005/8/layout/hierarchy2"/>
    <dgm:cxn modelId="{A2317EDE-5A6D-4412-956C-40B26ACBB3F5}" type="presParOf" srcId="{F1414BAE-1F93-4411-A472-6C014F93C147}" destId="{D3590070-F9B5-41F9-A10D-638D11266BEB}" srcOrd="1" destOrd="0" presId="urn:microsoft.com/office/officeart/2005/8/layout/hierarchy2"/>
    <dgm:cxn modelId="{F9E793DE-DFFE-4F2D-B677-899836B987A4}" type="presParOf" srcId="{D3590070-F9B5-41F9-A10D-638D11266BEB}" destId="{328B908E-BEBB-4EE1-A6B6-2DB45A412E6C}" srcOrd="0" destOrd="0" presId="urn:microsoft.com/office/officeart/2005/8/layout/hierarchy2"/>
    <dgm:cxn modelId="{F5D9D4D3-3C15-4126-B91D-4A27EFDEB783}" type="presParOf" srcId="{328B908E-BEBB-4EE1-A6B6-2DB45A412E6C}" destId="{0A115240-0D6C-4096-B551-EF62729DCC19}" srcOrd="0" destOrd="0" presId="urn:microsoft.com/office/officeart/2005/8/layout/hierarchy2"/>
    <dgm:cxn modelId="{119B4EE1-FBAE-48F7-8DC7-F2DFB686334C}" type="presParOf" srcId="{D3590070-F9B5-41F9-A10D-638D11266BEB}" destId="{5C8C8272-7A95-4987-AEFF-F8ED5719AFA6}" srcOrd="1" destOrd="0" presId="urn:microsoft.com/office/officeart/2005/8/layout/hierarchy2"/>
    <dgm:cxn modelId="{C6FF40AE-2EF2-403C-95CB-DEE0A24C016C}" type="presParOf" srcId="{5C8C8272-7A95-4987-AEFF-F8ED5719AFA6}" destId="{E8BFF934-B56F-405B-89CF-BAA9BF6D1290}" srcOrd="0" destOrd="0" presId="urn:microsoft.com/office/officeart/2005/8/layout/hierarchy2"/>
    <dgm:cxn modelId="{CDB9F587-81D2-4BE4-BE6E-E7E8EE7F0011}" type="presParOf" srcId="{5C8C8272-7A95-4987-AEFF-F8ED5719AFA6}" destId="{F005032B-9AC2-4333-97AF-4ABFD758F8E5}" srcOrd="1" destOrd="0" presId="urn:microsoft.com/office/officeart/2005/8/layout/hierarchy2"/>
    <dgm:cxn modelId="{73C8BA94-3132-4E13-844F-FDA0E9949DD2}" type="presParOf" srcId="{D3590070-F9B5-41F9-A10D-638D11266BEB}" destId="{41999382-657F-4207-AF07-57FF5340CC66}" srcOrd="2" destOrd="0" presId="urn:microsoft.com/office/officeart/2005/8/layout/hierarchy2"/>
    <dgm:cxn modelId="{A867FEE3-726A-45D3-887D-15F0C44D349B}" type="presParOf" srcId="{41999382-657F-4207-AF07-57FF5340CC66}" destId="{13991D80-23BB-4E6D-B764-C12EEF985A55}" srcOrd="0" destOrd="0" presId="urn:microsoft.com/office/officeart/2005/8/layout/hierarchy2"/>
    <dgm:cxn modelId="{40C72BDC-0A10-47FA-91CB-9E7DF3CDDD3A}" type="presParOf" srcId="{D3590070-F9B5-41F9-A10D-638D11266BEB}" destId="{E583F67B-CA3D-4A58-8B42-81E901422D97}" srcOrd="3" destOrd="0" presId="urn:microsoft.com/office/officeart/2005/8/layout/hierarchy2"/>
    <dgm:cxn modelId="{3A659E7F-5AE0-4604-A4C8-310468B7CD1D}" type="presParOf" srcId="{E583F67B-CA3D-4A58-8B42-81E901422D97}" destId="{98C98612-54E8-45A5-A0FE-487782374EE9}" srcOrd="0" destOrd="0" presId="urn:microsoft.com/office/officeart/2005/8/layout/hierarchy2"/>
    <dgm:cxn modelId="{FFA62F8D-7891-4782-ACA0-E1BED68252EB}" type="presParOf" srcId="{E583F67B-CA3D-4A58-8B42-81E901422D97}" destId="{5FDAD5C2-8A34-4C03-BB26-5158C4491C2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17187FB-4C63-4E87-A651-06427C3BCC4B}">
      <dsp:nvSpPr>
        <dsp:cNvPr id="0" name=""/>
        <dsp:cNvSpPr/>
      </dsp:nvSpPr>
      <dsp:spPr>
        <a:xfrm>
          <a:off x="901595" y="240532"/>
          <a:ext cx="2770444" cy="404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Доходи загального фонду</a:t>
          </a:r>
        </a:p>
      </dsp:txBody>
      <dsp:txXfrm>
        <a:off x="901595" y="240532"/>
        <a:ext cx="2770444" cy="404301"/>
      </dsp:txXfrm>
    </dsp:sp>
    <dsp:sp modelId="{7E04FCC9-2D7F-4703-9E09-1FC91C740656}">
      <dsp:nvSpPr>
        <dsp:cNvPr id="0" name=""/>
        <dsp:cNvSpPr/>
      </dsp:nvSpPr>
      <dsp:spPr>
        <a:xfrm rot="19457599">
          <a:off x="3634085" y="309522"/>
          <a:ext cx="403806" cy="30643"/>
        </a:xfrm>
        <a:custGeom>
          <a:avLst/>
          <a:gdLst/>
          <a:ahLst/>
          <a:cxnLst/>
          <a:rect l="0" t="0" r="0" b="0"/>
          <a:pathLst>
            <a:path>
              <a:moveTo>
                <a:pt x="0" y="15321"/>
              </a:moveTo>
              <a:lnTo>
                <a:pt x="403806" y="15321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19457599">
        <a:off x="3825893" y="314749"/>
        <a:ext cx="20190" cy="20190"/>
      </dsp:txXfrm>
    </dsp:sp>
    <dsp:sp modelId="{CF954819-0777-44E2-8D72-7436331C025C}">
      <dsp:nvSpPr>
        <dsp:cNvPr id="0" name=""/>
        <dsp:cNvSpPr/>
      </dsp:nvSpPr>
      <dsp:spPr>
        <a:xfrm>
          <a:off x="3999936" y="2071"/>
          <a:ext cx="1245902" cy="4098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63,9%</a:t>
          </a:r>
        </a:p>
      </dsp:txBody>
      <dsp:txXfrm>
        <a:off x="3999936" y="2071"/>
        <a:ext cx="1245902" cy="409871"/>
      </dsp:txXfrm>
    </dsp:sp>
    <dsp:sp modelId="{F2A0E653-077D-4DD6-B901-DA92B9E3B78C}">
      <dsp:nvSpPr>
        <dsp:cNvPr id="0" name=""/>
        <dsp:cNvSpPr/>
      </dsp:nvSpPr>
      <dsp:spPr>
        <a:xfrm rot="2142401">
          <a:off x="3634085" y="545199"/>
          <a:ext cx="403806" cy="30643"/>
        </a:xfrm>
        <a:custGeom>
          <a:avLst/>
          <a:gdLst/>
          <a:ahLst/>
          <a:cxnLst/>
          <a:rect l="0" t="0" r="0" b="0"/>
          <a:pathLst>
            <a:path>
              <a:moveTo>
                <a:pt x="0" y="15321"/>
              </a:moveTo>
              <a:lnTo>
                <a:pt x="403806" y="15321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2142401">
        <a:off x="3825893" y="550425"/>
        <a:ext cx="20190" cy="20190"/>
      </dsp:txXfrm>
    </dsp:sp>
    <dsp:sp modelId="{5E6B5DB6-9E4B-4793-B054-A6B41ECCAED2}">
      <dsp:nvSpPr>
        <dsp:cNvPr id="0" name=""/>
        <dsp:cNvSpPr/>
      </dsp:nvSpPr>
      <dsp:spPr>
        <a:xfrm>
          <a:off x="3999936" y="473423"/>
          <a:ext cx="1221031" cy="4098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2 790,4 млн.грн.</a:t>
          </a:r>
        </a:p>
      </dsp:txBody>
      <dsp:txXfrm>
        <a:off x="3999936" y="473423"/>
        <a:ext cx="1221031" cy="409871"/>
      </dsp:txXfrm>
    </dsp:sp>
    <dsp:sp modelId="{8725CA98-4403-4784-A069-E991535BE5D3}">
      <dsp:nvSpPr>
        <dsp:cNvPr id="0" name=""/>
        <dsp:cNvSpPr/>
      </dsp:nvSpPr>
      <dsp:spPr>
        <a:xfrm>
          <a:off x="1080069" y="795752"/>
          <a:ext cx="2386353" cy="3751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Офіційні трансферти</a:t>
          </a:r>
        </a:p>
      </dsp:txBody>
      <dsp:txXfrm>
        <a:off x="1080069" y="795752"/>
        <a:ext cx="2386353" cy="375192"/>
      </dsp:txXfrm>
    </dsp:sp>
    <dsp:sp modelId="{82563104-C1A3-4589-8209-C6E9C3685F5F}">
      <dsp:nvSpPr>
        <dsp:cNvPr id="0" name=""/>
        <dsp:cNvSpPr/>
      </dsp:nvSpPr>
      <dsp:spPr>
        <a:xfrm rot="1441352">
          <a:off x="3448725" y="1051208"/>
          <a:ext cx="408657" cy="30643"/>
        </a:xfrm>
        <a:custGeom>
          <a:avLst/>
          <a:gdLst/>
          <a:ahLst/>
          <a:cxnLst/>
          <a:rect l="0" t="0" r="0" b="0"/>
          <a:pathLst>
            <a:path>
              <a:moveTo>
                <a:pt x="0" y="15321"/>
              </a:moveTo>
              <a:lnTo>
                <a:pt x="408657" y="15321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1441352">
        <a:off x="3642838" y="1056313"/>
        <a:ext cx="20432" cy="20432"/>
      </dsp:txXfrm>
    </dsp:sp>
    <dsp:sp modelId="{5A5DD5B5-870A-49DA-AAEF-66C8D3D472DC}">
      <dsp:nvSpPr>
        <dsp:cNvPr id="0" name=""/>
        <dsp:cNvSpPr/>
      </dsp:nvSpPr>
      <dsp:spPr>
        <a:xfrm>
          <a:off x="3839685" y="944775"/>
          <a:ext cx="1047434" cy="4098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33,0%</a:t>
          </a:r>
        </a:p>
      </dsp:txBody>
      <dsp:txXfrm>
        <a:off x="3839685" y="944775"/>
        <a:ext cx="1047434" cy="409871"/>
      </dsp:txXfrm>
    </dsp:sp>
    <dsp:sp modelId="{851752C2-0D97-418F-8EF8-416C9D939721}">
      <dsp:nvSpPr>
        <dsp:cNvPr id="0" name=""/>
        <dsp:cNvSpPr/>
      </dsp:nvSpPr>
      <dsp:spPr>
        <a:xfrm rot="3562253">
          <a:off x="3278750" y="1297247"/>
          <a:ext cx="765200" cy="30643"/>
        </a:xfrm>
        <a:custGeom>
          <a:avLst/>
          <a:gdLst/>
          <a:ahLst/>
          <a:cxnLst/>
          <a:rect l="0" t="0" r="0" b="0"/>
          <a:pathLst>
            <a:path>
              <a:moveTo>
                <a:pt x="0" y="15321"/>
              </a:moveTo>
              <a:lnTo>
                <a:pt x="765200" y="15321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3562253">
        <a:off x="3642220" y="1293439"/>
        <a:ext cx="38260" cy="38260"/>
      </dsp:txXfrm>
    </dsp:sp>
    <dsp:sp modelId="{8F93582E-E9AB-4298-8937-6811C834B0A5}">
      <dsp:nvSpPr>
        <dsp:cNvPr id="0" name=""/>
        <dsp:cNvSpPr/>
      </dsp:nvSpPr>
      <dsp:spPr>
        <a:xfrm>
          <a:off x="3856276" y="1436855"/>
          <a:ext cx="989388" cy="4098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1 44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1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,6 млн.грн.</a:t>
          </a:r>
        </a:p>
      </dsp:txBody>
      <dsp:txXfrm>
        <a:off x="3856276" y="1436855"/>
        <a:ext cx="989388" cy="409871"/>
      </dsp:txXfrm>
    </dsp:sp>
    <dsp:sp modelId="{B6D538B6-D1DC-47BD-BF66-DFDD45EB383B}">
      <dsp:nvSpPr>
        <dsp:cNvPr id="0" name=""/>
        <dsp:cNvSpPr/>
      </dsp:nvSpPr>
      <dsp:spPr>
        <a:xfrm>
          <a:off x="1295391" y="1355456"/>
          <a:ext cx="1203235" cy="567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Доходи спеціального фонду</a:t>
          </a:r>
        </a:p>
      </dsp:txBody>
      <dsp:txXfrm>
        <a:off x="1295391" y="1355456"/>
        <a:ext cx="1203235" cy="567930"/>
      </dsp:txXfrm>
    </dsp:sp>
    <dsp:sp modelId="{328B908E-BEBB-4EE1-A6B6-2DB45A412E6C}">
      <dsp:nvSpPr>
        <dsp:cNvPr id="0" name=""/>
        <dsp:cNvSpPr/>
      </dsp:nvSpPr>
      <dsp:spPr>
        <a:xfrm rot="19811810">
          <a:off x="2472207" y="1524819"/>
          <a:ext cx="399499" cy="30643"/>
        </a:xfrm>
        <a:custGeom>
          <a:avLst/>
          <a:gdLst/>
          <a:ahLst/>
          <a:cxnLst/>
          <a:rect l="0" t="0" r="0" b="0"/>
          <a:pathLst>
            <a:path>
              <a:moveTo>
                <a:pt x="0" y="15321"/>
              </a:moveTo>
              <a:lnTo>
                <a:pt x="399499" y="15321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19811810">
        <a:off x="2661969" y="1530154"/>
        <a:ext cx="19974" cy="19974"/>
      </dsp:txXfrm>
    </dsp:sp>
    <dsp:sp modelId="{E8BFF934-B56F-405B-89CF-BAA9BF6D1290}">
      <dsp:nvSpPr>
        <dsp:cNvPr id="0" name=""/>
        <dsp:cNvSpPr/>
      </dsp:nvSpPr>
      <dsp:spPr>
        <a:xfrm>
          <a:off x="2845287" y="1304509"/>
          <a:ext cx="740736" cy="2727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3,1%</a:t>
          </a:r>
        </a:p>
      </dsp:txBody>
      <dsp:txXfrm>
        <a:off x="2845287" y="1304509"/>
        <a:ext cx="740736" cy="272703"/>
      </dsp:txXfrm>
    </dsp:sp>
    <dsp:sp modelId="{41999382-657F-4207-AF07-57FF5340CC66}">
      <dsp:nvSpPr>
        <dsp:cNvPr id="0" name=""/>
        <dsp:cNvSpPr/>
      </dsp:nvSpPr>
      <dsp:spPr>
        <a:xfrm rot="1993397">
          <a:off x="2462715" y="1744472"/>
          <a:ext cx="439395" cy="30643"/>
        </a:xfrm>
        <a:custGeom>
          <a:avLst/>
          <a:gdLst/>
          <a:ahLst/>
          <a:cxnLst/>
          <a:rect l="0" t="0" r="0" b="0"/>
          <a:pathLst>
            <a:path>
              <a:moveTo>
                <a:pt x="0" y="15321"/>
              </a:moveTo>
              <a:lnTo>
                <a:pt x="439395" y="15321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1993397">
        <a:off x="2671428" y="1748809"/>
        <a:ext cx="21969" cy="21969"/>
      </dsp:txXfrm>
    </dsp:sp>
    <dsp:sp modelId="{98C98612-54E8-45A5-A0FE-487782374EE9}">
      <dsp:nvSpPr>
        <dsp:cNvPr id="0" name=""/>
        <dsp:cNvSpPr/>
      </dsp:nvSpPr>
      <dsp:spPr>
        <a:xfrm>
          <a:off x="2866199" y="1661749"/>
          <a:ext cx="741473" cy="436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135,7 млн.грн.</a:t>
          </a:r>
        </a:p>
      </dsp:txBody>
      <dsp:txXfrm>
        <a:off x="2866199" y="1661749"/>
        <a:ext cx="741473" cy="436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0.11405</cdr:x>
      <cdr:y>0.01008</cdr:y>
    </cdr:from>
    <cdr:to>
      <cdr:x>0.92072</cdr:x>
      <cdr:y>0.1557</cdr:y>
    </cdr:to>
    <cdr:sp macro="" textlink="">
      <cdr:nvSpPr>
        <cdr:cNvPr id="2" name="TextBox 1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630552" y="33710"/>
          <a:ext cx="4459864" cy="4869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Структура доходів  загального фонду бюджету міста Запоріжжя за  1 півріччя 2019 року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0.00963</cdr:x>
      <cdr:y>0</cdr:y>
    </cdr:from>
    <cdr:to>
      <cdr:x>0.97399</cdr:x>
      <cdr:y>0.19423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1015" y="0"/>
          <a:ext cx="5108707" cy="5494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 i="1">
              <a:latin typeface="Times New Roman" pitchFamily="18" charset="0"/>
              <a:cs typeface="Times New Roman" pitchFamily="18" charset="0"/>
            </a:rPr>
            <a:t>Структура</a:t>
          </a:r>
          <a:r>
            <a:rPr lang="ru-RU" sz="1200" b="1" i="1" baseline="0">
              <a:latin typeface="Times New Roman" pitchFamily="18" charset="0"/>
              <a:cs typeface="Times New Roman" pitchFamily="18" charset="0"/>
            </a:rPr>
            <a:t>  надходжень спеціального фонду бюджету</a:t>
          </a:r>
        </a:p>
        <a:p xmlns:a="http://schemas.openxmlformats.org/drawingml/2006/main">
          <a:pPr algn="ctr"/>
          <a:r>
            <a:rPr lang="ru-RU" sz="1200" b="1" i="1" baseline="0">
              <a:latin typeface="Times New Roman" pitchFamily="18" charset="0"/>
              <a:cs typeface="Times New Roman" pitchFamily="18" charset="0"/>
            </a:rPr>
            <a:t> міста за І півріччя 2019 року</a:t>
          </a:r>
          <a:endParaRPr lang="ru-RU" sz="1200" b="1" i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227E-D4B9-440F-84E1-5FA3B85E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2783</Words>
  <Characters>18176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Microsoft</Company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Jilia20</dc:creator>
  <cp:lastModifiedBy>Логвиненко</cp:lastModifiedBy>
  <cp:revision>11</cp:revision>
  <cp:lastPrinted>2019-08-02T07:07:00Z</cp:lastPrinted>
  <dcterms:created xsi:type="dcterms:W3CDTF">2019-08-14T06:50:00Z</dcterms:created>
  <dcterms:modified xsi:type="dcterms:W3CDTF">2019-08-30T11:18:00Z</dcterms:modified>
</cp:coreProperties>
</file>