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Довідка про</w:t>
      </w:r>
      <w:r w:rsidR="00675437" w:rsidRPr="005F3723">
        <w:rPr>
          <w:b/>
          <w:bCs/>
          <w:szCs w:val="28"/>
        </w:rPr>
        <w:t xml:space="preserve"> виконання бюджету</w:t>
      </w:r>
      <w:r>
        <w:rPr>
          <w:b/>
          <w:bCs/>
          <w:szCs w:val="28"/>
        </w:rPr>
        <w:t xml:space="preserve"> міста Запоріжжя</w:t>
      </w:r>
    </w:p>
    <w:p w:rsidR="00675437" w:rsidRPr="005F3723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5F3723">
        <w:rPr>
          <w:b/>
          <w:bCs/>
          <w:szCs w:val="28"/>
        </w:rPr>
        <w:t xml:space="preserve">за </w:t>
      </w:r>
      <w:r w:rsidR="00B12603" w:rsidRPr="005F3723">
        <w:rPr>
          <w:b/>
          <w:bCs/>
          <w:szCs w:val="28"/>
        </w:rPr>
        <w:t>9</w:t>
      </w:r>
      <w:r w:rsidR="00FD2F5C" w:rsidRPr="005F3723">
        <w:rPr>
          <w:b/>
          <w:bCs/>
          <w:szCs w:val="28"/>
        </w:rPr>
        <w:t xml:space="preserve"> місяців </w:t>
      </w:r>
      <w:r w:rsidR="00050D58" w:rsidRPr="005F3723">
        <w:rPr>
          <w:b/>
          <w:bCs/>
          <w:szCs w:val="28"/>
        </w:rPr>
        <w:t>201</w:t>
      </w:r>
      <w:r w:rsidR="00B12603" w:rsidRPr="005F3723">
        <w:rPr>
          <w:b/>
          <w:bCs/>
          <w:szCs w:val="28"/>
        </w:rPr>
        <w:t>6</w:t>
      </w:r>
      <w:r w:rsidRPr="005F3723">
        <w:rPr>
          <w:b/>
          <w:bCs/>
          <w:szCs w:val="28"/>
        </w:rPr>
        <w:t xml:space="preserve"> р</w:t>
      </w:r>
      <w:r w:rsidR="00FD2F5C" w:rsidRPr="005F3723">
        <w:rPr>
          <w:b/>
          <w:bCs/>
          <w:szCs w:val="28"/>
        </w:rPr>
        <w:t>о</w:t>
      </w:r>
      <w:r w:rsidR="00D853F7" w:rsidRPr="005F3723">
        <w:rPr>
          <w:b/>
          <w:bCs/>
          <w:szCs w:val="28"/>
        </w:rPr>
        <w:t>к</w:t>
      </w:r>
      <w:r w:rsidR="00FD2F5C" w:rsidRPr="005F3723">
        <w:rPr>
          <w:b/>
          <w:bCs/>
          <w:szCs w:val="28"/>
        </w:rPr>
        <w:t>у</w:t>
      </w:r>
    </w:p>
    <w:p w:rsidR="00971F58" w:rsidRPr="00345E08" w:rsidRDefault="00971F58" w:rsidP="00675437">
      <w:pPr>
        <w:pStyle w:val="a4"/>
        <w:ind w:firstLine="708"/>
        <w:jc w:val="center"/>
        <w:rPr>
          <w:b/>
          <w:bCs/>
          <w:sz w:val="27"/>
          <w:szCs w:val="27"/>
        </w:rPr>
      </w:pPr>
    </w:p>
    <w:p w:rsidR="00391F30" w:rsidRPr="00217327" w:rsidRDefault="00391F30" w:rsidP="00391F30">
      <w:pPr>
        <w:ind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Обсяг доходної частини бюджету міста за січень-вересень поточного року с</w:t>
      </w:r>
      <w:r w:rsidR="00586A1E" w:rsidRPr="00217327">
        <w:rPr>
          <w:sz w:val="27"/>
          <w:szCs w:val="27"/>
          <w:lang w:val="uk-UA"/>
        </w:rPr>
        <w:t>клав</w:t>
      </w:r>
      <w:r w:rsidRPr="00217327">
        <w:rPr>
          <w:sz w:val="27"/>
          <w:szCs w:val="27"/>
          <w:lang w:val="uk-UA"/>
        </w:rPr>
        <w:t xml:space="preserve"> 4 385 </w:t>
      </w:r>
      <w:r w:rsidR="002A2F26" w:rsidRPr="00217327">
        <w:rPr>
          <w:sz w:val="27"/>
          <w:szCs w:val="27"/>
          <w:lang w:val="uk-UA"/>
        </w:rPr>
        <w:t>,</w:t>
      </w:r>
      <w:r w:rsidRPr="00217327">
        <w:rPr>
          <w:sz w:val="27"/>
          <w:szCs w:val="27"/>
          <w:lang w:val="uk-UA"/>
        </w:rPr>
        <w:t>5 </w:t>
      </w:r>
      <w:proofErr w:type="spellStart"/>
      <w:r w:rsidR="002A2F26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 xml:space="preserve">., в тому числі </w:t>
      </w:r>
      <w:r w:rsidR="00586A1E" w:rsidRPr="00217327">
        <w:rPr>
          <w:sz w:val="27"/>
          <w:szCs w:val="27"/>
          <w:lang w:val="uk-UA"/>
        </w:rPr>
        <w:t xml:space="preserve">власні </w:t>
      </w:r>
      <w:r w:rsidRPr="00217327">
        <w:rPr>
          <w:sz w:val="27"/>
          <w:szCs w:val="27"/>
          <w:lang w:val="uk-UA"/>
        </w:rPr>
        <w:t>доходи загального фонду – 2</w:t>
      </w:r>
      <w:r w:rsidR="002A2F26" w:rsidRPr="00217327">
        <w:rPr>
          <w:sz w:val="27"/>
          <w:szCs w:val="27"/>
          <w:lang w:val="uk-UA"/>
        </w:rPr>
        <w:t> </w:t>
      </w:r>
      <w:r w:rsidRPr="00217327">
        <w:rPr>
          <w:sz w:val="27"/>
          <w:szCs w:val="27"/>
          <w:lang w:val="uk-UA"/>
        </w:rPr>
        <w:t>532</w:t>
      </w:r>
      <w:r w:rsidR="002A2F26" w:rsidRPr="00217327">
        <w:rPr>
          <w:sz w:val="27"/>
          <w:szCs w:val="27"/>
          <w:lang w:val="uk-UA"/>
        </w:rPr>
        <w:t>,6</w:t>
      </w:r>
      <w:r w:rsidRPr="00217327">
        <w:rPr>
          <w:sz w:val="27"/>
          <w:szCs w:val="27"/>
          <w:lang w:val="uk-UA"/>
        </w:rPr>
        <w:t> </w:t>
      </w:r>
      <w:proofErr w:type="spellStart"/>
      <w:r w:rsidR="002A2F26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., спеціального фонду – 16</w:t>
      </w:r>
      <w:r w:rsidR="002A2F26" w:rsidRPr="00217327">
        <w:rPr>
          <w:sz w:val="27"/>
          <w:szCs w:val="27"/>
          <w:lang w:val="uk-UA"/>
        </w:rPr>
        <w:t>6,0</w:t>
      </w:r>
      <w:r w:rsidRPr="00217327">
        <w:rPr>
          <w:sz w:val="27"/>
          <w:szCs w:val="27"/>
          <w:lang w:val="uk-UA"/>
        </w:rPr>
        <w:t> </w:t>
      </w:r>
      <w:proofErr w:type="spellStart"/>
      <w:r w:rsidR="002A2F26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 та офіційні трансферти – 1</w:t>
      </w:r>
      <w:r w:rsidR="00394572">
        <w:rPr>
          <w:sz w:val="27"/>
          <w:szCs w:val="27"/>
          <w:lang w:val="uk-UA"/>
        </w:rPr>
        <w:t> </w:t>
      </w:r>
      <w:r w:rsidRPr="00217327">
        <w:rPr>
          <w:sz w:val="27"/>
          <w:szCs w:val="27"/>
          <w:lang w:val="uk-UA"/>
        </w:rPr>
        <w:t>686</w:t>
      </w:r>
      <w:r w:rsidR="00394572">
        <w:rPr>
          <w:sz w:val="27"/>
          <w:szCs w:val="27"/>
          <w:lang w:val="uk-UA"/>
        </w:rPr>
        <w:t>,</w:t>
      </w:r>
      <w:r w:rsidRPr="00217327">
        <w:rPr>
          <w:sz w:val="27"/>
          <w:szCs w:val="27"/>
          <w:lang w:val="uk-UA"/>
        </w:rPr>
        <w:t>9 </w:t>
      </w:r>
      <w:proofErr w:type="spellStart"/>
      <w:r w:rsidR="002A2F26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 xml:space="preserve">. </w:t>
      </w:r>
    </w:p>
    <w:p w:rsidR="00786FE3" w:rsidRPr="00217327" w:rsidRDefault="00586A1E" w:rsidP="00786FE3">
      <w:pPr>
        <w:ind w:firstLine="708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Протягом звітного періоду в</w:t>
      </w:r>
      <w:r w:rsidR="00D27D04" w:rsidRPr="00217327">
        <w:rPr>
          <w:sz w:val="27"/>
          <w:szCs w:val="27"/>
          <w:lang w:val="uk-UA"/>
        </w:rPr>
        <w:t xml:space="preserve">ідповідно до Закону України від 19.05.2016 №1384-VІІІ «Про внесення змін до Закону України «Про Державний бюджет України на 2016 рік» (щодо соціальних стандартів та обсягу субвенції на надання пільг та житлових субсидій), </w:t>
      </w:r>
      <w:r w:rsidR="00CE283F" w:rsidRPr="00217327">
        <w:rPr>
          <w:sz w:val="27"/>
          <w:szCs w:val="27"/>
          <w:lang w:val="uk-UA"/>
        </w:rPr>
        <w:t xml:space="preserve">норм ст.52 та ст.78 Бюджетного кодексу України, </w:t>
      </w:r>
      <w:r w:rsidR="00D27D04" w:rsidRPr="00217327">
        <w:rPr>
          <w:sz w:val="27"/>
          <w:szCs w:val="27"/>
          <w:lang w:val="uk-UA"/>
        </w:rPr>
        <w:t xml:space="preserve">враховуючи </w:t>
      </w:r>
      <w:r w:rsidRPr="00217327">
        <w:rPr>
          <w:sz w:val="27"/>
          <w:szCs w:val="27"/>
          <w:lang w:val="uk-UA"/>
        </w:rPr>
        <w:t xml:space="preserve">показники </w:t>
      </w:r>
      <w:r w:rsidR="00D27D04" w:rsidRPr="00217327">
        <w:rPr>
          <w:sz w:val="27"/>
          <w:szCs w:val="27"/>
          <w:lang w:val="uk-UA"/>
        </w:rPr>
        <w:t>фактичн</w:t>
      </w:r>
      <w:r w:rsidRPr="00217327">
        <w:rPr>
          <w:sz w:val="27"/>
          <w:szCs w:val="27"/>
          <w:lang w:val="uk-UA"/>
        </w:rPr>
        <w:t>ого</w:t>
      </w:r>
      <w:r w:rsidR="00D27D04" w:rsidRPr="00217327">
        <w:rPr>
          <w:sz w:val="27"/>
          <w:szCs w:val="27"/>
          <w:lang w:val="uk-UA"/>
        </w:rPr>
        <w:t xml:space="preserve"> </w:t>
      </w:r>
      <w:r w:rsidR="00CE283F" w:rsidRPr="00217327">
        <w:rPr>
          <w:sz w:val="27"/>
          <w:szCs w:val="27"/>
          <w:lang w:val="uk-UA"/>
        </w:rPr>
        <w:t>і</w:t>
      </w:r>
      <w:r w:rsidR="00D27D04" w:rsidRPr="00217327">
        <w:rPr>
          <w:sz w:val="27"/>
          <w:szCs w:val="27"/>
          <w:lang w:val="uk-UA"/>
        </w:rPr>
        <w:t xml:space="preserve"> </w:t>
      </w:r>
      <w:r w:rsidRPr="00217327">
        <w:rPr>
          <w:sz w:val="27"/>
          <w:szCs w:val="27"/>
          <w:lang w:val="uk-UA"/>
        </w:rPr>
        <w:t>прогнозного виконання</w:t>
      </w:r>
      <w:r w:rsidR="00CE283F" w:rsidRPr="00217327">
        <w:rPr>
          <w:sz w:val="27"/>
          <w:szCs w:val="27"/>
          <w:lang w:val="uk-UA"/>
        </w:rPr>
        <w:t>,</w:t>
      </w:r>
      <w:r w:rsidR="00D27D04" w:rsidRPr="00217327">
        <w:rPr>
          <w:sz w:val="27"/>
          <w:szCs w:val="27"/>
          <w:lang w:val="uk-UA"/>
        </w:rPr>
        <w:t xml:space="preserve"> </w:t>
      </w:r>
      <w:r w:rsidR="00786FE3" w:rsidRPr="00217327">
        <w:rPr>
          <w:sz w:val="27"/>
          <w:szCs w:val="27"/>
          <w:lang w:val="uk-UA"/>
        </w:rPr>
        <w:t>вн</w:t>
      </w:r>
      <w:r w:rsidR="00CE283F" w:rsidRPr="00217327">
        <w:rPr>
          <w:sz w:val="27"/>
          <w:szCs w:val="27"/>
          <w:lang w:val="uk-UA"/>
        </w:rPr>
        <w:t>есені</w:t>
      </w:r>
      <w:r w:rsidR="00786FE3" w:rsidRPr="00217327">
        <w:rPr>
          <w:sz w:val="27"/>
          <w:szCs w:val="27"/>
          <w:lang w:val="uk-UA"/>
        </w:rPr>
        <w:t xml:space="preserve"> зміни до рішення про бюджет міста в частині збільшення його доходної частини на 716 ,0 </w:t>
      </w:r>
      <w:proofErr w:type="spellStart"/>
      <w:r w:rsidR="008D7903" w:rsidRPr="00217327">
        <w:rPr>
          <w:sz w:val="27"/>
          <w:szCs w:val="27"/>
          <w:lang w:val="uk-UA"/>
        </w:rPr>
        <w:t>млн</w:t>
      </w:r>
      <w:r w:rsidR="00786FE3" w:rsidRPr="00217327">
        <w:rPr>
          <w:sz w:val="27"/>
          <w:szCs w:val="27"/>
          <w:lang w:val="uk-UA"/>
        </w:rPr>
        <w:t>.грн</w:t>
      </w:r>
      <w:proofErr w:type="spellEnd"/>
      <w:r w:rsidR="00786FE3" w:rsidRPr="00217327">
        <w:rPr>
          <w:sz w:val="27"/>
          <w:szCs w:val="27"/>
          <w:lang w:val="uk-UA"/>
        </w:rPr>
        <w:t>.</w:t>
      </w:r>
    </w:p>
    <w:p w:rsidR="00391F30" w:rsidRPr="00217327" w:rsidRDefault="00786FE3" w:rsidP="00391F30">
      <w:pPr>
        <w:ind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Без урахування трансфертів у</w:t>
      </w:r>
      <w:r w:rsidR="00391F30" w:rsidRPr="00217327">
        <w:rPr>
          <w:sz w:val="27"/>
          <w:szCs w:val="27"/>
          <w:lang w:val="uk-UA"/>
        </w:rPr>
        <w:t>точнен</w:t>
      </w:r>
      <w:r w:rsidR="008D7903" w:rsidRPr="00217327">
        <w:rPr>
          <w:sz w:val="27"/>
          <w:szCs w:val="27"/>
          <w:lang w:val="uk-UA"/>
        </w:rPr>
        <w:t xml:space="preserve">ий </w:t>
      </w:r>
      <w:r w:rsidR="00391F30" w:rsidRPr="00217327">
        <w:rPr>
          <w:sz w:val="27"/>
          <w:szCs w:val="27"/>
          <w:lang w:val="uk-UA"/>
        </w:rPr>
        <w:t xml:space="preserve">план по доходах </w:t>
      </w:r>
      <w:r w:rsidR="008D7903" w:rsidRPr="00217327">
        <w:rPr>
          <w:sz w:val="27"/>
          <w:szCs w:val="27"/>
          <w:lang w:val="uk-UA"/>
        </w:rPr>
        <w:t xml:space="preserve">загального фонду бюджету </w:t>
      </w:r>
      <w:r w:rsidRPr="00217327">
        <w:rPr>
          <w:sz w:val="27"/>
          <w:szCs w:val="27"/>
          <w:lang w:val="uk-UA"/>
        </w:rPr>
        <w:t>(</w:t>
      </w:r>
      <w:r w:rsidR="00391F30" w:rsidRPr="00217327">
        <w:rPr>
          <w:sz w:val="27"/>
          <w:szCs w:val="27"/>
          <w:lang w:val="uk-UA"/>
        </w:rPr>
        <w:t>2</w:t>
      </w:r>
      <w:r w:rsidR="008D7903" w:rsidRPr="00217327">
        <w:rPr>
          <w:sz w:val="27"/>
          <w:szCs w:val="27"/>
          <w:lang w:val="uk-UA"/>
        </w:rPr>
        <w:t> </w:t>
      </w:r>
      <w:r w:rsidR="00391F30" w:rsidRPr="00217327">
        <w:rPr>
          <w:sz w:val="27"/>
          <w:szCs w:val="27"/>
          <w:lang w:val="uk-UA"/>
        </w:rPr>
        <w:t>527</w:t>
      </w:r>
      <w:r w:rsidR="008D7903" w:rsidRPr="00217327">
        <w:rPr>
          <w:sz w:val="27"/>
          <w:szCs w:val="27"/>
          <w:lang w:val="uk-UA"/>
        </w:rPr>
        <w:t>,</w:t>
      </w:r>
      <w:r w:rsidR="00391F30" w:rsidRPr="00217327">
        <w:rPr>
          <w:sz w:val="27"/>
          <w:szCs w:val="27"/>
          <w:lang w:val="uk-UA"/>
        </w:rPr>
        <w:t>2</w:t>
      </w:r>
      <w:r w:rsidR="00971F58" w:rsidRPr="00217327">
        <w:rPr>
          <w:sz w:val="27"/>
          <w:szCs w:val="27"/>
          <w:lang w:val="uk-UA"/>
        </w:rPr>
        <w:t> </w:t>
      </w:r>
      <w:proofErr w:type="spellStart"/>
      <w:r w:rsidR="008D7903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>.</w:t>
      </w:r>
      <w:r w:rsidRPr="00217327">
        <w:rPr>
          <w:sz w:val="27"/>
          <w:szCs w:val="27"/>
          <w:lang w:val="uk-UA"/>
        </w:rPr>
        <w:t>)</w:t>
      </w:r>
      <w:r w:rsidR="00391F30" w:rsidRPr="00217327">
        <w:rPr>
          <w:sz w:val="27"/>
          <w:szCs w:val="27"/>
          <w:lang w:val="uk-UA"/>
        </w:rPr>
        <w:t xml:space="preserve"> виконан</w:t>
      </w:r>
      <w:r w:rsidR="008D7903" w:rsidRPr="00217327">
        <w:rPr>
          <w:sz w:val="27"/>
          <w:szCs w:val="27"/>
          <w:lang w:val="uk-UA"/>
        </w:rPr>
        <w:t>ий</w:t>
      </w:r>
      <w:r w:rsidR="00391F30" w:rsidRPr="00217327">
        <w:rPr>
          <w:sz w:val="27"/>
          <w:szCs w:val="27"/>
          <w:lang w:val="uk-UA"/>
        </w:rPr>
        <w:t xml:space="preserve"> на 100,2 </w:t>
      </w:r>
      <w:r w:rsidR="008D7903" w:rsidRPr="00217327">
        <w:rPr>
          <w:sz w:val="27"/>
          <w:szCs w:val="27"/>
          <w:lang w:val="uk-UA"/>
        </w:rPr>
        <w:t>%</w:t>
      </w:r>
      <w:r w:rsidR="00391F30" w:rsidRPr="00217327">
        <w:rPr>
          <w:sz w:val="27"/>
          <w:szCs w:val="27"/>
          <w:lang w:val="uk-UA"/>
        </w:rPr>
        <w:t xml:space="preserve">. </w:t>
      </w:r>
      <w:r w:rsidR="008D7903" w:rsidRPr="00217327">
        <w:rPr>
          <w:sz w:val="27"/>
          <w:szCs w:val="27"/>
          <w:lang w:val="uk-UA"/>
        </w:rPr>
        <w:t>Досягнуто виконання п</w:t>
      </w:r>
      <w:r w:rsidR="00391F30" w:rsidRPr="00217327">
        <w:rPr>
          <w:sz w:val="27"/>
          <w:szCs w:val="27"/>
          <w:lang w:val="uk-UA"/>
        </w:rPr>
        <w:t>ланов</w:t>
      </w:r>
      <w:r w:rsidR="008D7903" w:rsidRPr="00217327">
        <w:rPr>
          <w:sz w:val="27"/>
          <w:szCs w:val="27"/>
          <w:lang w:val="uk-UA"/>
        </w:rPr>
        <w:t>их</w:t>
      </w:r>
      <w:r w:rsidR="00391F30" w:rsidRPr="00217327">
        <w:rPr>
          <w:sz w:val="27"/>
          <w:szCs w:val="27"/>
          <w:lang w:val="uk-UA"/>
        </w:rPr>
        <w:t xml:space="preserve"> показник</w:t>
      </w:r>
      <w:r w:rsidR="008D7903" w:rsidRPr="00217327">
        <w:rPr>
          <w:sz w:val="27"/>
          <w:szCs w:val="27"/>
          <w:lang w:val="uk-UA"/>
        </w:rPr>
        <w:t>ів</w:t>
      </w:r>
      <w:r w:rsidR="00391F30" w:rsidRPr="00217327">
        <w:rPr>
          <w:sz w:val="27"/>
          <w:szCs w:val="27"/>
          <w:lang w:val="uk-UA"/>
        </w:rPr>
        <w:t xml:space="preserve"> </w:t>
      </w:r>
      <w:r w:rsidR="008D7903" w:rsidRPr="00217327">
        <w:rPr>
          <w:sz w:val="27"/>
          <w:szCs w:val="27"/>
          <w:lang w:val="uk-UA"/>
        </w:rPr>
        <w:t>за</w:t>
      </w:r>
      <w:r w:rsidR="00391F30" w:rsidRPr="00217327">
        <w:rPr>
          <w:sz w:val="27"/>
          <w:szCs w:val="27"/>
          <w:lang w:val="uk-UA"/>
        </w:rPr>
        <w:t xml:space="preserve"> всі</w:t>
      </w:r>
      <w:r w:rsidR="008D7903" w:rsidRPr="00217327">
        <w:rPr>
          <w:sz w:val="27"/>
          <w:szCs w:val="27"/>
          <w:lang w:val="uk-UA"/>
        </w:rPr>
        <w:t>ма</w:t>
      </w:r>
      <w:r w:rsidR="00391F30" w:rsidRPr="00217327">
        <w:rPr>
          <w:sz w:val="27"/>
          <w:szCs w:val="27"/>
          <w:lang w:val="uk-UA"/>
        </w:rPr>
        <w:t xml:space="preserve"> </w:t>
      </w:r>
      <w:r w:rsidR="00D33C57" w:rsidRPr="00217327">
        <w:rPr>
          <w:sz w:val="27"/>
          <w:szCs w:val="27"/>
          <w:lang w:val="uk-UA"/>
        </w:rPr>
        <w:t>основни</w:t>
      </w:r>
      <w:r w:rsidR="008D7903" w:rsidRPr="00217327">
        <w:rPr>
          <w:sz w:val="27"/>
          <w:szCs w:val="27"/>
          <w:lang w:val="uk-UA"/>
        </w:rPr>
        <w:t>ми</w:t>
      </w:r>
      <w:r w:rsidR="00D33C57" w:rsidRPr="00217327">
        <w:rPr>
          <w:sz w:val="27"/>
          <w:szCs w:val="27"/>
          <w:lang w:val="uk-UA"/>
        </w:rPr>
        <w:t xml:space="preserve"> </w:t>
      </w:r>
      <w:r w:rsidR="00391F30" w:rsidRPr="00217327">
        <w:rPr>
          <w:sz w:val="27"/>
          <w:szCs w:val="27"/>
          <w:lang w:val="uk-UA"/>
        </w:rPr>
        <w:t>джерела</w:t>
      </w:r>
      <w:r w:rsidR="008D7903" w:rsidRPr="00217327">
        <w:rPr>
          <w:sz w:val="27"/>
          <w:szCs w:val="27"/>
          <w:lang w:val="uk-UA"/>
        </w:rPr>
        <w:t>ми</w:t>
      </w:r>
      <w:r w:rsidR="00391F30" w:rsidRPr="00217327">
        <w:rPr>
          <w:sz w:val="27"/>
          <w:szCs w:val="27"/>
          <w:lang w:val="uk-UA"/>
        </w:rPr>
        <w:t xml:space="preserve">. У порівнянні з відповідним періодом </w:t>
      </w:r>
      <w:r w:rsidR="00D33C57" w:rsidRPr="00217327">
        <w:rPr>
          <w:sz w:val="27"/>
          <w:szCs w:val="27"/>
          <w:lang w:val="uk-UA"/>
        </w:rPr>
        <w:t xml:space="preserve">минулого </w:t>
      </w:r>
      <w:r w:rsidR="00391F30" w:rsidRPr="00217327">
        <w:rPr>
          <w:sz w:val="27"/>
          <w:szCs w:val="27"/>
          <w:lang w:val="uk-UA"/>
        </w:rPr>
        <w:t xml:space="preserve">року </w:t>
      </w:r>
      <w:r w:rsidR="008D7903" w:rsidRPr="00217327">
        <w:rPr>
          <w:sz w:val="27"/>
          <w:szCs w:val="27"/>
          <w:lang w:val="uk-UA"/>
        </w:rPr>
        <w:t>обсяг зазначених доходів збільшився</w:t>
      </w:r>
      <w:r w:rsidR="00391F30" w:rsidRPr="00217327">
        <w:rPr>
          <w:sz w:val="27"/>
          <w:szCs w:val="27"/>
          <w:lang w:val="uk-UA"/>
        </w:rPr>
        <w:t xml:space="preserve"> на 58,6 </w:t>
      </w:r>
      <w:r w:rsidR="008D7903" w:rsidRPr="00217327">
        <w:rPr>
          <w:sz w:val="27"/>
          <w:szCs w:val="27"/>
          <w:lang w:val="uk-UA"/>
        </w:rPr>
        <w:t>%</w:t>
      </w:r>
      <w:r w:rsidR="00391F30" w:rsidRPr="00217327">
        <w:rPr>
          <w:sz w:val="27"/>
          <w:szCs w:val="27"/>
          <w:lang w:val="uk-UA"/>
        </w:rPr>
        <w:t xml:space="preserve"> або на 93</w:t>
      </w:r>
      <w:r w:rsidR="008D7903" w:rsidRPr="00217327">
        <w:rPr>
          <w:sz w:val="27"/>
          <w:szCs w:val="27"/>
          <w:lang w:val="uk-UA"/>
        </w:rPr>
        <w:t>6,0</w:t>
      </w:r>
      <w:r w:rsidR="00391F30" w:rsidRPr="00217327">
        <w:rPr>
          <w:sz w:val="27"/>
          <w:szCs w:val="27"/>
          <w:lang w:val="uk-UA"/>
        </w:rPr>
        <w:t> </w:t>
      </w:r>
      <w:proofErr w:type="spellStart"/>
      <w:r w:rsidR="008D7903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 xml:space="preserve">. </w:t>
      </w:r>
    </w:p>
    <w:p w:rsidR="00142F65" w:rsidRDefault="008839E5" w:rsidP="00155BD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11568" cy="3392424"/>
            <wp:effectExtent l="57150" t="19050" r="27282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F65" w:rsidRPr="00217327" w:rsidRDefault="00142F65" w:rsidP="00391F30">
      <w:pPr>
        <w:ind w:firstLine="709"/>
        <w:jc w:val="both"/>
        <w:rPr>
          <w:sz w:val="27"/>
          <w:szCs w:val="27"/>
          <w:lang w:val="uk-UA"/>
        </w:rPr>
      </w:pPr>
    </w:p>
    <w:p w:rsidR="00391F30" w:rsidRPr="00217327" w:rsidRDefault="00391F30" w:rsidP="00391F30">
      <w:pPr>
        <w:ind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Найбільшим джерелом залишається податок на доходи фізичних осіб</w:t>
      </w:r>
      <w:r w:rsidR="00786FE3" w:rsidRPr="00217327">
        <w:rPr>
          <w:sz w:val="27"/>
          <w:szCs w:val="27"/>
          <w:lang w:val="uk-UA"/>
        </w:rPr>
        <w:t xml:space="preserve"> (1</w:t>
      </w:r>
      <w:r w:rsidR="008D7903" w:rsidRPr="00217327">
        <w:rPr>
          <w:sz w:val="27"/>
          <w:szCs w:val="27"/>
          <w:lang w:val="uk-UA"/>
        </w:rPr>
        <w:t> </w:t>
      </w:r>
      <w:r w:rsidR="00786FE3" w:rsidRPr="00217327">
        <w:rPr>
          <w:sz w:val="27"/>
          <w:szCs w:val="27"/>
          <w:lang w:val="uk-UA"/>
        </w:rPr>
        <w:t>429</w:t>
      </w:r>
      <w:r w:rsidR="008D7903" w:rsidRPr="00217327">
        <w:rPr>
          <w:sz w:val="27"/>
          <w:szCs w:val="27"/>
          <w:lang w:val="uk-UA"/>
        </w:rPr>
        <w:t>,</w:t>
      </w:r>
      <w:r w:rsidR="00786FE3" w:rsidRPr="00217327">
        <w:rPr>
          <w:sz w:val="27"/>
          <w:szCs w:val="27"/>
          <w:lang w:val="uk-UA"/>
        </w:rPr>
        <w:t>4 </w:t>
      </w:r>
      <w:proofErr w:type="spellStart"/>
      <w:r w:rsidR="008D7903" w:rsidRPr="00217327">
        <w:rPr>
          <w:sz w:val="27"/>
          <w:szCs w:val="27"/>
          <w:lang w:val="uk-UA"/>
        </w:rPr>
        <w:t>млн</w:t>
      </w:r>
      <w:r w:rsidR="00786FE3" w:rsidRPr="00217327">
        <w:rPr>
          <w:sz w:val="27"/>
          <w:szCs w:val="27"/>
          <w:lang w:val="uk-UA"/>
        </w:rPr>
        <w:t>.грн</w:t>
      </w:r>
      <w:proofErr w:type="spellEnd"/>
      <w:r w:rsidR="00786FE3" w:rsidRPr="00217327">
        <w:rPr>
          <w:sz w:val="27"/>
          <w:szCs w:val="27"/>
          <w:lang w:val="uk-UA"/>
        </w:rPr>
        <w:t>.)</w:t>
      </w:r>
      <w:r w:rsidRPr="00217327">
        <w:rPr>
          <w:sz w:val="27"/>
          <w:szCs w:val="27"/>
          <w:lang w:val="uk-UA"/>
        </w:rPr>
        <w:t>. Його питома вага с</w:t>
      </w:r>
      <w:r w:rsidR="00786FE3" w:rsidRPr="00217327">
        <w:rPr>
          <w:sz w:val="27"/>
          <w:szCs w:val="27"/>
          <w:lang w:val="uk-UA"/>
        </w:rPr>
        <w:t>клала 56,4 </w:t>
      </w:r>
      <w:r w:rsidR="00BC2CB5" w:rsidRPr="00217327">
        <w:rPr>
          <w:sz w:val="27"/>
          <w:szCs w:val="27"/>
          <w:lang w:val="uk-UA"/>
        </w:rPr>
        <w:t>%</w:t>
      </w:r>
      <w:r w:rsidR="00786FE3" w:rsidRPr="00217327">
        <w:rPr>
          <w:sz w:val="27"/>
          <w:szCs w:val="27"/>
          <w:lang w:val="uk-UA"/>
        </w:rPr>
        <w:t xml:space="preserve">, </w:t>
      </w:r>
      <w:r w:rsidRPr="00217327">
        <w:rPr>
          <w:sz w:val="27"/>
          <w:szCs w:val="27"/>
          <w:lang w:val="uk-UA"/>
        </w:rPr>
        <w:t>виконан</w:t>
      </w:r>
      <w:r w:rsidR="00786FE3" w:rsidRPr="00217327">
        <w:rPr>
          <w:sz w:val="27"/>
          <w:szCs w:val="27"/>
          <w:lang w:val="uk-UA"/>
        </w:rPr>
        <w:t xml:space="preserve">ня плану - </w:t>
      </w:r>
      <w:r w:rsidRPr="00217327">
        <w:rPr>
          <w:sz w:val="27"/>
          <w:szCs w:val="27"/>
          <w:lang w:val="uk-UA"/>
        </w:rPr>
        <w:t>100,2 </w:t>
      </w:r>
      <w:r w:rsidR="00BC2CB5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>. Надходження податку порівняно з січнем-вереснем 2015 року з</w:t>
      </w:r>
      <w:r w:rsidR="00BC2CB5" w:rsidRPr="00217327">
        <w:rPr>
          <w:sz w:val="27"/>
          <w:szCs w:val="27"/>
          <w:lang w:val="uk-UA"/>
        </w:rPr>
        <w:t>більшились</w:t>
      </w:r>
      <w:r w:rsidRPr="00217327">
        <w:rPr>
          <w:sz w:val="27"/>
          <w:szCs w:val="27"/>
          <w:lang w:val="uk-UA"/>
        </w:rPr>
        <w:t xml:space="preserve"> на 55,4 </w:t>
      </w:r>
      <w:r w:rsidR="00BC2CB5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 xml:space="preserve"> або на 509</w:t>
      </w:r>
      <w:r w:rsidR="00BC2CB5" w:rsidRPr="00217327">
        <w:rPr>
          <w:sz w:val="27"/>
          <w:szCs w:val="27"/>
          <w:lang w:val="uk-UA"/>
        </w:rPr>
        <w:t>,9</w:t>
      </w:r>
      <w:r w:rsidR="00786FE3" w:rsidRPr="00217327">
        <w:rPr>
          <w:sz w:val="27"/>
          <w:szCs w:val="27"/>
          <w:lang w:val="uk-UA"/>
        </w:rPr>
        <w:t> </w:t>
      </w:r>
      <w:proofErr w:type="spellStart"/>
      <w:r w:rsidR="00BC2CB5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., що пояснюється зростанням фонду оплати праці штатних працівників (за І півріччя по</w:t>
      </w:r>
      <w:r w:rsidR="00786FE3" w:rsidRPr="00217327">
        <w:rPr>
          <w:sz w:val="27"/>
          <w:szCs w:val="27"/>
          <w:lang w:val="uk-UA"/>
        </w:rPr>
        <w:t>точного року він становив 6</w:t>
      </w:r>
      <w:r w:rsidR="00BC2CB5" w:rsidRPr="00217327">
        <w:rPr>
          <w:sz w:val="27"/>
          <w:szCs w:val="27"/>
          <w:lang w:val="uk-UA"/>
        </w:rPr>
        <w:t> </w:t>
      </w:r>
      <w:r w:rsidR="00786FE3" w:rsidRPr="00217327">
        <w:rPr>
          <w:sz w:val="27"/>
          <w:szCs w:val="27"/>
          <w:lang w:val="uk-UA"/>
        </w:rPr>
        <w:t>791</w:t>
      </w:r>
      <w:r w:rsidR="00BC2CB5" w:rsidRPr="00217327">
        <w:rPr>
          <w:sz w:val="27"/>
          <w:szCs w:val="27"/>
          <w:lang w:val="uk-UA"/>
        </w:rPr>
        <w:t>,8</w:t>
      </w:r>
      <w:r w:rsidRPr="00217327">
        <w:rPr>
          <w:sz w:val="27"/>
          <w:szCs w:val="27"/>
          <w:lang w:val="uk-UA"/>
        </w:rPr>
        <w:t> </w:t>
      </w:r>
      <w:proofErr w:type="spellStart"/>
      <w:r w:rsidR="00BC2CB5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., що на 21,1 </w:t>
      </w:r>
      <w:r w:rsidR="00BC2CB5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 xml:space="preserve"> більше минулорічного показника). Середньомісячна заробітна плата також зросла на 23,0 </w:t>
      </w:r>
      <w:r w:rsidR="00BC2CB5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 xml:space="preserve"> та склала 5 039,64 грн.</w:t>
      </w:r>
      <w:r w:rsidR="00481117" w:rsidRPr="00217327">
        <w:rPr>
          <w:sz w:val="27"/>
          <w:szCs w:val="27"/>
          <w:lang w:val="uk-UA"/>
        </w:rPr>
        <w:t xml:space="preserve"> </w:t>
      </w:r>
      <w:r w:rsidRPr="00217327">
        <w:rPr>
          <w:sz w:val="27"/>
          <w:szCs w:val="27"/>
          <w:lang w:val="uk-UA"/>
        </w:rPr>
        <w:t>Крім того, на надходжен</w:t>
      </w:r>
      <w:r w:rsidR="00CB3527" w:rsidRPr="00217327">
        <w:rPr>
          <w:sz w:val="27"/>
          <w:szCs w:val="27"/>
          <w:lang w:val="uk-UA"/>
        </w:rPr>
        <w:t xml:space="preserve">ня </w:t>
      </w:r>
      <w:r w:rsidR="00BC2CB5" w:rsidRPr="00217327">
        <w:rPr>
          <w:sz w:val="27"/>
          <w:szCs w:val="27"/>
          <w:lang w:val="uk-UA"/>
        </w:rPr>
        <w:t xml:space="preserve">податку </w:t>
      </w:r>
      <w:r w:rsidR="00CB3527" w:rsidRPr="00217327">
        <w:rPr>
          <w:sz w:val="27"/>
          <w:szCs w:val="27"/>
          <w:lang w:val="uk-UA"/>
        </w:rPr>
        <w:t>вплинуло</w:t>
      </w:r>
      <w:r w:rsidRPr="00217327">
        <w:rPr>
          <w:sz w:val="27"/>
          <w:szCs w:val="27"/>
          <w:lang w:val="uk-UA"/>
        </w:rPr>
        <w:t xml:space="preserve"> зростання о</w:t>
      </w:r>
      <w:r w:rsidR="00CB3527" w:rsidRPr="00217327">
        <w:rPr>
          <w:sz w:val="27"/>
          <w:szCs w:val="27"/>
          <w:lang w:val="uk-UA"/>
        </w:rPr>
        <w:t>сновної ставки з</w:t>
      </w:r>
      <w:r w:rsidR="00786FE3" w:rsidRPr="00217327">
        <w:rPr>
          <w:sz w:val="27"/>
          <w:szCs w:val="27"/>
          <w:lang w:val="uk-UA"/>
        </w:rPr>
        <w:t xml:space="preserve"> 15% до 18%</w:t>
      </w:r>
      <w:r w:rsidRPr="00217327">
        <w:rPr>
          <w:sz w:val="27"/>
          <w:szCs w:val="27"/>
          <w:lang w:val="uk-UA"/>
        </w:rPr>
        <w:t xml:space="preserve">, </w:t>
      </w:r>
      <w:r w:rsidR="00CB3527" w:rsidRPr="00217327">
        <w:rPr>
          <w:sz w:val="27"/>
          <w:szCs w:val="27"/>
          <w:lang w:val="uk-UA"/>
        </w:rPr>
        <w:t xml:space="preserve">зміни </w:t>
      </w:r>
      <w:r w:rsidRPr="00217327">
        <w:rPr>
          <w:sz w:val="27"/>
          <w:szCs w:val="27"/>
          <w:lang w:val="uk-UA"/>
        </w:rPr>
        <w:t xml:space="preserve">бази оподаткування </w:t>
      </w:r>
      <w:r w:rsidR="00CB3527" w:rsidRPr="00217327">
        <w:rPr>
          <w:sz w:val="27"/>
          <w:szCs w:val="27"/>
          <w:lang w:val="uk-UA"/>
        </w:rPr>
        <w:t xml:space="preserve">та разові </w:t>
      </w:r>
      <w:r w:rsidRPr="00217327">
        <w:rPr>
          <w:sz w:val="27"/>
          <w:szCs w:val="27"/>
          <w:lang w:val="uk-UA"/>
        </w:rPr>
        <w:t xml:space="preserve">надходження </w:t>
      </w:r>
      <w:r w:rsidR="00786FE3" w:rsidRPr="00217327">
        <w:rPr>
          <w:sz w:val="27"/>
          <w:szCs w:val="27"/>
          <w:lang w:val="uk-UA"/>
        </w:rPr>
        <w:t xml:space="preserve">податку </w:t>
      </w:r>
      <w:r w:rsidRPr="00217327">
        <w:rPr>
          <w:sz w:val="27"/>
          <w:szCs w:val="27"/>
          <w:lang w:val="uk-UA"/>
        </w:rPr>
        <w:t>з інвестиційного доходу</w:t>
      </w:r>
      <w:r w:rsidR="00786FE3" w:rsidRPr="00217327">
        <w:rPr>
          <w:sz w:val="27"/>
          <w:szCs w:val="27"/>
          <w:lang w:val="uk-UA"/>
        </w:rPr>
        <w:t>.</w:t>
      </w:r>
      <w:r w:rsidRPr="00217327">
        <w:rPr>
          <w:sz w:val="27"/>
          <w:szCs w:val="27"/>
          <w:lang w:val="uk-UA"/>
        </w:rPr>
        <w:t xml:space="preserve"> </w:t>
      </w:r>
    </w:p>
    <w:p w:rsidR="00391F30" w:rsidRPr="00217327" w:rsidRDefault="00391F30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Надходження місцев</w:t>
      </w:r>
      <w:r w:rsidR="00B8502E" w:rsidRPr="00217327">
        <w:rPr>
          <w:sz w:val="27"/>
          <w:szCs w:val="27"/>
          <w:lang w:val="uk-UA"/>
        </w:rPr>
        <w:t>их податків і зборів склали 813</w:t>
      </w:r>
      <w:r w:rsidR="008813F4" w:rsidRPr="00217327">
        <w:rPr>
          <w:sz w:val="27"/>
          <w:szCs w:val="27"/>
          <w:lang w:val="uk-UA"/>
        </w:rPr>
        <w:t>,4</w:t>
      </w:r>
      <w:r w:rsidRPr="00217327">
        <w:rPr>
          <w:sz w:val="27"/>
          <w:szCs w:val="27"/>
          <w:lang w:val="uk-UA"/>
        </w:rPr>
        <w:t> </w:t>
      </w:r>
      <w:proofErr w:type="spellStart"/>
      <w:r w:rsidR="008813F4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</w:t>
      </w:r>
      <w:r w:rsidR="00B8502E" w:rsidRPr="00217327">
        <w:rPr>
          <w:sz w:val="27"/>
          <w:szCs w:val="27"/>
          <w:lang w:val="uk-UA"/>
        </w:rPr>
        <w:t>,</w:t>
      </w:r>
      <w:r w:rsidRPr="00217327">
        <w:rPr>
          <w:sz w:val="27"/>
          <w:szCs w:val="27"/>
          <w:lang w:val="uk-UA"/>
        </w:rPr>
        <w:t xml:space="preserve"> </w:t>
      </w:r>
      <w:r w:rsidR="00B8502E" w:rsidRPr="00217327">
        <w:rPr>
          <w:sz w:val="27"/>
          <w:szCs w:val="27"/>
          <w:lang w:val="uk-UA"/>
        </w:rPr>
        <w:t>н</w:t>
      </w:r>
      <w:r w:rsidRPr="00217327">
        <w:rPr>
          <w:sz w:val="27"/>
          <w:szCs w:val="27"/>
          <w:lang w:val="uk-UA"/>
        </w:rPr>
        <w:t xml:space="preserve">айбільшим з </w:t>
      </w:r>
      <w:r w:rsidR="00CC7A5C" w:rsidRPr="00217327">
        <w:rPr>
          <w:sz w:val="27"/>
          <w:szCs w:val="27"/>
          <w:lang w:val="uk-UA"/>
        </w:rPr>
        <w:t>як</w:t>
      </w:r>
      <w:r w:rsidRPr="00217327">
        <w:rPr>
          <w:sz w:val="27"/>
          <w:szCs w:val="27"/>
          <w:lang w:val="uk-UA"/>
        </w:rPr>
        <w:t>их є податок на майно (його питома вага</w:t>
      </w:r>
      <w:r w:rsidR="00B8502E" w:rsidRPr="00217327">
        <w:rPr>
          <w:sz w:val="27"/>
          <w:szCs w:val="27"/>
          <w:lang w:val="uk-UA"/>
        </w:rPr>
        <w:t xml:space="preserve"> становить 73,1 </w:t>
      </w:r>
      <w:r w:rsidR="008813F4" w:rsidRPr="00217327">
        <w:rPr>
          <w:sz w:val="27"/>
          <w:szCs w:val="27"/>
          <w:lang w:val="uk-UA"/>
        </w:rPr>
        <w:t>%</w:t>
      </w:r>
      <w:r w:rsidR="00B8502E" w:rsidRPr="00217327">
        <w:rPr>
          <w:sz w:val="27"/>
          <w:szCs w:val="27"/>
          <w:lang w:val="uk-UA"/>
        </w:rPr>
        <w:t>) – 59</w:t>
      </w:r>
      <w:r w:rsidR="008813F4" w:rsidRPr="00217327">
        <w:rPr>
          <w:sz w:val="27"/>
          <w:szCs w:val="27"/>
          <w:lang w:val="uk-UA"/>
        </w:rPr>
        <w:t>5,0</w:t>
      </w:r>
      <w:r w:rsidRPr="00217327">
        <w:rPr>
          <w:sz w:val="27"/>
          <w:szCs w:val="27"/>
          <w:lang w:val="uk-UA"/>
        </w:rPr>
        <w:t> </w:t>
      </w:r>
      <w:proofErr w:type="spellStart"/>
      <w:r w:rsidR="008813F4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</w:t>
      </w:r>
    </w:p>
    <w:p w:rsidR="00391F30" w:rsidRPr="00217327" w:rsidRDefault="00391F30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lastRenderedPageBreak/>
        <w:t>В складі податку на майно надійшло пл</w:t>
      </w:r>
      <w:r w:rsidR="00413EAC" w:rsidRPr="00217327">
        <w:rPr>
          <w:sz w:val="27"/>
          <w:szCs w:val="27"/>
          <w:lang w:val="uk-UA"/>
        </w:rPr>
        <w:t xml:space="preserve">ати за землю в </w:t>
      </w:r>
      <w:r w:rsidR="00FE4D91" w:rsidRPr="00217327">
        <w:rPr>
          <w:sz w:val="27"/>
          <w:szCs w:val="27"/>
          <w:lang w:val="uk-UA"/>
        </w:rPr>
        <w:t>сум</w:t>
      </w:r>
      <w:r w:rsidR="00413EAC" w:rsidRPr="00217327">
        <w:rPr>
          <w:sz w:val="27"/>
          <w:szCs w:val="27"/>
          <w:lang w:val="uk-UA"/>
        </w:rPr>
        <w:t>і 573</w:t>
      </w:r>
      <w:r w:rsidR="008813F4" w:rsidRPr="00217327">
        <w:rPr>
          <w:sz w:val="27"/>
          <w:szCs w:val="27"/>
          <w:lang w:val="uk-UA"/>
        </w:rPr>
        <w:t>,7</w:t>
      </w:r>
      <w:r w:rsidRPr="00217327">
        <w:rPr>
          <w:sz w:val="27"/>
          <w:szCs w:val="27"/>
          <w:lang w:val="uk-UA"/>
        </w:rPr>
        <w:t> </w:t>
      </w:r>
      <w:proofErr w:type="spellStart"/>
      <w:r w:rsidR="008813F4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</w:t>
      </w:r>
      <w:r w:rsidR="00413EAC" w:rsidRPr="00217327">
        <w:rPr>
          <w:sz w:val="27"/>
          <w:szCs w:val="27"/>
          <w:lang w:val="uk-UA"/>
        </w:rPr>
        <w:t xml:space="preserve">, що </w:t>
      </w:r>
      <w:r w:rsidR="008813F4" w:rsidRPr="00217327">
        <w:rPr>
          <w:sz w:val="27"/>
          <w:szCs w:val="27"/>
          <w:lang w:val="uk-UA"/>
        </w:rPr>
        <w:t>на 248,5 </w:t>
      </w:r>
      <w:proofErr w:type="spellStart"/>
      <w:r w:rsidR="008813F4" w:rsidRPr="00217327">
        <w:rPr>
          <w:sz w:val="27"/>
          <w:szCs w:val="27"/>
          <w:lang w:val="uk-UA"/>
        </w:rPr>
        <w:t>млн.грн</w:t>
      </w:r>
      <w:proofErr w:type="spellEnd"/>
      <w:r w:rsidR="008813F4" w:rsidRPr="00217327">
        <w:rPr>
          <w:sz w:val="27"/>
          <w:szCs w:val="27"/>
          <w:lang w:val="uk-UA"/>
        </w:rPr>
        <w:t>. або на 76,4 % більше ніж за</w:t>
      </w:r>
      <w:r w:rsidRPr="00217327">
        <w:rPr>
          <w:sz w:val="27"/>
          <w:szCs w:val="27"/>
          <w:lang w:val="uk-UA"/>
        </w:rPr>
        <w:t xml:space="preserve"> аналогічн</w:t>
      </w:r>
      <w:r w:rsidR="008813F4" w:rsidRPr="00217327">
        <w:rPr>
          <w:sz w:val="27"/>
          <w:szCs w:val="27"/>
          <w:lang w:val="uk-UA"/>
        </w:rPr>
        <w:t>ий</w:t>
      </w:r>
      <w:r w:rsidRPr="00217327">
        <w:rPr>
          <w:sz w:val="27"/>
          <w:szCs w:val="27"/>
          <w:lang w:val="uk-UA"/>
        </w:rPr>
        <w:t xml:space="preserve"> період минулого року. </w:t>
      </w:r>
      <w:r w:rsidR="008813F4" w:rsidRPr="00217327">
        <w:rPr>
          <w:sz w:val="27"/>
          <w:szCs w:val="27"/>
          <w:lang w:val="uk-UA"/>
        </w:rPr>
        <w:t xml:space="preserve">Таке зростання </w:t>
      </w:r>
      <w:r w:rsidRPr="00217327">
        <w:rPr>
          <w:sz w:val="27"/>
          <w:szCs w:val="27"/>
          <w:lang w:val="uk-UA"/>
        </w:rPr>
        <w:t xml:space="preserve">пояснюється насамперед впровадженням з початку року в місті нової нормативної грошової оцінки землі (затверджена рішенням міської ради від 30.07.2015 №7). </w:t>
      </w:r>
      <w:r w:rsidR="00920513" w:rsidRPr="00217327">
        <w:rPr>
          <w:sz w:val="27"/>
          <w:szCs w:val="27"/>
          <w:lang w:val="uk-UA"/>
        </w:rPr>
        <w:t>Крім</w:t>
      </w:r>
      <w:r w:rsidRPr="00217327">
        <w:rPr>
          <w:sz w:val="27"/>
          <w:szCs w:val="27"/>
          <w:lang w:val="uk-UA"/>
        </w:rPr>
        <w:t xml:space="preserve"> того, в поточному році </w:t>
      </w:r>
      <w:r w:rsidR="00920513" w:rsidRPr="00217327">
        <w:rPr>
          <w:sz w:val="27"/>
          <w:szCs w:val="27"/>
          <w:lang w:val="uk-UA"/>
        </w:rPr>
        <w:t xml:space="preserve">до </w:t>
      </w:r>
      <w:r w:rsidRPr="00217327">
        <w:rPr>
          <w:sz w:val="27"/>
          <w:szCs w:val="27"/>
          <w:lang w:val="uk-UA"/>
        </w:rPr>
        <w:t>грошов</w:t>
      </w:r>
      <w:r w:rsidR="00920513" w:rsidRPr="00217327">
        <w:rPr>
          <w:sz w:val="27"/>
          <w:szCs w:val="27"/>
          <w:lang w:val="uk-UA"/>
        </w:rPr>
        <w:t>ої</w:t>
      </w:r>
      <w:r w:rsidRPr="00217327">
        <w:rPr>
          <w:sz w:val="27"/>
          <w:szCs w:val="27"/>
          <w:lang w:val="uk-UA"/>
        </w:rPr>
        <w:t xml:space="preserve"> оцінк</w:t>
      </w:r>
      <w:r w:rsidR="00920513" w:rsidRPr="00217327">
        <w:rPr>
          <w:sz w:val="27"/>
          <w:szCs w:val="27"/>
          <w:lang w:val="uk-UA"/>
        </w:rPr>
        <w:t>и</w:t>
      </w:r>
      <w:r w:rsidRPr="00217327">
        <w:rPr>
          <w:sz w:val="27"/>
          <w:szCs w:val="27"/>
          <w:lang w:val="uk-UA"/>
        </w:rPr>
        <w:t xml:space="preserve"> землі </w:t>
      </w:r>
      <w:r w:rsidR="00920513" w:rsidRPr="00217327">
        <w:rPr>
          <w:sz w:val="27"/>
          <w:szCs w:val="27"/>
          <w:lang w:val="uk-UA"/>
        </w:rPr>
        <w:t xml:space="preserve">застосовується </w:t>
      </w:r>
      <w:r w:rsidRPr="00217327">
        <w:rPr>
          <w:sz w:val="27"/>
          <w:szCs w:val="27"/>
          <w:lang w:val="uk-UA"/>
        </w:rPr>
        <w:t xml:space="preserve">коефіцієнт </w:t>
      </w:r>
      <w:r w:rsidR="00920513" w:rsidRPr="00217327">
        <w:rPr>
          <w:sz w:val="27"/>
          <w:szCs w:val="27"/>
          <w:lang w:val="uk-UA"/>
        </w:rPr>
        <w:t xml:space="preserve">індексації у розмірі </w:t>
      </w:r>
      <w:r w:rsidRPr="00217327">
        <w:rPr>
          <w:sz w:val="27"/>
          <w:szCs w:val="27"/>
          <w:lang w:val="uk-UA"/>
        </w:rPr>
        <w:t>1,433</w:t>
      </w:r>
      <w:r w:rsidR="00413EAC" w:rsidRPr="00217327">
        <w:rPr>
          <w:sz w:val="27"/>
          <w:szCs w:val="27"/>
          <w:lang w:val="uk-UA"/>
        </w:rPr>
        <w:t>.</w:t>
      </w:r>
    </w:p>
    <w:p w:rsidR="00391F30" w:rsidRPr="00217327" w:rsidRDefault="00391F30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Обсяг податку на нерухоме майно, відмінне від земельної ділянки, склав 17</w:t>
      </w:r>
      <w:r w:rsidR="008813F4" w:rsidRPr="00217327">
        <w:rPr>
          <w:sz w:val="27"/>
          <w:szCs w:val="27"/>
          <w:lang w:val="uk-UA"/>
        </w:rPr>
        <w:t>,9</w:t>
      </w:r>
      <w:r w:rsidRPr="00217327">
        <w:rPr>
          <w:sz w:val="27"/>
          <w:szCs w:val="27"/>
          <w:lang w:val="uk-UA"/>
        </w:rPr>
        <w:t> </w:t>
      </w:r>
      <w:proofErr w:type="spellStart"/>
      <w:r w:rsidR="008813F4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 Його збільшення в порівнянні з минулорічним показником на 8</w:t>
      </w:r>
      <w:r w:rsidR="008813F4" w:rsidRPr="00217327">
        <w:rPr>
          <w:sz w:val="27"/>
          <w:szCs w:val="27"/>
          <w:lang w:val="uk-UA"/>
        </w:rPr>
        <w:t>,1</w:t>
      </w:r>
      <w:r w:rsidRPr="00217327">
        <w:rPr>
          <w:sz w:val="27"/>
          <w:szCs w:val="27"/>
          <w:lang w:val="uk-UA"/>
        </w:rPr>
        <w:t> </w:t>
      </w:r>
      <w:proofErr w:type="spellStart"/>
      <w:r w:rsidR="008813F4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 обумовлено зростанням ставок, пов’язаним з</w:t>
      </w:r>
      <w:r w:rsidR="00B031F2" w:rsidRPr="00217327">
        <w:rPr>
          <w:sz w:val="27"/>
          <w:szCs w:val="27"/>
          <w:lang w:val="uk-UA"/>
        </w:rPr>
        <w:t xml:space="preserve"> підвищ</w:t>
      </w:r>
      <w:r w:rsidRPr="00217327">
        <w:rPr>
          <w:sz w:val="27"/>
          <w:szCs w:val="27"/>
          <w:lang w:val="uk-UA"/>
        </w:rPr>
        <w:t>енням розміру мінімальної заробітної плати на 13,1 </w:t>
      </w:r>
      <w:r w:rsidR="00654F58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 xml:space="preserve">, ставок податку для об’єктів нежитлової нерухомості, що перебувають у власності юридичних осіб, в яких розташовані супермаркети і </w:t>
      </w:r>
      <w:proofErr w:type="spellStart"/>
      <w:r w:rsidRPr="00217327">
        <w:rPr>
          <w:sz w:val="27"/>
          <w:szCs w:val="27"/>
          <w:lang w:val="uk-UA"/>
        </w:rPr>
        <w:t>гіпермаркети</w:t>
      </w:r>
      <w:proofErr w:type="spellEnd"/>
      <w:r w:rsidRPr="00217327">
        <w:rPr>
          <w:sz w:val="27"/>
          <w:szCs w:val="27"/>
          <w:lang w:val="uk-UA"/>
        </w:rPr>
        <w:t xml:space="preserve">, для об’єктів, що розміщені по пр. Соборний та </w:t>
      </w:r>
      <w:r w:rsidR="00413EAC" w:rsidRPr="00217327">
        <w:rPr>
          <w:sz w:val="27"/>
          <w:szCs w:val="27"/>
          <w:lang w:val="uk-UA"/>
        </w:rPr>
        <w:t xml:space="preserve">збільшенням </w:t>
      </w:r>
      <w:r w:rsidRPr="00217327">
        <w:rPr>
          <w:sz w:val="27"/>
          <w:szCs w:val="27"/>
          <w:lang w:val="uk-UA"/>
        </w:rPr>
        <w:t xml:space="preserve">кількості платників з об’єктів нежитлової нерухомості на 112 осіб. </w:t>
      </w:r>
    </w:p>
    <w:p w:rsidR="00391F30" w:rsidRPr="00217327" w:rsidRDefault="00263E02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Надходження є</w:t>
      </w:r>
      <w:r w:rsidR="00391F30" w:rsidRPr="00217327">
        <w:rPr>
          <w:sz w:val="27"/>
          <w:szCs w:val="27"/>
          <w:lang w:val="uk-UA"/>
        </w:rPr>
        <w:t xml:space="preserve">диного податку </w:t>
      </w:r>
      <w:r w:rsidRPr="00217327">
        <w:rPr>
          <w:sz w:val="27"/>
          <w:szCs w:val="27"/>
          <w:lang w:val="uk-UA"/>
        </w:rPr>
        <w:t>в звітному періоді склали</w:t>
      </w:r>
      <w:r w:rsidR="00391F30" w:rsidRPr="00217327">
        <w:rPr>
          <w:sz w:val="27"/>
          <w:szCs w:val="27"/>
          <w:lang w:val="uk-UA"/>
        </w:rPr>
        <w:t xml:space="preserve"> 218</w:t>
      </w:r>
      <w:r w:rsidR="00953787" w:rsidRPr="00217327">
        <w:rPr>
          <w:sz w:val="27"/>
          <w:szCs w:val="27"/>
          <w:lang w:val="uk-UA"/>
        </w:rPr>
        <w:t>,4</w:t>
      </w:r>
      <w:r w:rsidR="00391F30"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>. Зростання в порівнянні з минулорічним показником на 82</w:t>
      </w:r>
      <w:r w:rsidR="00953787" w:rsidRPr="00217327">
        <w:rPr>
          <w:sz w:val="27"/>
          <w:szCs w:val="27"/>
          <w:lang w:val="uk-UA"/>
        </w:rPr>
        <w:t>,8</w:t>
      </w:r>
      <w:r w:rsidR="00391F30"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>. (на 61,1 </w:t>
      </w:r>
      <w:r w:rsidR="00953787" w:rsidRPr="00217327">
        <w:rPr>
          <w:sz w:val="27"/>
          <w:szCs w:val="27"/>
          <w:lang w:val="uk-UA"/>
        </w:rPr>
        <w:t>%</w:t>
      </w:r>
      <w:r w:rsidR="00391F30" w:rsidRPr="00217327">
        <w:rPr>
          <w:sz w:val="27"/>
          <w:szCs w:val="27"/>
          <w:lang w:val="uk-UA"/>
        </w:rPr>
        <w:t xml:space="preserve">) пояснюється збільшенням відсоткових ставок податку: у разі сплати ПДВ - з 2% до 3%, у разі включення ПДВ до складу єдиного податку -з 4% до 5% та зростанням надходжень по І, ІІ групах платників єдиного податку, для яких встановлені фіксовані ставки, у зв’язку зі зміною розміру мінімальної заробітної плати. </w:t>
      </w:r>
    </w:p>
    <w:p w:rsidR="00391F30" w:rsidRPr="00217327" w:rsidRDefault="00391F30" w:rsidP="00B8502E">
      <w:pPr>
        <w:ind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Акц</w:t>
      </w:r>
      <w:r w:rsidR="002C0105" w:rsidRPr="00217327">
        <w:rPr>
          <w:sz w:val="27"/>
          <w:szCs w:val="27"/>
          <w:lang w:val="uk-UA"/>
        </w:rPr>
        <w:t>изного податку з реалізації суб’</w:t>
      </w:r>
      <w:r w:rsidRPr="00217327">
        <w:rPr>
          <w:sz w:val="27"/>
          <w:szCs w:val="27"/>
          <w:lang w:val="uk-UA"/>
        </w:rPr>
        <w:t xml:space="preserve">єктами господарювання роздрібної торгівлі підакцизних товарів </w:t>
      </w:r>
      <w:r w:rsidR="00464DBE" w:rsidRPr="00217327">
        <w:rPr>
          <w:sz w:val="27"/>
          <w:szCs w:val="27"/>
          <w:lang w:val="uk-UA"/>
        </w:rPr>
        <w:t>отриман</w:t>
      </w:r>
      <w:r w:rsidRPr="00217327">
        <w:rPr>
          <w:sz w:val="27"/>
          <w:szCs w:val="27"/>
          <w:lang w:val="uk-UA"/>
        </w:rPr>
        <w:t>о 185</w:t>
      </w:r>
      <w:r w:rsidR="00953787" w:rsidRPr="00217327">
        <w:rPr>
          <w:sz w:val="27"/>
          <w:szCs w:val="27"/>
          <w:lang w:val="uk-UA"/>
        </w:rPr>
        <w:t>,3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 Питома вага цього податку в доходах загального фонду становить 7,3</w:t>
      </w:r>
      <w:r w:rsidRPr="00217327">
        <w:rPr>
          <w:sz w:val="27"/>
          <w:szCs w:val="27"/>
        </w:rPr>
        <w:t> </w:t>
      </w:r>
      <w:r w:rsidR="00953787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 xml:space="preserve">. </w:t>
      </w:r>
      <w:r w:rsidR="00953787" w:rsidRPr="00217327">
        <w:rPr>
          <w:sz w:val="27"/>
          <w:szCs w:val="27"/>
          <w:lang w:val="uk-UA"/>
        </w:rPr>
        <w:t xml:space="preserve">Порівняно з аналогічним періодом минулого року </w:t>
      </w:r>
      <w:r w:rsidRPr="00217327">
        <w:rPr>
          <w:sz w:val="27"/>
          <w:szCs w:val="27"/>
          <w:lang w:val="uk-UA"/>
        </w:rPr>
        <w:t>його надходжен</w:t>
      </w:r>
      <w:r w:rsidR="00953787" w:rsidRPr="00217327">
        <w:rPr>
          <w:sz w:val="27"/>
          <w:szCs w:val="27"/>
          <w:lang w:val="uk-UA"/>
        </w:rPr>
        <w:t>ня</w:t>
      </w:r>
      <w:r w:rsidRPr="00217327">
        <w:rPr>
          <w:sz w:val="27"/>
          <w:szCs w:val="27"/>
          <w:lang w:val="uk-UA"/>
        </w:rPr>
        <w:t xml:space="preserve"> </w:t>
      </w:r>
      <w:r w:rsidR="00953787" w:rsidRPr="00217327">
        <w:rPr>
          <w:sz w:val="27"/>
          <w:szCs w:val="27"/>
          <w:lang w:val="uk-UA"/>
        </w:rPr>
        <w:t>зросли</w:t>
      </w:r>
      <w:r w:rsidRPr="00217327">
        <w:rPr>
          <w:sz w:val="27"/>
          <w:szCs w:val="27"/>
          <w:lang w:val="uk-UA"/>
        </w:rPr>
        <w:t xml:space="preserve"> на </w:t>
      </w:r>
      <w:r w:rsidR="002C0105" w:rsidRPr="00217327">
        <w:rPr>
          <w:sz w:val="27"/>
          <w:szCs w:val="27"/>
          <w:lang w:val="uk-UA"/>
        </w:rPr>
        <w:t>52</w:t>
      </w:r>
      <w:r w:rsidR="00953787" w:rsidRPr="00217327">
        <w:rPr>
          <w:sz w:val="27"/>
          <w:szCs w:val="27"/>
          <w:lang w:val="uk-UA"/>
        </w:rPr>
        <w:t>,5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 xml:space="preserve">., що пояснюється в основному підвищенням вартості підакцизних товарів та зростанням курсу євро. </w:t>
      </w:r>
    </w:p>
    <w:p w:rsidR="00391F30" w:rsidRPr="00217327" w:rsidRDefault="00391F30" w:rsidP="00391F30">
      <w:pPr>
        <w:pStyle w:val="a4"/>
        <w:ind w:firstLine="708"/>
        <w:rPr>
          <w:sz w:val="27"/>
          <w:szCs w:val="27"/>
        </w:rPr>
      </w:pPr>
      <w:r w:rsidRPr="00217327">
        <w:rPr>
          <w:sz w:val="27"/>
          <w:szCs w:val="27"/>
        </w:rPr>
        <w:t>З метою наповнення доходної частини бюджету міста та ефективного використання бюджетних коштів, на депозитних банківських рахунках розміщено тимчасово вільні бюджетні кошти в сумі 724</w:t>
      </w:r>
      <w:r w:rsidR="00953787" w:rsidRPr="00217327">
        <w:rPr>
          <w:sz w:val="27"/>
          <w:szCs w:val="27"/>
        </w:rPr>
        <w:t>,0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 xml:space="preserve">. </w:t>
      </w:r>
      <w:r w:rsidR="00953787" w:rsidRPr="00217327">
        <w:rPr>
          <w:sz w:val="27"/>
          <w:szCs w:val="27"/>
        </w:rPr>
        <w:t>Бюджет міста за звітний період отримав</w:t>
      </w:r>
      <w:r w:rsidRPr="00217327">
        <w:rPr>
          <w:sz w:val="27"/>
          <w:szCs w:val="27"/>
        </w:rPr>
        <w:t xml:space="preserve"> плати</w:t>
      </w:r>
      <w:r w:rsidR="00A371D4" w:rsidRPr="00217327">
        <w:rPr>
          <w:sz w:val="27"/>
          <w:szCs w:val="27"/>
        </w:rPr>
        <w:t xml:space="preserve"> від їх розміщення </w:t>
      </w:r>
      <w:r w:rsidR="00953787" w:rsidRPr="00217327">
        <w:rPr>
          <w:sz w:val="27"/>
          <w:szCs w:val="27"/>
        </w:rPr>
        <w:t>на суму</w:t>
      </w:r>
      <w:r w:rsidR="00A371D4" w:rsidRPr="00217327">
        <w:rPr>
          <w:sz w:val="27"/>
          <w:szCs w:val="27"/>
        </w:rPr>
        <w:t xml:space="preserve"> 44</w:t>
      </w:r>
      <w:r w:rsidR="00953787" w:rsidRPr="00217327">
        <w:rPr>
          <w:sz w:val="27"/>
          <w:szCs w:val="27"/>
        </w:rPr>
        <w:t>,6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>.</w:t>
      </w:r>
    </w:p>
    <w:p w:rsidR="00340F9E" w:rsidRPr="00217327" w:rsidRDefault="00340F9E" w:rsidP="00953787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Надходження орендної плати за користування майном комунальної власності с</w:t>
      </w:r>
      <w:r w:rsidR="00953787" w:rsidRPr="00217327">
        <w:rPr>
          <w:sz w:val="27"/>
          <w:szCs w:val="27"/>
          <w:lang w:val="uk-UA"/>
        </w:rPr>
        <w:t>клали</w:t>
      </w:r>
      <w:r w:rsidRPr="00217327">
        <w:rPr>
          <w:sz w:val="27"/>
          <w:szCs w:val="27"/>
          <w:lang w:val="uk-UA"/>
        </w:rPr>
        <w:t xml:space="preserve"> 15</w:t>
      </w:r>
      <w:r w:rsidR="00953787" w:rsidRPr="00217327">
        <w:rPr>
          <w:sz w:val="27"/>
          <w:szCs w:val="27"/>
          <w:lang w:val="uk-UA"/>
        </w:rPr>
        <w:t>,5</w:t>
      </w:r>
      <w:r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 xml:space="preserve">., її обсяг зріс на </w:t>
      </w:r>
      <w:r w:rsidR="00953787" w:rsidRPr="00217327">
        <w:rPr>
          <w:sz w:val="27"/>
          <w:szCs w:val="27"/>
          <w:lang w:val="uk-UA"/>
        </w:rPr>
        <w:t>0,8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 (на 5,4</w:t>
      </w:r>
      <w:r w:rsidRPr="00217327">
        <w:rPr>
          <w:sz w:val="27"/>
          <w:szCs w:val="27"/>
        </w:rPr>
        <w:t> </w:t>
      </w:r>
      <w:r w:rsidR="00953787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>). Зазначене пов’язане із погашенням боргів минулих років на загальну суму 2</w:t>
      </w:r>
      <w:r w:rsidR="00953787" w:rsidRPr="00217327">
        <w:rPr>
          <w:sz w:val="27"/>
          <w:szCs w:val="27"/>
          <w:lang w:val="uk-UA"/>
        </w:rPr>
        <w:t>,6</w:t>
      </w:r>
      <w:r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 xml:space="preserve">., в тому числі за результатами проведення претензійно - позовної роботи – </w:t>
      </w:r>
      <w:r w:rsidR="00565559" w:rsidRPr="00217327">
        <w:rPr>
          <w:sz w:val="27"/>
          <w:szCs w:val="27"/>
          <w:lang w:val="uk-UA"/>
        </w:rPr>
        <w:t xml:space="preserve">на </w:t>
      </w:r>
      <w:r w:rsidR="00953787" w:rsidRPr="00217327">
        <w:rPr>
          <w:sz w:val="27"/>
          <w:szCs w:val="27"/>
          <w:lang w:val="uk-UA"/>
        </w:rPr>
        <w:t>0,8</w:t>
      </w:r>
      <w:r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млн.грн</w:t>
      </w:r>
      <w:proofErr w:type="spellEnd"/>
      <w:r w:rsidR="00953787" w:rsidRPr="00217327">
        <w:rPr>
          <w:sz w:val="27"/>
          <w:szCs w:val="27"/>
          <w:lang w:val="uk-UA"/>
        </w:rPr>
        <w:t>.</w:t>
      </w:r>
    </w:p>
    <w:p w:rsidR="00340F9E" w:rsidRPr="00217327" w:rsidRDefault="00464DBE" w:rsidP="00340F9E">
      <w:pPr>
        <w:pStyle w:val="a4"/>
        <w:ind w:firstLine="708"/>
        <w:rPr>
          <w:sz w:val="27"/>
          <w:szCs w:val="27"/>
        </w:rPr>
      </w:pPr>
      <w:r w:rsidRPr="00217327">
        <w:rPr>
          <w:sz w:val="27"/>
          <w:szCs w:val="27"/>
        </w:rPr>
        <w:t>Обсяг п</w:t>
      </w:r>
      <w:r w:rsidR="00340F9E" w:rsidRPr="00217327">
        <w:rPr>
          <w:sz w:val="27"/>
          <w:szCs w:val="27"/>
        </w:rPr>
        <w:t xml:space="preserve">лати за надання інших адміністративних послуг </w:t>
      </w:r>
      <w:r w:rsidRPr="00217327">
        <w:rPr>
          <w:sz w:val="27"/>
          <w:szCs w:val="27"/>
        </w:rPr>
        <w:t>склав</w:t>
      </w:r>
      <w:r w:rsidR="00340F9E" w:rsidRPr="00217327">
        <w:rPr>
          <w:sz w:val="27"/>
          <w:szCs w:val="27"/>
        </w:rPr>
        <w:t xml:space="preserve"> 11</w:t>
      </w:r>
      <w:r w:rsidR="00953787" w:rsidRPr="00217327">
        <w:rPr>
          <w:sz w:val="27"/>
          <w:szCs w:val="27"/>
        </w:rPr>
        <w:t>,8</w:t>
      </w:r>
      <w:r w:rsidR="00340F9E"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="00340F9E" w:rsidRPr="00217327">
        <w:rPr>
          <w:sz w:val="27"/>
          <w:szCs w:val="27"/>
        </w:rPr>
        <w:t>.грн</w:t>
      </w:r>
      <w:proofErr w:type="spellEnd"/>
      <w:r w:rsidR="00340F9E" w:rsidRPr="00217327">
        <w:rPr>
          <w:sz w:val="27"/>
          <w:szCs w:val="27"/>
        </w:rPr>
        <w:t xml:space="preserve">., що на </w:t>
      </w:r>
      <w:r w:rsidR="00953787" w:rsidRPr="00217327">
        <w:rPr>
          <w:sz w:val="27"/>
          <w:szCs w:val="27"/>
        </w:rPr>
        <w:t>0,1</w:t>
      </w:r>
      <w:r w:rsidR="00340F9E"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="00340F9E" w:rsidRPr="00217327">
        <w:rPr>
          <w:sz w:val="27"/>
          <w:szCs w:val="27"/>
        </w:rPr>
        <w:t>.грн</w:t>
      </w:r>
      <w:proofErr w:type="spellEnd"/>
      <w:r w:rsidR="00340F9E" w:rsidRPr="00217327">
        <w:rPr>
          <w:sz w:val="27"/>
          <w:szCs w:val="27"/>
        </w:rPr>
        <w:t xml:space="preserve">. менше плану. Невиконання пов’язане зі зменшенням обсягу надання платних адміністративних послуг з оформлення та видачі паспортів громадянина України для виїзду за кордон підрозділами Державної міграційної служби. </w:t>
      </w:r>
    </w:p>
    <w:p w:rsidR="00391F30" w:rsidRPr="00217327" w:rsidRDefault="00391F30" w:rsidP="00340F9E">
      <w:pPr>
        <w:pStyle w:val="a4"/>
        <w:ind w:firstLine="708"/>
        <w:rPr>
          <w:sz w:val="27"/>
          <w:szCs w:val="27"/>
        </w:rPr>
      </w:pPr>
      <w:r w:rsidRPr="00217327">
        <w:rPr>
          <w:sz w:val="27"/>
          <w:szCs w:val="27"/>
        </w:rPr>
        <w:t xml:space="preserve">Крім того, до бюджету надійшло </w:t>
      </w:r>
      <w:r w:rsidR="00C80D66" w:rsidRPr="00217327">
        <w:rPr>
          <w:sz w:val="27"/>
          <w:szCs w:val="27"/>
        </w:rPr>
        <w:t>податку на прибуток підприємств комунальної власності в сумі 13</w:t>
      </w:r>
      <w:r w:rsidR="00953787" w:rsidRPr="00217327">
        <w:rPr>
          <w:sz w:val="27"/>
          <w:szCs w:val="27"/>
        </w:rPr>
        <w:t>,5</w:t>
      </w:r>
      <w:r w:rsidR="00C80D66"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="00C80D66" w:rsidRPr="00217327">
        <w:rPr>
          <w:sz w:val="27"/>
          <w:szCs w:val="27"/>
        </w:rPr>
        <w:t>.грн</w:t>
      </w:r>
      <w:proofErr w:type="spellEnd"/>
      <w:r w:rsidR="00C80D66" w:rsidRPr="00217327">
        <w:rPr>
          <w:sz w:val="27"/>
          <w:szCs w:val="27"/>
        </w:rPr>
        <w:t xml:space="preserve">., </w:t>
      </w:r>
      <w:r w:rsidRPr="00217327">
        <w:rPr>
          <w:sz w:val="27"/>
          <w:szCs w:val="27"/>
        </w:rPr>
        <w:t>частини чистого прибутку, що вилучається до бюджету</w:t>
      </w:r>
      <w:r w:rsidR="00C80D66" w:rsidRPr="00217327">
        <w:rPr>
          <w:sz w:val="27"/>
          <w:szCs w:val="27"/>
        </w:rPr>
        <w:t xml:space="preserve"> </w:t>
      </w:r>
      <w:r w:rsidR="00506441" w:rsidRPr="00217327">
        <w:rPr>
          <w:sz w:val="27"/>
          <w:szCs w:val="27"/>
        </w:rPr>
        <w:t xml:space="preserve">– </w:t>
      </w:r>
      <w:r w:rsidRPr="00217327">
        <w:rPr>
          <w:sz w:val="27"/>
          <w:szCs w:val="27"/>
        </w:rPr>
        <w:t>7</w:t>
      </w:r>
      <w:r w:rsidR="00953787" w:rsidRPr="00217327">
        <w:rPr>
          <w:sz w:val="27"/>
          <w:szCs w:val="27"/>
        </w:rPr>
        <w:t>,4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 xml:space="preserve">., державного мита – </w:t>
      </w:r>
      <w:r w:rsidR="00506441" w:rsidRPr="00217327">
        <w:rPr>
          <w:sz w:val="27"/>
          <w:szCs w:val="27"/>
        </w:rPr>
        <w:t>7</w:t>
      </w:r>
      <w:r w:rsidR="00953787" w:rsidRPr="00217327">
        <w:rPr>
          <w:sz w:val="27"/>
          <w:szCs w:val="27"/>
        </w:rPr>
        <w:t>,5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 xml:space="preserve">., адміністративного збору за проведення державної реєстрації юридичних осіб, фізичних осіб – підприємств та громадських формувань – </w:t>
      </w:r>
      <w:r w:rsidR="00953787" w:rsidRPr="00217327">
        <w:rPr>
          <w:sz w:val="27"/>
          <w:szCs w:val="27"/>
        </w:rPr>
        <w:t>0,9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 xml:space="preserve">., адміністративного збору за державну реєстрацію речових прав на нерухоме майно та їх обтяжень – </w:t>
      </w:r>
      <w:r w:rsidR="00953787" w:rsidRPr="00217327">
        <w:rPr>
          <w:sz w:val="27"/>
          <w:szCs w:val="27"/>
        </w:rPr>
        <w:t>0,7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="00506441" w:rsidRPr="00217327">
        <w:rPr>
          <w:sz w:val="27"/>
          <w:szCs w:val="27"/>
        </w:rPr>
        <w:t>.грн</w:t>
      </w:r>
      <w:proofErr w:type="spellEnd"/>
      <w:r w:rsidR="00506441" w:rsidRPr="00217327">
        <w:rPr>
          <w:sz w:val="27"/>
          <w:szCs w:val="27"/>
        </w:rPr>
        <w:t xml:space="preserve">. та </w:t>
      </w:r>
      <w:r w:rsidRPr="00217327">
        <w:rPr>
          <w:sz w:val="27"/>
          <w:szCs w:val="27"/>
        </w:rPr>
        <w:t>інших податків</w:t>
      </w:r>
      <w:r w:rsidR="00506441" w:rsidRPr="00217327">
        <w:rPr>
          <w:sz w:val="27"/>
          <w:szCs w:val="27"/>
        </w:rPr>
        <w:t xml:space="preserve"> і</w:t>
      </w:r>
      <w:r w:rsidRPr="00217327">
        <w:rPr>
          <w:sz w:val="27"/>
          <w:szCs w:val="27"/>
        </w:rPr>
        <w:t xml:space="preserve"> зборів на загальну суму </w:t>
      </w:r>
      <w:r w:rsidR="00496D89" w:rsidRPr="00217327">
        <w:rPr>
          <w:sz w:val="27"/>
          <w:szCs w:val="27"/>
        </w:rPr>
        <w:t>2</w:t>
      </w:r>
      <w:r w:rsidR="00953787" w:rsidRPr="00217327">
        <w:rPr>
          <w:sz w:val="27"/>
          <w:szCs w:val="27"/>
        </w:rPr>
        <w:t>,4</w:t>
      </w:r>
      <w:r w:rsidRPr="00217327">
        <w:rPr>
          <w:sz w:val="27"/>
          <w:szCs w:val="27"/>
        </w:rPr>
        <w:t> </w:t>
      </w:r>
      <w:proofErr w:type="spellStart"/>
      <w:r w:rsidR="00953787" w:rsidRPr="00217327">
        <w:rPr>
          <w:sz w:val="27"/>
          <w:szCs w:val="27"/>
        </w:rPr>
        <w:t>млн</w:t>
      </w:r>
      <w:r w:rsidRPr="00217327">
        <w:rPr>
          <w:sz w:val="27"/>
          <w:szCs w:val="27"/>
        </w:rPr>
        <w:t>.грн</w:t>
      </w:r>
      <w:proofErr w:type="spellEnd"/>
      <w:r w:rsidRPr="00217327">
        <w:rPr>
          <w:sz w:val="27"/>
          <w:szCs w:val="27"/>
        </w:rPr>
        <w:t>.</w:t>
      </w:r>
    </w:p>
    <w:p w:rsidR="007D0073" w:rsidRPr="00217327" w:rsidRDefault="00391F30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lastRenderedPageBreak/>
        <w:t xml:space="preserve">У порівнянні з минулорічним показником </w:t>
      </w:r>
      <w:r w:rsidR="008C24EB" w:rsidRPr="00217327">
        <w:rPr>
          <w:sz w:val="27"/>
          <w:szCs w:val="27"/>
          <w:lang w:val="uk-UA"/>
        </w:rPr>
        <w:t>доход</w:t>
      </w:r>
      <w:r w:rsidR="00496D89" w:rsidRPr="00217327">
        <w:rPr>
          <w:sz w:val="27"/>
          <w:szCs w:val="27"/>
          <w:lang w:val="uk-UA"/>
        </w:rPr>
        <w:t xml:space="preserve">и </w:t>
      </w:r>
      <w:r w:rsidR="00953787" w:rsidRPr="00217327">
        <w:rPr>
          <w:sz w:val="27"/>
          <w:szCs w:val="27"/>
          <w:lang w:val="uk-UA"/>
        </w:rPr>
        <w:t xml:space="preserve">спеціального фонду бюджету міста </w:t>
      </w:r>
      <w:r w:rsidRPr="00217327">
        <w:rPr>
          <w:sz w:val="27"/>
          <w:szCs w:val="27"/>
          <w:lang w:val="uk-UA"/>
        </w:rPr>
        <w:t>зросли на 24</w:t>
      </w:r>
      <w:r w:rsidR="00953787" w:rsidRPr="00217327">
        <w:rPr>
          <w:sz w:val="27"/>
          <w:szCs w:val="27"/>
          <w:lang w:val="uk-UA"/>
        </w:rPr>
        <w:t>,9</w:t>
      </w:r>
      <w:r w:rsidRPr="00217327">
        <w:rPr>
          <w:sz w:val="27"/>
          <w:szCs w:val="27"/>
          <w:lang w:val="uk-UA"/>
        </w:rPr>
        <w:t> </w:t>
      </w:r>
      <w:proofErr w:type="spellStart"/>
      <w:r w:rsidR="00953787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</w:t>
      </w:r>
      <w:r w:rsidR="007D0073" w:rsidRPr="00217327">
        <w:rPr>
          <w:sz w:val="27"/>
          <w:szCs w:val="27"/>
          <w:lang w:val="uk-UA"/>
        </w:rPr>
        <w:t xml:space="preserve"> переважно за рахунок збільшення власних надходжень бюджетних установ.</w:t>
      </w:r>
    </w:p>
    <w:p w:rsidR="008C24EB" w:rsidRPr="00217327" w:rsidRDefault="00464DBE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Поряд з цим відбулось значне зменшення надходжень д</w:t>
      </w:r>
      <w:r w:rsidR="00496D89" w:rsidRPr="00217327">
        <w:rPr>
          <w:sz w:val="27"/>
          <w:szCs w:val="27"/>
          <w:lang w:val="uk-UA"/>
        </w:rPr>
        <w:t>оходів бюджету розвитку</w:t>
      </w:r>
      <w:r w:rsidRPr="00217327">
        <w:rPr>
          <w:sz w:val="27"/>
          <w:szCs w:val="27"/>
          <w:lang w:val="uk-UA"/>
        </w:rPr>
        <w:t>, а саме на 26</w:t>
      </w:r>
      <w:r w:rsidR="007D0073" w:rsidRPr="00217327">
        <w:rPr>
          <w:sz w:val="27"/>
          <w:szCs w:val="27"/>
          <w:lang w:val="uk-UA"/>
        </w:rPr>
        <w:t>,4</w:t>
      </w:r>
      <w:r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млн.грн</w:t>
      </w:r>
      <w:proofErr w:type="spellEnd"/>
      <w:r w:rsidRPr="00217327">
        <w:rPr>
          <w:sz w:val="27"/>
          <w:szCs w:val="27"/>
          <w:lang w:val="uk-UA"/>
        </w:rPr>
        <w:t>. або на 72,7 </w:t>
      </w:r>
      <w:r w:rsidR="007D0073" w:rsidRPr="00217327">
        <w:rPr>
          <w:sz w:val="27"/>
          <w:szCs w:val="27"/>
          <w:lang w:val="uk-UA"/>
        </w:rPr>
        <w:t>%</w:t>
      </w:r>
      <w:r w:rsidRPr="00217327">
        <w:rPr>
          <w:sz w:val="27"/>
          <w:szCs w:val="27"/>
          <w:lang w:val="uk-UA"/>
        </w:rPr>
        <w:t>. Його обсяг скла</w:t>
      </w:r>
      <w:r w:rsidR="007D0073" w:rsidRPr="00217327">
        <w:rPr>
          <w:sz w:val="27"/>
          <w:szCs w:val="27"/>
          <w:lang w:val="uk-UA"/>
        </w:rPr>
        <w:t>в</w:t>
      </w:r>
      <w:r w:rsidRPr="00217327">
        <w:rPr>
          <w:sz w:val="27"/>
          <w:szCs w:val="27"/>
          <w:lang w:val="uk-UA"/>
        </w:rPr>
        <w:t xml:space="preserve"> 9</w:t>
      </w:r>
      <w:r w:rsidR="007D0073" w:rsidRPr="00217327">
        <w:rPr>
          <w:sz w:val="27"/>
          <w:szCs w:val="27"/>
          <w:lang w:val="uk-UA"/>
        </w:rPr>
        <w:t>,9</w:t>
      </w:r>
      <w:r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Pr="00217327">
        <w:rPr>
          <w:sz w:val="27"/>
          <w:szCs w:val="27"/>
          <w:lang w:val="uk-UA"/>
        </w:rPr>
        <w:t>.грн</w:t>
      </w:r>
      <w:proofErr w:type="spellEnd"/>
      <w:r w:rsidRPr="00217327">
        <w:rPr>
          <w:sz w:val="27"/>
          <w:szCs w:val="27"/>
          <w:lang w:val="uk-UA"/>
        </w:rPr>
        <w:t>., в тому числі в</w:t>
      </w:r>
      <w:r w:rsidR="008C24EB" w:rsidRPr="00217327">
        <w:rPr>
          <w:sz w:val="27"/>
          <w:szCs w:val="27"/>
          <w:lang w:val="uk-UA"/>
        </w:rPr>
        <w:t xml:space="preserve"> розрізі основних складових джерел: </w:t>
      </w:r>
    </w:p>
    <w:p w:rsidR="00393789" w:rsidRPr="00217327" w:rsidRDefault="005F3723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- </w:t>
      </w:r>
      <w:r w:rsidR="00393789" w:rsidRPr="00217327">
        <w:rPr>
          <w:sz w:val="27"/>
          <w:szCs w:val="27"/>
          <w:lang w:val="uk-UA"/>
        </w:rPr>
        <w:t xml:space="preserve">надходження </w:t>
      </w:r>
      <w:r w:rsidR="008C24EB" w:rsidRPr="00217327">
        <w:rPr>
          <w:sz w:val="27"/>
          <w:szCs w:val="27"/>
          <w:lang w:val="uk-UA"/>
        </w:rPr>
        <w:t>кошт</w:t>
      </w:r>
      <w:r w:rsidR="00393789" w:rsidRPr="00217327">
        <w:rPr>
          <w:sz w:val="27"/>
          <w:szCs w:val="27"/>
          <w:lang w:val="uk-UA"/>
        </w:rPr>
        <w:t>ів</w:t>
      </w:r>
      <w:r w:rsidR="008C24EB" w:rsidRPr="00217327">
        <w:rPr>
          <w:sz w:val="27"/>
          <w:szCs w:val="27"/>
          <w:lang w:val="uk-UA"/>
        </w:rPr>
        <w:t xml:space="preserve"> пайової участі у розвитку інфраструктури міста </w:t>
      </w:r>
      <w:r w:rsidR="00464DBE" w:rsidRPr="00217327">
        <w:rPr>
          <w:sz w:val="27"/>
          <w:szCs w:val="27"/>
          <w:lang w:val="uk-UA"/>
        </w:rPr>
        <w:t>– 5</w:t>
      </w:r>
      <w:r w:rsidR="007D0073" w:rsidRPr="00217327">
        <w:rPr>
          <w:sz w:val="27"/>
          <w:szCs w:val="27"/>
          <w:lang w:val="uk-UA"/>
        </w:rPr>
        <w:t>,9</w:t>
      </w:r>
      <w:r w:rsidR="00464DBE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464DBE" w:rsidRPr="00217327">
        <w:rPr>
          <w:sz w:val="27"/>
          <w:szCs w:val="27"/>
          <w:lang w:val="uk-UA"/>
        </w:rPr>
        <w:t>.грн</w:t>
      </w:r>
      <w:proofErr w:type="spellEnd"/>
      <w:r w:rsidR="00464DBE" w:rsidRPr="00217327">
        <w:rPr>
          <w:sz w:val="27"/>
          <w:szCs w:val="27"/>
          <w:lang w:val="uk-UA"/>
        </w:rPr>
        <w:t>. (</w:t>
      </w:r>
      <w:r w:rsidR="00393789" w:rsidRPr="00217327">
        <w:rPr>
          <w:sz w:val="27"/>
          <w:szCs w:val="27"/>
          <w:lang w:val="uk-UA"/>
        </w:rPr>
        <w:t>зменшення на 2</w:t>
      </w:r>
      <w:r w:rsidR="007D0073" w:rsidRPr="00217327">
        <w:rPr>
          <w:sz w:val="27"/>
          <w:szCs w:val="27"/>
          <w:lang w:val="uk-UA"/>
        </w:rPr>
        <w:t>,2</w:t>
      </w:r>
      <w:r w:rsidR="00393789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393789" w:rsidRPr="00217327">
        <w:rPr>
          <w:sz w:val="27"/>
          <w:szCs w:val="27"/>
          <w:lang w:val="uk-UA"/>
        </w:rPr>
        <w:t>.грн</w:t>
      </w:r>
      <w:proofErr w:type="spellEnd"/>
      <w:r w:rsidR="00393789" w:rsidRPr="00217327">
        <w:rPr>
          <w:sz w:val="27"/>
          <w:szCs w:val="27"/>
          <w:lang w:val="uk-UA"/>
        </w:rPr>
        <w:t xml:space="preserve">. </w:t>
      </w:r>
      <w:r w:rsidR="00391F30" w:rsidRPr="00217327">
        <w:rPr>
          <w:sz w:val="27"/>
          <w:szCs w:val="27"/>
          <w:lang w:val="uk-UA"/>
        </w:rPr>
        <w:t>пов’язане з внесен</w:t>
      </w:r>
      <w:r w:rsidR="00393789" w:rsidRPr="00217327">
        <w:rPr>
          <w:sz w:val="27"/>
          <w:szCs w:val="27"/>
          <w:lang w:val="uk-UA"/>
        </w:rPr>
        <w:t>ням</w:t>
      </w:r>
      <w:r w:rsidR="00391F30" w:rsidRPr="00217327">
        <w:rPr>
          <w:sz w:val="27"/>
          <w:szCs w:val="27"/>
          <w:lang w:val="uk-UA"/>
        </w:rPr>
        <w:t xml:space="preserve"> суттєв</w:t>
      </w:r>
      <w:r w:rsidR="00393789" w:rsidRPr="00217327">
        <w:rPr>
          <w:sz w:val="27"/>
          <w:szCs w:val="27"/>
          <w:lang w:val="uk-UA"/>
        </w:rPr>
        <w:t>их</w:t>
      </w:r>
      <w:r w:rsidR="00391F30" w:rsidRPr="00217327">
        <w:rPr>
          <w:sz w:val="27"/>
          <w:szCs w:val="27"/>
          <w:lang w:val="uk-UA"/>
        </w:rPr>
        <w:t xml:space="preserve"> змін до </w:t>
      </w:r>
      <w:r w:rsidR="00FE4D91" w:rsidRPr="00217327">
        <w:rPr>
          <w:sz w:val="27"/>
          <w:szCs w:val="27"/>
          <w:lang w:val="uk-UA"/>
        </w:rPr>
        <w:t>п</w:t>
      </w:r>
      <w:r w:rsidR="00391F30" w:rsidRPr="00217327">
        <w:rPr>
          <w:sz w:val="27"/>
          <w:szCs w:val="27"/>
          <w:lang w:val="uk-UA"/>
        </w:rPr>
        <w:t>орядку залучення, розрахунку розміру і використання коштів пайової участі</w:t>
      </w:r>
      <w:r w:rsidR="00393789" w:rsidRPr="00217327">
        <w:rPr>
          <w:sz w:val="27"/>
          <w:szCs w:val="27"/>
          <w:lang w:val="uk-UA"/>
        </w:rPr>
        <w:t>, зокрема, зі з</w:t>
      </w:r>
      <w:r w:rsidR="00CE216B" w:rsidRPr="00217327">
        <w:rPr>
          <w:sz w:val="27"/>
          <w:szCs w:val="27"/>
          <w:lang w:val="uk-UA"/>
        </w:rPr>
        <w:t>ниж</w:t>
      </w:r>
      <w:r w:rsidR="00393789" w:rsidRPr="00217327">
        <w:rPr>
          <w:sz w:val="27"/>
          <w:szCs w:val="27"/>
          <w:lang w:val="uk-UA"/>
        </w:rPr>
        <w:t>енням її розмірів для житлових будинків з 4% загальної кошторисної вартості будівництва до 1% та для нежитлових будинків і споруд – з 10% до 1%);</w:t>
      </w:r>
    </w:p>
    <w:p w:rsidR="00393789" w:rsidRPr="00217327" w:rsidRDefault="005F3723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- </w:t>
      </w:r>
      <w:r w:rsidR="00393789" w:rsidRPr="00217327">
        <w:rPr>
          <w:sz w:val="27"/>
          <w:szCs w:val="27"/>
          <w:lang w:val="uk-UA"/>
        </w:rPr>
        <w:t xml:space="preserve">обсяг </w:t>
      </w:r>
      <w:r w:rsidR="00391F30" w:rsidRPr="00217327">
        <w:rPr>
          <w:sz w:val="27"/>
          <w:szCs w:val="27"/>
          <w:lang w:val="uk-UA"/>
        </w:rPr>
        <w:t xml:space="preserve">коштів від відчуження комунального майна </w:t>
      </w:r>
      <w:r w:rsidR="00393789" w:rsidRPr="00217327">
        <w:rPr>
          <w:sz w:val="27"/>
          <w:szCs w:val="27"/>
          <w:lang w:val="uk-UA"/>
        </w:rPr>
        <w:t>– 1</w:t>
      </w:r>
      <w:r w:rsidR="007D0073" w:rsidRPr="00217327">
        <w:rPr>
          <w:sz w:val="27"/>
          <w:szCs w:val="27"/>
          <w:lang w:val="uk-UA"/>
        </w:rPr>
        <w:t>,2</w:t>
      </w:r>
      <w:r w:rsidR="00393789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393789" w:rsidRPr="00217327">
        <w:rPr>
          <w:sz w:val="27"/>
          <w:szCs w:val="27"/>
          <w:lang w:val="uk-UA"/>
        </w:rPr>
        <w:t>.грн</w:t>
      </w:r>
      <w:proofErr w:type="spellEnd"/>
      <w:r w:rsidR="00393789" w:rsidRPr="00217327">
        <w:rPr>
          <w:sz w:val="27"/>
          <w:szCs w:val="27"/>
          <w:lang w:val="uk-UA"/>
        </w:rPr>
        <w:t>. (</w:t>
      </w:r>
      <w:r w:rsidR="00FE4D91" w:rsidRPr="00217327">
        <w:rPr>
          <w:sz w:val="27"/>
          <w:szCs w:val="27"/>
          <w:lang w:val="uk-UA"/>
        </w:rPr>
        <w:t xml:space="preserve">менше </w:t>
      </w:r>
      <w:r w:rsidR="00391F30" w:rsidRPr="00217327">
        <w:rPr>
          <w:sz w:val="27"/>
          <w:szCs w:val="27"/>
          <w:lang w:val="uk-UA"/>
        </w:rPr>
        <w:t xml:space="preserve">на </w:t>
      </w:r>
      <w:r w:rsidR="00FE4D91" w:rsidRPr="00217327">
        <w:rPr>
          <w:sz w:val="27"/>
          <w:szCs w:val="27"/>
          <w:lang w:val="uk-UA"/>
        </w:rPr>
        <w:t>2</w:t>
      </w:r>
      <w:r w:rsidR="007D0073" w:rsidRPr="00217327">
        <w:rPr>
          <w:sz w:val="27"/>
          <w:szCs w:val="27"/>
          <w:lang w:val="uk-UA"/>
        </w:rPr>
        <w:t>,7</w:t>
      </w:r>
      <w:r w:rsidR="00FE4D91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 xml:space="preserve">. за рахунок зменшення доходів, отриманих від приватизації об’єктів права комунальної власності </w:t>
      </w:r>
      <w:r w:rsidR="00393789" w:rsidRPr="00217327">
        <w:rPr>
          <w:sz w:val="27"/>
          <w:szCs w:val="27"/>
          <w:lang w:val="uk-UA"/>
        </w:rPr>
        <w:t>у зв’язку із падінням рівня платоспроможності покупців</w:t>
      </w:r>
      <w:r w:rsidR="00FE4D91" w:rsidRPr="00217327">
        <w:rPr>
          <w:sz w:val="27"/>
          <w:szCs w:val="27"/>
          <w:lang w:val="uk-UA"/>
        </w:rPr>
        <w:t>);</w:t>
      </w:r>
      <w:r w:rsidR="00393789" w:rsidRPr="00217327">
        <w:rPr>
          <w:sz w:val="27"/>
          <w:szCs w:val="27"/>
          <w:lang w:val="uk-UA"/>
        </w:rPr>
        <w:t xml:space="preserve"> </w:t>
      </w:r>
    </w:p>
    <w:p w:rsidR="00391F30" w:rsidRPr="00217327" w:rsidRDefault="005F3723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7327">
        <w:rPr>
          <w:sz w:val="27"/>
          <w:szCs w:val="27"/>
          <w:lang w:val="uk-UA"/>
        </w:rPr>
        <w:t>- </w:t>
      </w:r>
      <w:r w:rsidR="00391F30" w:rsidRPr="00217327">
        <w:rPr>
          <w:sz w:val="27"/>
          <w:szCs w:val="27"/>
          <w:lang w:val="uk-UA"/>
        </w:rPr>
        <w:t>кошт</w:t>
      </w:r>
      <w:r w:rsidR="00565559" w:rsidRPr="00217327">
        <w:rPr>
          <w:sz w:val="27"/>
          <w:szCs w:val="27"/>
          <w:lang w:val="uk-UA"/>
        </w:rPr>
        <w:t>и</w:t>
      </w:r>
      <w:r w:rsidR="00391F30" w:rsidRPr="00217327">
        <w:rPr>
          <w:sz w:val="27"/>
          <w:szCs w:val="27"/>
          <w:lang w:val="uk-UA"/>
        </w:rPr>
        <w:t xml:space="preserve"> від продажу землі – </w:t>
      </w:r>
      <w:r w:rsidR="00FE4D91" w:rsidRPr="00217327">
        <w:rPr>
          <w:sz w:val="27"/>
          <w:szCs w:val="27"/>
          <w:lang w:val="uk-UA"/>
        </w:rPr>
        <w:t>2</w:t>
      </w:r>
      <w:r w:rsidR="007D0073" w:rsidRPr="00217327">
        <w:rPr>
          <w:sz w:val="27"/>
          <w:szCs w:val="27"/>
          <w:lang w:val="uk-UA"/>
        </w:rPr>
        <w:t>,7</w:t>
      </w:r>
      <w:r w:rsidR="00391F30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391F30" w:rsidRPr="00217327">
        <w:rPr>
          <w:sz w:val="27"/>
          <w:szCs w:val="27"/>
          <w:lang w:val="uk-UA"/>
        </w:rPr>
        <w:t>.грн</w:t>
      </w:r>
      <w:proofErr w:type="spellEnd"/>
      <w:r w:rsidR="00391F30" w:rsidRPr="00217327">
        <w:rPr>
          <w:sz w:val="27"/>
          <w:szCs w:val="27"/>
          <w:lang w:val="uk-UA"/>
        </w:rPr>
        <w:t>. (</w:t>
      </w:r>
      <w:r w:rsidR="00FE4D91" w:rsidRPr="00217327">
        <w:rPr>
          <w:sz w:val="27"/>
          <w:szCs w:val="27"/>
          <w:lang w:val="uk-UA"/>
        </w:rPr>
        <w:t>зменшення на 21</w:t>
      </w:r>
      <w:r w:rsidR="007D0073" w:rsidRPr="00217327">
        <w:rPr>
          <w:sz w:val="27"/>
          <w:szCs w:val="27"/>
          <w:lang w:val="uk-UA"/>
        </w:rPr>
        <w:t>,6</w:t>
      </w:r>
      <w:r w:rsidR="00FE4D91" w:rsidRPr="00217327">
        <w:rPr>
          <w:sz w:val="27"/>
          <w:szCs w:val="27"/>
          <w:lang w:val="uk-UA"/>
        </w:rPr>
        <w:t> </w:t>
      </w:r>
      <w:proofErr w:type="spellStart"/>
      <w:r w:rsidR="007D0073" w:rsidRPr="00217327">
        <w:rPr>
          <w:sz w:val="27"/>
          <w:szCs w:val="27"/>
          <w:lang w:val="uk-UA"/>
        </w:rPr>
        <w:t>млн</w:t>
      </w:r>
      <w:r w:rsidR="00FE4D91" w:rsidRPr="00217327">
        <w:rPr>
          <w:sz w:val="27"/>
          <w:szCs w:val="27"/>
          <w:lang w:val="uk-UA"/>
        </w:rPr>
        <w:t>.грн</w:t>
      </w:r>
      <w:proofErr w:type="spellEnd"/>
      <w:r w:rsidR="00FE4D91" w:rsidRPr="00217327">
        <w:rPr>
          <w:sz w:val="27"/>
          <w:szCs w:val="27"/>
          <w:lang w:val="uk-UA"/>
        </w:rPr>
        <w:t xml:space="preserve">. </w:t>
      </w:r>
      <w:r w:rsidR="00391F30" w:rsidRPr="00217327">
        <w:rPr>
          <w:sz w:val="27"/>
          <w:szCs w:val="27"/>
          <w:lang w:val="uk-UA"/>
        </w:rPr>
        <w:t>у зв’язку зі з</w:t>
      </w:r>
      <w:r w:rsidR="00FE4D91" w:rsidRPr="00217327">
        <w:rPr>
          <w:sz w:val="27"/>
          <w:szCs w:val="27"/>
          <w:lang w:val="uk-UA"/>
        </w:rPr>
        <w:t>ниже</w:t>
      </w:r>
      <w:r w:rsidR="00391F30" w:rsidRPr="00217327">
        <w:rPr>
          <w:sz w:val="27"/>
          <w:szCs w:val="27"/>
          <w:lang w:val="uk-UA"/>
        </w:rPr>
        <w:t>нням купівельної спроможності покупців та попиту на придбання земельних ділянок).</w:t>
      </w:r>
    </w:p>
    <w:p w:rsidR="007D0073" w:rsidRDefault="007D0073" w:rsidP="00D5486C">
      <w:pPr>
        <w:ind w:firstLine="720"/>
        <w:jc w:val="both"/>
        <w:rPr>
          <w:rFonts w:eastAsia="Calibri"/>
          <w:sz w:val="28"/>
          <w:szCs w:val="28"/>
          <w:lang w:val="uk-UA"/>
        </w:rPr>
      </w:pPr>
    </w:p>
    <w:p w:rsidR="00D5486C" w:rsidRPr="00217327" w:rsidRDefault="00D5486C" w:rsidP="00D5486C">
      <w:pPr>
        <w:ind w:firstLine="720"/>
        <w:jc w:val="both"/>
        <w:rPr>
          <w:rFonts w:eastAsia="Calibri"/>
          <w:sz w:val="27"/>
          <w:szCs w:val="27"/>
          <w:lang w:val="uk-UA"/>
        </w:rPr>
      </w:pPr>
      <w:r w:rsidRPr="00217327">
        <w:rPr>
          <w:rFonts w:eastAsia="Calibri"/>
          <w:sz w:val="27"/>
          <w:szCs w:val="27"/>
          <w:lang w:val="uk-UA"/>
        </w:rPr>
        <w:t xml:space="preserve">Видатки бюджету міста проведено в обсязі 3 784,0 </w:t>
      </w:r>
      <w:proofErr w:type="spellStart"/>
      <w:r w:rsidRPr="00217327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217327">
        <w:rPr>
          <w:rFonts w:eastAsia="Calibri"/>
          <w:sz w:val="27"/>
          <w:szCs w:val="27"/>
          <w:lang w:val="uk-UA"/>
        </w:rPr>
        <w:t>., в тому числі по загальному фонду – 3 296,0 </w:t>
      </w:r>
      <w:proofErr w:type="spellStart"/>
      <w:r w:rsidRPr="00217327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217327">
        <w:rPr>
          <w:rFonts w:eastAsia="Calibri"/>
          <w:sz w:val="27"/>
          <w:szCs w:val="27"/>
          <w:lang w:val="uk-UA"/>
        </w:rPr>
        <w:t>. або 94,4% планових показників на відповідний період, по спеціальному фонду – 488,0 </w:t>
      </w:r>
      <w:proofErr w:type="spellStart"/>
      <w:r w:rsidRPr="00217327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217327">
        <w:rPr>
          <w:rFonts w:eastAsia="Calibri"/>
          <w:sz w:val="27"/>
          <w:szCs w:val="27"/>
          <w:lang w:val="uk-UA"/>
        </w:rPr>
        <w:t xml:space="preserve">., з яких видатки бюджету розвитку – 341,3 </w:t>
      </w:r>
      <w:proofErr w:type="spellStart"/>
      <w:r w:rsidRPr="00217327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217327">
        <w:rPr>
          <w:rFonts w:eastAsia="Calibri"/>
          <w:sz w:val="27"/>
          <w:szCs w:val="27"/>
          <w:lang w:val="uk-UA"/>
        </w:rPr>
        <w:t>., що становить 39,1% планових показників на відповідний період. До державного бюджету перераховано реверсної дотації в сумі 138,9 </w:t>
      </w:r>
      <w:proofErr w:type="spellStart"/>
      <w:r w:rsidRPr="00217327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217327">
        <w:rPr>
          <w:rFonts w:eastAsia="Calibri"/>
          <w:sz w:val="27"/>
          <w:szCs w:val="27"/>
          <w:lang w:val="uk-UA"/>
        </w:rPr>
        <w:t>., що дорівнює плановим показникам.</w:t>
      </w:r>
    </w:p>
    <w:p w:rsidR="00D5486C" w:rsidRDefault="008839E5" w:rsidP="00D5486C">
      <w:pPr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noProof/>
          <w:sz w:val="27"/>
          <w:szCs w:val="27"/>
        </w:rPr>
        <w:drawing>
          <wp:inline distT="0" distB="0" distL="0" distR="0">
            <wp:extent cx="5976874" cy="3211195"/>
            <wp:effectExtent l="6096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486C" w:rsidRPr="009B4030" w:rsidRDefault="00D5486C" w:rsidP="00D5486C">
      <w:pPr>
        <w:jc w:val="both"/>
        <w:rPr>
          <w:rFonts w:eastAsia="Calibri"/>
          <w:color w:val="FF0000"/>
          <w:sz w:val="27"/>
          <w:szCs w:val="27"/>
          <w:lang w:val="uk-UA"/>
        </w:rPr>
      </w:pPr>
    </w:p>
    <w:p w:rsidR="00D5486C" w:rsidRPr="009B4030" w:rsidRDefault="00D5486C" w:rsidP="00D5486C">
      <w:pPr>
        <w:ind w:firstLine="426"/>
        <w:jc w:val="both"/>
        <w:rPr>
          <w:rFonts w:eastAsia="Calibri"/>
          <w:sz w:val="27"/>
          <w:szCs w:val="27"/>
          <w:lang w:val="uk-UA"/>
        </w:rPr>
      </w:pPr>
      <w:r w:rsidRPr="001D1539">
        <w:rPr>
          <w:rFonts w:eastAsia="Calibri"/>
          <w:sz w:val="27"/>
          <w:szCs w:val="27"/>
          <w:lang w:val="uk-UA"/>
        </w:rPr>
        <w:t>Понад 70</w:t>
      </w:r>
      <w:r w:rsidRPr="00BE02B6">
        <w:rPr>
          <w:rFonts w:eastAsia="Calibri"/>
          <w:sz w:val="27"/>
          <w:szCs w:val="27"/>
          <w:lang w:val="uk-UA"/>
        </w:rPr>
        <w:t>,</w:t>
      </w:r>
      <w:r>
        <w:rPr>
          <w:rFonts w:eastAsia="Calibri"/>
          <w:sz w:val="27"/>
          <w:szCs w:val="27"/>
          <w:lang w:val="uk-UA"/>
        </w:rPr>
        <w:t>0</w:t>
      </w:r>
      <w:r w:rsidRPr="00BE02B6">
        <w:rPr>
          <w:rFonts w:eastAsia="Calibri"/>
          <w:sz w:val="27"/>
          <w:szCs w:val="27"/>
          <w:lang w:val="uk-UA"/>
        </w:rPr>
        <w:t>% загального обсягу витрат склали захищені статті видатків, на які спрямовано 2 661,8 </w:t>
      </w:r>
      <w:proofErr w:type="spellStart"/>
      <w:r w:rsidRPr="00BE02B6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BE02B6">
        <w:rPr>
          <w:rFonts w:eastAsia="Calibri"/>
          <w:sz w:val="27"/>
          <w:szCs w:val="27"/>
          <w:lang w:val="uk-UA"/>
        </w:rPr>
        <w:t>. Виплата заробітної плати здійснювалась своєчасно та в повному обсязі, заборгованість перед працівниками бюджетних установ відсутня</w:t>
      </w:r>
      <w:r w:rsidRPr="009B4030">
        <w:rPr>
          <w:rFonts w:eastAsia="Calibri"/>
          <w:sz w:val="27"/>
          <w:szCs w:val="27"/>
          <w:lang w:val="uk-UA"/>
        </w:rPr>
        <w:t>.</w:t>
      </w:r>
    </w:p>
    <w:p w:rsidR="00D5486C" w:rsidRPr="009B4030" w:rsidRDefault="00D5486C" w:rsidP="00D5486C">
      <w:pPr>
        <w:ind w:firstLine="720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lastRenderedPageBreak/>
        <w:t>За функціональною ознакою напрямки використання коштів наведені</w:t>
      </w:r>
      <w:r>
        <w:rPr>
          <w:rFonts w:eastAsia="Calibri"/>
          <w:sz w:val="27"/>
          <w:szCs w:val="27"/>
          <w:lang w:val="uk-UA"/>
        </w:rPr>
        <w:t xml:space="preserve"> в діаграмі</w:t>
      </w:r>
      <w:r w:rsidR="00394572">
        <w:rPr>
          <w:rFonts w:eastAsia="Calibri"/>
          <w:sz w:val="27"/>
          <w:szCs w:val="27"/>
          <w:lang w:val="uk-UA"/>
        </w:rPr>
        <w:t>.</w:t>
      </w:r>
    </w:p>
    <w:p w:rsidR="00D5486C" w:rsidRPr="009B4030" w:rsidRDefault="00D5486C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  <w:r w:rsidRPr="009B4030">
        <w:rPr>
          <w:b/>
          <w:i/>
          <w:sz w:val="27"/>
          <w:szCs w:val="27"/>
          <w:lang w:val="uk-UA"/>
        </w:rPr>
        <w:t xml:space="preserve">Структура видатків бюджету міста за функціональною ознакою </w:t>
      </w:r>
    </w:p>
    <w:p w:rsidR="00D5486C" w:rsidRDefault="00D5486C" w:rsidP="00D5486C">
      <w:pPr>
        <w:ind w:firstLine="709"/>
        <w:jc w:val="center"/>
        <w:rPr>
          <w:b/>
          <w:i/>
          <w:sz w:val="27"/>
          <w:szCs w:val="27"/>
          <w:lang w:val="uk-UA"/>
        </w:rPr>
      </w:pPr>
      <w:r w:rsidRPr="009B4030">
        <w:rPr>
          <w:b/>
          <w:i/>
          <w:sz w:val="27"/>
          <w:szCs w:val="27"/>
          <w:lang w:val="uk-UA"/>
        </w:rPr>
        <w:t xml:space="preserve">за </w:t>
      </w:r>
      <w:r>
        <w:rPr>
          <w:b/>
          <w:i/>
          <w:sz w:val="27"/>
          <w:szCs w:val="27"/>
          <w:lang w:val="uk-UA"/>
        </w:rPr>
        <w:t>9місяців</w:t>
      </w:r>
      <w:r w:rsidRPr="009B4030">
        <w:rPr>
          <w:b/>
          <w:i/>
          <w:sz w:val="27"/>
          <w:szCs w:val="27"/>
          <w:lang w:val="uk-UA"/>
        </w:rPr>
        <w:t xml:space="preserve"> 2016 року</w:t>
      </w:r>
    </w:p>
    <w:p w:rsidR="00D5486C" w:rsidRPr="009B4030" w:rsidRDefault="008839E5" w:rsidP="00D5486C">
      <w:pPr>
        <w:ind w:firstLine="709"/>
        <w:rPr>
          <w:b/>
          <w:i/>
          <w:sz w:val="27"/>
          <w:szCs w:val="27"/>
          <w:lang w:val="uk-UA"/>
        </w:rPr>
      </w:pPr>
      <w:r>
        <w:rPr>
          <w:b/>
          <w:i/>
          <w:noProof/>
          <w:sz w:val="27"/>
          <w:szCs w:val="27"/>
        </w:rPr>
        <w:drawing>
          <wp:inline distT="0" distB="0" distL="0" distR="0">
            <wp:extent cx="5545874" cy="2953004"/>
            <wp:effectExtent l="57150" t="19050" r="16726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Видатки проведені за наступними основними напрямками:</w:t>
      </w:r>
    </w:p>
    <w:p w:rsidR="00D5486C" w:rsidRPr="009B4030" w:rsidRDefault="00D5486C" w:rsidP="00D548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На реалізацію державних та міських програм соціального захисту </w:t>
      </w:r>
      <w:r>
        <w:rPr>
          <w:rFonts w:eastAsia="Calibri"/>
          <w:sz w:val="27"/>
          <w:szCs w:val="27"/>
          <w:lang w:val="uk-UA"/>
        </w:rPr>
        <w:t>витрачено 976,6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 або 98,</w:t>
      </w:r>
      <w:r>
        <w:rPr>
          <w:rFonts w:eastAsia="Calibri"/>
          <w:sz w:val="27"/>
          <w:szCs w:val="27"/>
          <w:lang w:val="uk-UA"/>
        </w:rPr>
        <w:t>9</w:t>
      </w:r>
      <w:r w:rsidRPr="009B4030">
        <w:rPr>
          <w:rFonts w:eastAsia="Calibri"/>
          <w:sz w:val="27"/>
          <w:szCs w:val="27"/>
          <w:lang w:val="uk-UA"/>
        </w:rPr>
        <w:t xml:space="preserve">% до плану на звітний період, з яких за рахунок відповідних субвенцій з державного бюджету – </w:t>
      </w:r>
      <w:r>
        <w:rPr>
          <w:rFonts w:eastAsia="Calibri"/>
          <w:sz w:val="27"/>
          <w:szCs w:val="27"/>
          <w:lang w:val="uk-UA"/>
        </w:rPr>
        <w:t>894</w:t>
      </w:r>
      <w:r w:rsidRPr="009B4030">
        <w:rPr>
          <w:rFonts w:eastAsia="Calibri"/>
          <w:sz w:val="27"/>
          <w:szCs w:val="27"/>
          <w:lang w:val="uk-UA"/>
        </w:rPr>
        <w:t>,</w:t>
      </w:r>
      <w:r>
        <w:rPr>
          <w:rFonts w:eastAsia="Calibri"/>
          <w:sz w:val="27"/>
          <w:szCs w:val="27"/>
          <w:lang w:val="uk-UA"/>
        </w:rPr>
        <w:t>5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</w:t>
      </w:r>
      <w:r>
        <w:rPr>
          <w:rFonts w:eastAsia="Calibri"/>
          <w:sz w:val="27"/>
          <w:szCs w:val="27"/>
          <w:lang w:val="uk-UA"/>
        </w:rPr>
        <w:t>471,4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надання пільг і субсидій населенню при оплаті електроенергії, природного газу, послуг </w:t>
      </w:r>
      <w:proofErr w:type="spellStart"/>
      <w:r w:rsidRPr="009B4030">
        <w:rPr>
          <w:rFonts w:eastAsia="Calibri"/>
          <w:sz w:val="27"/>
          <w:szCs w:val="27"/>
          <w:lang w:val="uk-UA"/>
        </w:rPr>
        <w:t>тепло-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</w:t>
      </w:r>
      <w:r>
        <w:rPr>
          <w:rFonts w:eastAsia="Calibri"/>
          <w:sz w:val="27"/>
          <w:szCs w:val="27"/>
          <w:lang w:val="uk-UA"/>
        </w:rPr>
        <w:t>423,1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За звітний період пільгами на житлово-комунальні послуги охоплено </w:t>
      </w:r>
      <w:r w:rsidR="00C92CE6">
        <w:rPr>
          <w:rFonts w:eastAsia="Calibri"/>
          <w:sz w:val="27"/>
          <w:szCs w:val="27"/>
          <w:lang w:val="uk-UA"/>
        </w:rPr>
        <w:t>60,2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проти 58,4 </w:t>
      </w:r>
      <w:proofErr w:type="spellStart"/>
      <w:r w:rsidRPr="009B4030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9B4030">
        <w:rPr>
          <w:rFonts w:eastAsia="Calibri"/>
          <w:sz w:val="27"/>
          <w:szCs w:val="27"/>
          <w:lang w:val="uk-UA"/>
        </w:rPr>
        <w:t>. у відповідному періоді минулого року. Більш ніж в 4 рази зросла кількість домогосподарств, які отримали житлові субсидії, таким правом скористалось понад 9</w:t>
      </w:r>
      <w:r w:rsidR="00C92CE6">
        <w:rPr>
          <w:rFonts w:eastAsia="Calibri"/>
          <w:sz w:val="27"/>
          <w:szCs w:val="27"/>
          <w:lang w:val="uk-UA"/>
        </w:rPr>
        <w:t>3,0</w:t>
      </w:r>
      <w:r w:rsidRPr="009B4030">
        <w:rPr>
          <w:rFonts w:eastAsia="Calibri"/>
          <w:sz w:val="27"/>
          <w:szCs w:val="27"/>
          <w:lang w:val="uk-UA"/>
        </w:rPr>
        <w:t xml:space="preserve"> тис. сімей.</w:t>
      </w:r>
      <w:r w:rsidR="00A51B2B">
        <w:rPr>
          <w:rFonts w:eastAsia="Calibri"/>
          <w:sz w:val="27"/>
          <w:szCs w:val="27"/>
          <w:lang w:val="uk-UA"/>
        </w:rPr>
        <w:t xml:space="preserve"> 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FF0000"/>
          <w:sz w:val="27"/>
          <w:szCs w:val="27"/>
          <w:lang w:val="uk-UA"/>
        </w:rPr>
      </w:pPr>
      <w:r w:rsidRPr="006D09DE">
        <w:rPr>
          <w:rFonts w:eastAsia="Calibri"/>
          <w:sz w:val="27"/>
          <w:szCs w:val="27"/>
          <w:lang w:val="uk-UA"/>
        </w:rPr>
        <w:t>В умовах відсутності відповідної субвенції з державного бюджету за рахунок коштів бюджету міста на надання пільг на послуги зв’язку та інших, передбачених законодавством пільг профінансовано 5,0 </w:t>
      </w:r>
      <w:proofErr w:type="spellStart"/>
      <w:r w:rsidRPr="006D09DE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6D09DE">
        <w:rPr>
          <w:rFonts w:eastAsia="Calibri"/>
          <w:sz w:val="27"/>
          <w:szCs w:val="27"/>
          <w:lang w:val="uk-UA"/>
        </w:rPr>
        <w:t>. Цими пільгами скористалось 14,3 </w:t>
      </w:r>
      <w:proofErr w:type="spellStart"/>
      <w:r w:rsidRPr="006D09DE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6D09DE">
        <w:rPr>
          <w:rFonts w:eastAsia="Calibri"/>
          <w:sz w:val="27"/>
          <w:szCs w:val="27"/>
          <w:lang w:val="uk-UA"/>
        </w:rPr>
        <w:t>.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r w:rsidRPr="006D09DE">
        <w:rPr>
          <w:rFonts w:eastAsia="Calibri"/>
          <w:sz w:val="27"/>
          <w:szCs w:val="27"/>
          <w:lang w:val="uk-UA"/>
        </w:rPr>
        <w:t>На компенсацію пільгового перевезення окремих категорій громадян різними видами транспорту використано 45,6 </w:t>
      </w:r>
      <w:proofErr w:type="spellStart"/>
      <w:r w:rsidRPr="006D09DE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6D09DE">
        <w:rPr>
          <w:rFonts w:eastAsia="Calibri"/>
          <w:sz w:val="27"/>
          <w:szCs w:val="27"/>
          <w:lang w:val="uk-UA"/>
        </w:rPr>
        <w:t>. Крім того, з метою забезпечення належної та безперебійної роботи ЗКП МЕТ «</w:t>
      </w:r>
      <w:proofErr w:type="spellStart"/>
      <w:r w:rsidRPr="006D09DE">
        <w:rPr>
          <w:rFonts w:eastAsia="Calibri"/>
          <w:sz w:val="27"/>
          <w:szCs w:val="27"/>
          <w:lang w:val="uk-UA"/>
        </w:rPr>
        <w:t>Запоріжелектротранс</w:t>
      </w:r>
      <w:proofErr w:type="spellEnd"/>
      <w:r w:rsidRPr="006D09DE">
        <w:rPr>
          <w:rFonts w:eastAsia="Calibri"/>
          <w:sz w:val="27"/>
          <w:szCs w:val="27"/>
          <w:lang w:val="uk-UA"/>
        </w:rPr>
        <w:t>» надано фінансової підтримки на суму 46,8 </w:t>
      </w:r>
      <w:proofErr w:type="spellStart"/>
      <w:r w:rsidRPr="006D09DE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6D09DE">
        <w:rPr>
          <w:rFonts w:eastAsia="Calibri"/>
          <w:sz w:val="27"/>
          <w:szCs w:val="27"/>
          <w:lang w:val="uk-UA"/>
        </w:rPr>
        <w:t>.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В рамках реалізації заходів міських цільових програм на соціальний захист населення та підтримку ветеранських </w:t>
      </w:r>
      <w:r>
        <w:rPr>
          <w:rFonts w:eastAsia="Calibri"/>
          <w:sz w:val="27"/>
          <w:szCs w:val="27"/>
          <w:lang w:val="uk-UA"/>
        </w:rPr>
        <w:t>організацій міста витрачено 19,0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Виплати грошової компенсації фізичним особам, які надають соціальні послуги громадянам похилого віку, інвалідам, дітям-інвалідам, хворим, які не здатні до самообслуговування та потребують сторонньої </w:t>
      </w:r>
      <w:r>
        <w:rPr>
          <w:rFonts w:eastAsia="Calibri"/>
          <w:sz w:val="27"/>
          <w:szCs w:val="27"/>
          <w:lang w:val="uk-UA"/>
        </w:rPr>
        <w:t>допомоги, проведені на суму 2,2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</w:t>
      </w:r>
    </w:p>
    <w:p w:rsidR="00D5486C" w:rsidRPr="009B4030" w:rsidRDefault="00D5486C" w:rsidP="00D548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lastRenderedPageBreak/>
        <w:t>На забезпечення функціонування та розвиток установ соціально-культурної сфери спрямовано 1 </w:t>
      </w:r>
      <w:r>
        <w:rPr>
          <w:rFonts w:eastAsia="Calibri"/>
          <w:sz w:val="27"/>
          <w:szCs w:val="27"/>
          <w:lang w:val="uk-UA"/>
        </w:rPr>
        <w:t>717</w:t>
      </w:r>
      <w:r w:rsidRPr="009B4030">
        <w:rPr>
          <w:rFonts w:eastAsia="Calibri"/>
          <w:sz w:val="27"/>
          <w:szCs w:val="27"/>
          <w:lang w:val="uk-UA"/>
        </w:rPr>
        <w:t>,</w:t>
      </w:r>
      <w:r>
        <w:rPr>
          <w:rFonts w:eastAsia="Calibri"/>
          <w:sz w:val="27"/>
          <w:szCs w:val="27"/>
          <w:lang w:val="uk-UA"/>
        </w:rPr>
        <w:t>3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що становить </w:t>
      </w:r>
      <w:r>
        <w:rPr>
          <w:rFonts w:eastAsia="Calibri"/>
          <w:sz w:val="27"/>
          <w:szCs w:val="27"/>
          <w:lang w:val="uk-UA"/>
        </w:rPr>
        <w:t>45,4</w:t>
      </w:r>
      <w:r w:rsidRPr="009B4030">
        <w:rPr>
          <w:rFonts w:eastAsia="Calibri"/>
          <w:sz w:val="27"/>
          <w:szCs w:val="27"/>
          <w:lang w:val="uk-UA"/>
        </w:rPr>
        <w:t xml:space="preserve">% загального обсягу витрат бюджету міста, в тому числі на освіту – </w:t>
      </w:r>
      <w:r>
        <w:rPr>
          <w:rFonts w:eastAsia="Calibri"/>
          <w:sz w:val="27"/>
          <w:szCs w:val="27"/>
          <w:lang w:val="uk-UA"/>
        </w:rPr>
        <w:t>987,6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охорону здоров'я – </w:t>
      </w:r>
      <w:r>
        <w:rPr>
          <w:rFonts w:eastAsia="Calibri"/>
          <w:sz w:val="27"/>
          <w:szCs w:val="27"/>
          <w:lang w:val="uk-UA"/>
        </w:rPr>
        <w:t>596,6</w:t>
      </w:r>
      <w:r w:rsidRPr="009B4030">
        <w:rPr>
          <w:rFonts w:eastAsia="Calibri"/>
          <w:sz w:val="27"/>
          <w:szCs w:val="27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культуру – </w:t>
      </w:r>
      <w:r>
        <w:rPr>
          <w:rFonts w:eastAsia="Calibri"/>
          <w:sz w:val="27"/>
          <w:szCs w:val="27"/>
          <w:lang w:val="uk-UA"/>
        </w:rPr>
        <w:t>79,8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фізичну культуру і спорт – </w:t>
      </w:r>
      <w:r>
        <w:rPr>
          <w:rFonts w:eastAsia="Calibri"/>
          <w:sz w:val="27"/>
          <w:szCs w:val="27"/>
          <w:lang w:val="uk-UA"/>
        </w:rPr>
        <w:t>31,6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установи соціального захисту – </w:t>
      </w:r>
      <w:r>
        <w:rPr>
          <w:rFonts w:eastAsia="Calibri"/>
          <w:sz w:val="27"/>
          <w:szCs w:val="27"/>
          <w:lang w:val="uk-UA"/>
        </w:rPr>
        <w:t>21,7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Із зазначеного обсягу видатки бюджету розвитку проведені в сумі </w:t>
      </w:r>
      <w:r>
        <w:rPr>
          <w:rFonts w:eastAsia="Calibri"/>
          <w:sz w:val="27"/>
          <w:szCs w:val="27"/>
          <w:lang w:val="uk-UA"/>
        </w:rPr>
        <w:t>6</w:t>
      </w:r>
      <w:r w:rsidRPr="009B4030">
        <w:rPr>
          <w:rFonts w:eastAsia="Calibri"/>
          <w:sz w:val="27"/>
          <w:szCs w:val="27"/>
          <w:lang w:val="uk-UA"/>
        </w:rPr>
        <w:t>8,</w:t>
      </w:r>
      <w:r>
        <w:rPr>
          <w:rFonts w:eastAsia="Calibri"/>
          <w:sz w:val="27"/>
          <w:szCs w:val="27"/>
          <w:lang w:val="uk-UA"/>
        </w:rPr>
        <w:t>7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 та спрямовані на придбання предметів довгострокового користування, реконструкцію і капітальний ремонт будівель та приміщень установ.</w:t>
      </w:r>
    </w:p>
    <w:p w:rsidR="00D5486C" w:rsidRPr="006D09DE" w:rsidRDefault="00D5486C" w:rsidP="00D548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6D09DE">
        <w:rPr>
          <w:rFonts w:eastAsia="Calibri"/>
          <w:sz w:val="27"/>
          <w:szCs w:val="27"/>
          <w:lang w:val="uk-UA"/>
        </w:rPr>
        <w:t xml:space="preserve">Видатки на житлово-комунальне та дорожнє господарство склали </w:t>
      </w:r>
      <w:r>
        <w:rPr>
          <w:rFonts w:eastAsia="Calibri"/>
          <w:sz w:val="27"/>
          <w:szCs w:val="27"/>
          <w:lang w:val="uk-UA"/>
        </w:rPr>
        <w:t>670,8</w:t>
      </w:r>
      <w:r w:rsidRPr="006D09DE">
        <w:rPr>
          <w:rFonts w:eastAsia="Calibri"/>
          <w:sz w:val="27"/>
          <w:szCs w:val="27"/>
          <w:lang w:val="uk-UA"/>
        </w:rPr>
        <w:t> </w:t>
      </w:r>
      <w:proofErr w:type="spellStart"/>
      <w:r w:rsidRPr="006D09DE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6D09DE">
        <w:rPr>
          <w:rFonts w:eastAsia="Calibri"/>
          <w:sz w:val="27"/>
          <w:szCs w:val="27"/>
          <w:lang w:val="uk-UA"/>
        </w:rPr>
        <w:t>. Кошти спрямовані на реалізацію заходів наступних програм: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- </w:t>
      </w:r>
      <w:r w:rsidRPr="009B4030">
        <w:rPr>
          <w:i/>
          <w:sz w:val="27"/>
          <w:szCs w:val="27"/>
          <w:lang w:val="uk-UA"/>
        </w:rPr>
        <w:t>Програма розвитку інфраструктури та комплексного благоустрою міста</w:t>
      </w:r>
      <w:r w:rsidRPr="009B4030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216,8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 що становить 33,0% річних планових показників.</w:t>
      </w:r>
    </w:p>
    <w:p w:rsidR="00D5486C" w:rsidRPr="009B4030" w:rsidRDefault="00D5486C" w:rsidP="00D5486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6D09DE">
        <w:rPr>
          <w:rFonts w:eastAsia="Calibri"/>
          <w:sz w:val="27"/>
          <w:szCs w:val="27"/>
          <w:lang w:val="uk-UA"/>
        </w:rPr>
        <w:t>На заходи з благоустрою міста використано 92,9 </w:t>
      </w:r>
      <w:proofErr w:type="spellStart"/>
      <w:r w:rsidRPr="006D09DE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6D09DE">
        <w:rPr>
          <w:rFonts w:eastAsia="Calibri"/>
          <w:sz w:val="27"/>
          <w:szCs w:val="27"/>
          <w:lang w:val="uk-UA"/>
        </w:rPr>
        <w:t>. та с</w:t>
      </w:r>
      <w:r w:rsidRPr="009B4030">
        <w:rPr>
          <w:rFonts w:eastAsia="Calibri"/>
          <w:sz w:val="27"/>
          <w:szCs w:val="27"/>
          <w:lang w:val="uk-UA"/>
        </w:rPr>
        <w:t>прямовано на забезпечення зовнішнього освітлення міста, догляд за зеленими насадженнями, поточний ремонт та обслуговування фонтанів, енергопостачання парків, засобів регулювання дорожнього руху тощо.</w:t>
      </w:r>
      <w:r w:rsidRPr="009B4030">
        <w:rPr>
          <w:rFonts w:eastAsia="Calibri"/>
          <w:color w:val="FF0000"/>
          <w:sz w:val="27"/>
          <w:szCs w:val="27"/>
          <w:lang w:val="uk-UA"/>
        </w:rPr>
        <w:t xml:space="preserve"> </w:t>
      </w:r>
    </w:p>
    <w:p w:rsidR="00D5486C" w:rsidRPr="009B4030" w:rsidRDefault="00D5486C" w:rsidP="00D5486C">
      <w:pPr>
        <w:ind w:firstLine="708"/>
        <w:jc w:val="both"/>
        <w:rPr>
          <w:rFonts w:eastAsia="Calibri"/>
          <w:sz w:val="27"/>
          <w:szCs w:val="27"/>
          <w:lang w:val="uk-UA"/>
        </w:rPr>
      </w:pPr>
      <w:r w:rsidRPr="00A85E38">
        <w:rPr>
          <w:rFonts w:eastAsia="Calibri"/>
          <w:sz w:val="27"/>
          <w:szCs w:val="27"/>
          <w:lang w:val="uk-UA"/>
        </w:rPr>
        <w:t>На оплату робіт, пов’язаних із будівництвом, реконструкцією, ремонтом та утриманням автомобільних доріг з бюджету міста витрачено 95,6 </w:t>
      </w:r>
      <w:proofErr w:type="spellStart"/>
      <w:r w:rsidRPr="00A85E38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A85E38">
        <w:rPr>
          <w:rFonts w:eastAsia="Calibri"/>
          <w:sz w:val="27"/>
          <w:szCs w:val="27"/>
          <w:lang w:val="uk-UA"/>
        </w:rPr>
        <w:t>., з я</w:t>
      </w:r>
      <w:r w:rsidRPr="009B4030">
        <w:rPr>
          <w:rFonts w:eastAsia="Calibri"/>
          <w:sz w:val="27"/>
          <w:szCs w:val="27"/>
          <w:lang w:val="uk-UA"/>
        </w:rPr>
        <w:t xml:space="preserve">ких на утримання і експлуатацію доріг – </w:t>
      </w:r>
      <w:r>
        <w:rPr>
          <w:rFonts w:eastAsia="Calibri"/>
          <w:sz w:val="27"/>
          <w:szCs w:val="27"/>
          <w:lang w:val="uk-UA"/>
        </w:rPr>
        <w:t>31</w:t>
      </w:r>
      <w:r w:rsidRPr="009B4030">
        <w:rPr>
          <w:rFonts w:eastAsia="Calibri"/>
          <w:sz w:val="27"/>
          <w:szCs w:val="27"/>
          <w:lang w:val="uk-UA"/>
        </w:rPr>
        <w:t>,6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будівельні та ремонтні роботи – </w:t>
      </w:r>
      <w:r>
        <w:rPr>
          <w:rFonts w:eastAsia="Calibri"/>
          <w:sz w:val="27"/>
          <w:szCs w:val="27"/>
          <w:lang w:val="uk-UA"/>
        </w:rPr>
        <w:t>64,0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</w:t>
      </w:r>
    </w:p>
    <w:p w:rsidR="00D5486C" w:rsidRDefault="00D5486C" w:rsidP="00D5486C">
      <w:pPr>
        <w:ind w:firstLine="709"/>
        <w:jc w:val="both"/>
        <w:rPr>
          <w:sz w:val="27"/>
          <w:szCs w:val="27"/>
          <w:lang w:val="uk-UA"/>
        </w:rPr>
      </w:pPr>
      <w:r w:rsidRPr="009B4030">
        <w:rPr>
          <w:sz w:val="27"/>
          <w:szCs w:val="27"/>
          <w:lang w:val="uk-UA"/>
        </w:rPr>
        <w:t xml:space="preserve">Видатки на будівництво та реконструкцію об’єктів комунальної інфраструктури проведені в сумі </w:t>
      </w:r>
      <w:r>
        <w:rPr>
          <w:sz w:val="27"/>
          <w:szCs w:val="27"/>
          <w:lang w:val="uk-UA"/>
        </w:rPr>
        <w:t>23,2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 xml:space="preserve">., в тому числі мереж зовнішнього освітлення – </w:t>
      </w:r>
      <w:r>
        <w:rPr>
          <w:sz w:val="27"/>
          <w:szCs w:val="27"/>
          <w:lang w:val="uk-UA"/>
        </w:rPr>
        <w:t>4,7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 xml:space="preserve">., світлофорних об’єктів </w:t>
      </w:r>
      <w:r>
        <w:rPr>
          <w:sz w:val="27"/>
          <w:szCs w:val="27"/>
          <w:lang w:val="uk-UA"/>
        </w:rPr>
        <w:t>–</w:t>
      </w:r>
      <w:r w:rsidRPr="009B403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2,5</w:t>
      </w:r>
      <w:r w:rsidRPr="009B4030">
        <w:rPr>
          <w:sz w:val="27"/>
          <w:szCs w:val="27"/>
          <w:lang w:val="uk-UA"/>
        </w:rPr>
        <w:t xml:space="preserve"> 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 xml:space="preserve">., скверів, парків, майданів та площ міста </w:t>
      </w:r>
      <w:r>
        <w:rPr>
          <w:sz w:val="27"/>
          <w:szCs w:val="27"/>
          <w:lang w:val="uk-UA"/>
        </w:rPr>
        <w:t>–</w:t>
      </w:r>
      <w:r w:rsidRPr="009B403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7,8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 xml:space="preserve">., зливової каналізації, вулиць, тротуарів, </w:t>
      </w:r>
      <w:proofErr w:type="spellStart"/>
      <w:r w:rsidRPr="009B4030">
        <w:rPr>
          <w:sz w:val="27"/>
          <w:szCs w:val="27"/>
          <w:lang w:val="uk-UA"/>
        </w:rPr>
        <w:t>водопропусків</w:t>
      </w:r>
      <w:proofErr w:type="spellEnd"/>
      <w:r w:rsidRPr="009B4030">
        <w:rPr>
          <w:sz w:val="27"/>
          <w:szCs w:val="27"/>
          <w:lang w:val="uk-UA"/>
        </w:rPr>
        <w:t xml:space="preserve"> та мостових переходів </w:t>
      </w:r>
      <w:r>
        <w:rPr>
          <w:sz w:val="27"/>
          <w:szCs w:val="27"/>
          <w:lang w:val="uk-UA"/>
        </w:rPr>
        <w:t>–</w:t>
      </w:r>
      <w:r w:rsidRPr="009B403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7,7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, інших об’єктів – 0,5 </w:t>
      </w:r>
      <w:proofErr w:type="spellStart"/>
      <w:r>
        <w:rPr>
          <w:sz w:val="27"/>
          <w:szCs w:val="27"/>
          <w:lang w:val="uk-UA"/>
        </w:rPr>
        <w:t>млн.грн</w:t>
      </w:r>
      <w:proofErr w:type="spellEnd"/>
      <w:r>
        <w:rPr>
          <w:sz w:val="27"/>
          <w:szCs w:val="27"/>
          <w:lang w:val="uk-UA"/>
        </w:rPr>
        <w:t>.</w:t>
      </w:r>
    </w:p>
    <w:p w:rsidR="00D5486C" w:rsidRPr="009B4030" w:rsidRDefault="00D5486C" w:rsidP="00D5486C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Внески до статутних капіталів комунальних підприємств галузі на придбання спеціальної техніки проведені в обсязі 4,8 </w:t>
      </w:r>
      <w:proofErr w:type="spellStart"/>
      <w:r>
        <w:rPr>
          <w:sz w:val="27"/>
          <w:szCs w:val="27"/>
          <w:lang w:val="uk-UA"/>
        </w:rPr>
        <w:t>млн.грн</w:t>
      </w:r>
      <w:proofErr w:type="spellEnd"/>
      <w:r>
        <w:rPr>
          <w:sz w:val="27"/>
          <w:szCs w:val="27"/>
          <w:lang w:val="uk-UA"/>
        </w:rPr>
        <w:t>.</w:t>
      </w:r>
    </w:p>
    <w:p w:rsidR="00D5486C" w:rsidRDefault="00D5486C" w:rsidP="00D5486C">
      <w:pPr>
        <w:ind w:firstLine="709"/>
        <w:jc w:val="both"/>
        <w:rPr>
          <w:sz w:val="27"/>
          <w:szCs w:val="27"/>
          <w:lang w:val="uk-UA"/>
        </w:rPr>
      </w:pPr>
      <w:r w:rsidRPr="009B4030">
        <w:rPr>
          <w:sz w:val="27"/>
          <w:szCs w:val="27"/>
          <w:lang w:val="uk-UA"/>
        </w:rPr>
        <w:t xml:space="preserve">- </w:t>
      </w:r>
      <w:r w:rsidRPr="009B4030">
        <w:rPr>
          <w:i/>
          <w:sz w:val="27"/>
          <w:szCs w:val="27"/>
          <w:lang w:val="uk-UA"/>
        </w:rPr>
        <w:t>Програма розвитку житлово-комунального господарства міста</w:t>
      </w:r>
      <w:r w:rsidRPr="009B4030">
        <w:rPr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454,1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>.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r>
        <w:rPr>
          <w:rFonts w:eastAsia="Calibri"/>
          <w:sz w:val="27"/>
          <w:szCs w:val="27"/>
          <w:lang w:val="uk-UA"/>
        </w:rPr>
        <w:t xml:space="preserve">(46,4% до річного плану), </w:t>
      </w:r>
      <w:r w:rsidRPr="009B4030">
        <w:rPr>
          <w:rFonts w:eastAsia="Calibri"/>
          <w:sz w:val="27"/>
          <w:szCs w:val="27"/>
          <w:lang w:val="uk-UA"/>
        </w:rPr>
        <w:t xml:space="preserve">з </w:t>
      </w:r>
      <w:r w:rsidRPr="00060627">
        <w:rPr>
          <w:rFonts w:eastAsia="Calibri"/>
          <w:sz w:val="27"/>
          <w:szCs w:val="27"/>
          <w:lang w:val="uk-UA"/>
        </w:rPr>
        <w:t xml:space="preserve">яких на </w:t>
      </w:r>
      <w:r w:rsidRPr="00060627">
        <w:rPr>
          <w:sz w:val="27"/>
          <w:szCs w:val="27"/>
          <w:lang w:val="uk-UA"/>
        </w:rPr>
        <w:t>фінансову підтримку комунальним підприємствам галузі – 280,8 </w:t>
      </w:r>
      <w:proofErr w:type="spellStart"/>
      <w:r w:rsidRPr="00060627">
        <w:rPr>
          <w:sz w:val="27"/>
          <w:szCs w:val="27"/>
          <w:lang w:val="uk-UA"/>
        </w:rPr>
        <w:t>млн.грн</w:t>
      </w:r>
      <w:proofErr w:type="spellEnd"/>
      <w:r w:rsidRPr="00060627">
        <w:rPr>
          <w:sz w:val="27"/>
          <w:szCs w:val="27"/>
          <w:lang w:val="uk-UA"/>
        </w:rPr>
        <w:t>., проведення капітального ремонту житлового фонду комунальної власності міста та об’єднань співвласників багатоквартирних будинків – 120,2 </w:t>
      </w:r>
      <w:proofErr w:type="spellStart"/>
      <w:r w:rsidRPr="00060627">
        <w:rPr>
          <w:sz w:val="27"/>
          <w:szCs w:val="27"/>
          <w:lang w:val="uk-UA"/>
        </w:rPr>
        <w:t>млн.грн</w:t>
      </w:r>
      <w:proofErr w:type="spellEnd"/>
      <w:r w:rsidRPr="00060627">
        <w:rPr>
          <w:sz w:val="27"/>
          <w:szCs w:val="27"/>
          <w:lang w:val="uk-UA"/>
        </w:rPr>
        <w:t xml:space="preserve">., встановлення приладів обліку теплової енергії – 9,5 </w:t>
      </w:r>
      <w:proofErr w:type="spellStart"/>
      <w:r w:rsidRPr="00060627">
        <w:rPr>
          <w:sz w:val="27"/>
          <w:szCs w:val="27"/>
          <w:lang w:val="uk-UA"/>
        </w:rPr>
        <w:t>млн.грн</w:t>
      </w:r>
      <w:proofErr w:type="spellEnd"/>
      <w:r w:rsidRPr="00060627">
        <w:rPr>
          <w:sz w:val="27"/>
          <w:szCs w:val="27"/>
          <w:lang w:val="uk-UA"/>
        </w:rPr>
        <w:t>., ремонт</w:t>
      </w:r>
      <w:r w:rsidRPr="00E76D2A">
        <w:rPr>
          <w:sz w:val="27"/>
          <w:szCs w:val="27"/>
          <w:lang w:val="uk-UA"/>
        </w:rPr>
        <w:t xml:space="preserve"> </w:t>
      </w:r>
      <w:proofErr w:type="spellStart"/>
      <w:r w:rsidRPr="00E76D2A">
        <w:rPr>
          <w:sz w:val="27"/>
          <w:szCs w:val="27"/>
          <w:lang w:val="uk-UA"/>
        </w:rPr>
        <w:t>внутрішньоквартальних</w:t>
      </w:r>
      <w:proofErr w:type="spellEnd"/>
      <w:r w:rsidRPr="00E76D2A">
        <w:rPr>
          <w:sz w:val="27"/>
          <w:szCs w:val="27"/>
          <w:lang w:val="uk-UA"/>
        </w:rPr>
        <w:t xml:space="preserve"> доріг </w:t>
      </w:r>
      <w:r>
        <w:rPr>
          <w:sz w:val="27"/>
          <w:szCs w:val="27"/>
          <w:lang w:val="uk-UA"/>
        </w:rPr>
        <w:t>–</w:t>
      </w:r>
      <w:r w:rsidRPr="00E76D2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14,3 </w:t>
      </w:r>
      <w:proofErr w:type="spellStart"/>
      <w:r>
        <w:rPr>
          <w:sz w:val="27"/>
          <w:szCs w:val="27"/>
          <w:lang w:val="uk-UA"/>
        </w:rPr>
        <w:t>млн.грн</w:t>
      </w:r>
      <w:proofErr w:type="spellEnd"/>
      <w:r>
        <w:rPr>
          <w:sz w:val="27"/>
          <w:szCs w:val="27"/>
          <w:lang w:val="uk-UA"/>
        </w:rPr>
        <w:t xml:space="preserve">., </w:t>
      </w:r>
      <w:r w:rsidRPr="009B4030">
        <w:rPr>
          <w:sz w:val="27"/>
          <w:szCs w:val="27"/>
          <w:lang w:val="uk-UA"/>
        </w:rPr>
        <w:t xml:space="preserve">проведення реконструкції та будівництва </w:t>
      </w:r>
      <w:r>
        <w:rPr>
          <w:sz w:val="27"/>
          <w:szCs w:val="27"/>
          <w:lang w:val="uk-UA"/>
        </w:rPr>
        <w:t xml:space="preserve">об’єктів </w:t>
      </w:r>
      <w:r w:rsidRPr="009B4030">
        <w:rPr>
          <w:sz w:val="27"/>
          <w:szCs w:val="27"/>
          <w:lang w:val="uk-UA"/>
        </w:rPr>
        <w:t xml:space="preserve">житлового фонду, водопровідних мереж, каналізаційних колекторів, </w:t>
      </w:r>
      <w:proofErr w:type="spellStart"/>
      <w:r w:rsidRPr="009B4030">
        <w:rPr>
          <w:sz w:val="27"/>
          <w:szCs w:val="27"/>
          <w:lang w:val="uk-UA"/>
        </w:rPr>
        <w:t>водопропусків</w:t>
      </w:r>
      <w:proofErr w:type="spellEnd"/>
      <w:r w:rsidRPr="009B4030">
        <w:rPr>
          <w:sz w:val="27"/>
          <w:szCs w:val="27"/>
          <w:lang w:val="uk-UA"/>
        </w:rPr>
        <w:t xml:space="preserve"> та насосних станцій міста </w:t>
      </w:r>
      <w:r>
        <w:rPr>
          <w:sz w:val="27"/>
          <w:szCs w:val="27"/>
          <w:lang w:val="uk-UA"/>
        </w:rPr>
        <w:t>–</w:t>
      </w:r>
      <w:r w:rsidRPr="009B403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27,2</w:t>
      </w:r>
      <w:r w:rsidRPr="009B4030">
        <w:rPr>
          <w:sz w:val="27"/>
          <w:szCs w:val="27"/>
          <w:lang w:val="uk-UA"/>
        </w:rPr>
        <w:t>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>. тощо.</w:t>
      </w:r>
    </w:p>
    <w:p w:rsidR="00D5486C" w:rsidRDefault="00D5486C" w:rsidP="00D5486C">
      <w:pPr>
        <w:pStyle w:val="ad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На розвиток транспортної галузі спрямовано 32,7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. (39% річного обсягу призначень), в тому числі на придбання автобусів та тролейбусів – 29,1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., капітальний ремонт аеровокзального комплексу та р</w:t>
      </w:r>
      <w:r w:rsidRPr="00501098">
        <w:rPr>
          <w:rFonts w:ascii="Times New Roman" w:hAnsi="Times New Roman" w:cs="Times New Roman"/>
          <w:sz w:val="27"/>
          <w:szCs w:val="27"/>
          <w:lang w:val="uk-UA"/>
        </w:rPr>
        <w:t>еконструкці</w:t>
      </w:r>
      <w:r>
        <w:rPr>
          <w:rFonts w:ascii="Times New Roman" w:hAnsi="Times New Roman" w:cs="Times New Roman"/>
          <w:sz w:val="27"/>
          <w:szCs w:val="27"/>
          <w:lang w:val="uk-UA"/>
        </w:rPr>
        <w:t>ю</w:t>
      </w:r>
      <w:r w:rsidRPr="00501098">
        <w:rPr>
          <w:rFonts w:ascii="Times New Roman" w:hAnsi="Times New Roman" w:cs="Times New Roman"/>
          <w:sz w:val="27"/>
          <w:szCs w:val="27"/>
          <w:lang w:val="uk-UA"/>
        </w:rPr>
        <w:t xml:space="preserve"> павільйону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– </w:t>
      </w:r>
      <w:r w:rsidRPr="00501098">
        <w:rPr>
          <w:rFonts w:ascii="Times New Roman" w:hAnsi="Times New Roman" w:cs="Times New Roman"/>
          <w:sz w:val="27"/>
          <w:szCs w:val="27"/>
          <w:lang w:val="uk-UA"/>
        </w:rPr>
        <w:t>накопичувачу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аеропорту – 2,8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., інші видатки – 0,8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5486C" w:rsidRPr="00060627" w:rsidRDefault="00D5486C" w:rsidP="00D5486C">
      <w:pPr>
        <w:pStyle w:val="ad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Природоохоронні заходи проведені на суму 20,6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. або 40,6% річних планових показників, з яких на п</w:t>
      </w:r>
      <w:r w:rsidRPr="00CF0B91">
        <w:rPr>
          <w:rFonts w:ascii="Times New Roman" w:hAnsi="Times New Roman" w:cs="Times New Roman"/>
          <w:sz w:val="27"/>
          <w:szCs w:val="27"/>
          <w:lang w:val="uk-UA"/>
        </w:rPr>
        <w:t>оліпшення стану водних об’єктів, ліквідаці</w:t>
      </w:r>
      <w:r>
        <w:rPr>
          <w:rFonts w:ascii="Times New Roman" w:hAnsi="Times New Roman" w:cs="Times New Roman"/>
          <w:sz w:val="27"/>
          <w:szCs w:val="27"/>
          <w:lang w:val="uk-UA"/>
        </w:rPr>
        <w:t>ю</w:t>
      </w:r>
      <w:r w:rsidRPr="00CF0B91">
        <w:rPr>
          <w:rFonts w:ascii="Times New Roman" w:hAnsi="Times New Roman" w:cs="Times New Roman"/>
          <w:sz w:val="27"/>
          <w:szCs w:val="27"/>
          <w:lang w:val="uk-UA"/>
        </w:rPr>
        <w:t xml:space="preserve"> негативних факторів впливу на навколишнє природн</w:t>
      </w:r>
      <w:r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CF0B91">
        <w:rPr>
          <w:rFonts w:ascii="Times New Roman" w:hAnsi="Times New Roman" w:cs="Times New Roman"/>
          <w:sz w:val="27"/>
          <w:szCs w:val="27"/>
          <w:lang w:val="uk-UA"/>
        </w:rPr>
        <w:t xml:space="preserve"> середовище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– 18,7 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</w:p>
    <w:p w:rsidR="00D5486C" w:rsidRPr="00774E3C" w:rsidRDefault="00D5486C" w:rsidP="00D5486C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надання </w:t>
      </w:r>
      <w:r w:rsidR="001103EE">
        <w:rPr>
          <w:sz w:val="27"/>
          <w:szCs w:val="27"/>
        </w:rPr>
        <w:t xml:space="preserve">4-х </w:t>
      </w:r>
      <w:r>
        <w:rPr>
          <w:sz w:val="27"/>
          <w:szCs w:val="27"/>
        </w:rPr>
        <w:t xml:space="preserve">пільгових довгострокових кредитів на будівництво (реконструкцію) та придбання житла витрачено 2,7 </w:t>
      </w:r>
      <w:proofErr w:type="spellStart"/>
      <w:r>
        <w:rPr>
          <w:sz w:val="27"/>
          <w:szCs w:val="27"/>
        </w:rPr>
        <w:t>млн.грн</w:t>
      </w:r>
      <w:proofErr w:type="spellEnd"/>
      <w:r>
        <w:rPr>
          <w:sz w:val="27"/>
          <w:szCs w:val="27"/>
        </w:rPr>
        <w:t xml:space="preserve">. </w:t>
      </w:r>
    </w:p>
    <w:p w:rsidR="00393789" w:rsidRDefault="00393789" w:rsidP="00391F30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</w:p>
    <w:p w:rsidR="00225447" w:rsidRDefault="005C73A0" w:rsidP="00225447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На звітну дату кредиторськ</w:t>
      </w:r>
      <w:r w:rsidR="00225447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заборгован</w:t>
      </w:r>
      <w:r w:rsidR="00225447">
        <w:rPr>
          <w:sz w:val="27"/>
          <w:szCs w:val="27"/>
          <w:lang w:val="uk-UA"/>
        </w:rPr>
        <w:t>ість</w:t>
      </w:r>
      <w:r>
        <w:rPr>
          <w:sz w:val="27"/>
          <w:szCs w:val="27"/>
          <w:lang w:val="uk-UA"/>
        </w:rPr>
        <w:t xml:space="preserve"> розпорядників та одержувачів коштів бюджету міста </w:t>
      </w:r>
      <w:r w:rsidR="00225447">
        <w:rPr>
          <w:sz w:val="27"/>
          <w:szCs w:val="27"/>
          <w:lang w:val="uk-UA"/>
        </w:rPr>
        <w:t>порівняно з початком року зменшилась на 0,9 </w:t>
      </w:r>
      <w:proofErr w:type="spellStart"/>
      <w:r w:rsidR="00225447">
        <w:rPr>
          <w:sz w:val="27"/>
          <w:szCs w:val="27"/>
          <w:lang w:val="uk-UA"/>
        </w:rPr>
        <w:t>млн.грн</w:t>
      </w:r>
      <w:proofErr w:type="spellEnd"/>
      <w:r w:rsidR="00225447">
        <w:rPr>
          <w:sz w:val="27"/>
          <w:szCs w:val="27"/>
          <w:lang w:val="uk-UA"/>
        </w:rPr>
        <w:t xml:space="preserve">. та </w:t>
      </w:r>
      <w:r>
        <w:rPr>
          <w:sz w:val="27"/>
          <w:szCs w:val="27"/>
          <w:lang w:val="uk-UA"/>
        </w:rPr>
        <w:t>скла</w:t>
      </w:r>
      <w:r w:rsidR="00225447">
        <w:rPr>
          <w:sz w:val="27"/>
          <w:szCs w:val="27"/>
          <w:lang w:val="uk-UA"/>
        </w:rPr>
        <w:t>ла</w:t>
      </w:r>
      <w:r>
        <w:rPr>
          <w:sz w:val="27"/>
          <w:szCs w:val="27"/>
          <w:lang w:val="uk-UA"/>
        </w:rPr>
        <w:t xml:space="preserve"> </w:t>
      </w:r>
      <w:r w:rsidR="00225447">
        <w:rPr>
          <w:sz w:val="27"/>
          <w:szCs w:val="27"/>
          <w:lang w:val="uk-UA"/>
        </w:rPr>
        <w:t>67,7 </w:t>
      </w:r>
      <w:proofErr w:type="spellStart"/>
      <w:r w:rsidR="00225447">
        <w:rPr>
          <w:sz w:val="27"/>
          <w:szCs w:val="27"/>
          <w:lang w:val="uk-UA"/>
        </w:rPr>
        <w:t>млн.грн</w:t>
      </w:r>
      <w:proofErr w:type="spellEnd"/>
      <w:r w:rsidR="00225447">
        <w:rPr>
          <w:sz w:val="27"/>
          <w:szCs w:val="27"/>
          <w:lang w:val="uk-UA"/>
        </w:rPr>
        <w:t>., в тому числі по видатках на виконання державних програм соціального захисту населення за рахунок коштів субвенцій з державного бюджету – 65,0 </w:t>
      </w:r>
      <w:proofErr w:type="spellStart"/>
      <w:r w:rsidR="00225447">
        <w:rPr>
          <w:sz w:val="27"/>
          <w:szCs w:val="27"/>
          <w:lang w:val="uk-UA"/>
        </w:rPr>
        <w:t>млн.грн</w:t>
      </w:r>
      <w:proofErr w:type="spellEnd"/>
      <w:r w:rsidR="00225447">
        <w:rPr>
          <w:sz w:val="27"/>
          <w:szCs w:val="27"/>
          <w:lang w:val="uk-UA"/>
        </w:rPr>
        <w:t>., з яких 36,2 </w:t>
      </w:r>
      <w:proofErr w:type="spellStart"/>
      <w:r w:rsidR="00225447">
        <w:rPr>
          <w:sz w:val="27"/>
          <w:szCs w:val="27"/>
          <w:lang w:val="uk-UA"/>
        </w:rPr>
        <w:t>млн.грн</w:t>
      </w:r>
      <w:proofErr w:type="spellEnd"/>
      <w:r w:rsidR="00225447">
        <w:rPr>
          <w:sz w:val="27"/>
          <w:szCs w:val="27"/>
          <w:lang w:val="uk-UA"/>
        </w:rPr>
        <w:t>. – прострочена.</w:t>
      </w:r>
    </w:p>
    <w:p w:rsidR="00225447" w:rsidRDefault="00225447" w:rsidP="00225447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</w:p>
    <w:p w:rsidR="00225447" w:rsidRDefault="00225447" w:rsidP="00225447">
      <w:pPr>
        <w:pStyle w:val="2"/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</w:p>
    <w:p w:rsidR="005C73A0" w:rsidRDefault="005C73A0" w:rsidP="00225447">
      <w:pPr>
        <w:pStyle w:val="2"/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5C73A0">
        <w:rPr>
          <w:sz w:val="27"/>
          <w:szCs w:val="27"/>
          <w:lang w:val="uk-UA"/>
        </w:rPr>
        <w:t xml:space="preserve">Директор департаменту фінансової </w:t>
      </w:r>
    </w:p>
    <w:p w:rsidR="005C73A0" w:rsidRPr="005C73A0" w:rsidRDefault="005C73A0" w:rsidP="005C73A0">
      <w:pPr>
        <w:pStyle w:val="2"/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5C73A0">
        <w:rPr>
          <w:sz w:val="27"/>
          <w:szCs w:val="27"/>
          <w:lang w:val="uk-UA"/>
        </w:rPr>
        <w:t>та бюджетної політики міської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О.А.</w:t>
      </w:r>
      <w:proofErr w:type="spellStart"/>
      <w:r>
        <w:rPr>
          <w:sz w:val="27"/>
          <w:szCs w:val="27"/>
          <w:lang w:val="uk-UA"/>
        </w:rPr>
        <w:t>Вагіс</w:t>
      </w:r>
      <w:proofErr w:type="spellEnd"/>
    </w:p>
    <w:sectPr w:rsidR="005C73A0" w:rsidRPr="005C73A0" w:rsidSect="005E406D">
      <w:headerReference w:type="even" r:id="rId10"/>
      <w:headerReference w:type="default" r:id="rId11"/>
      <w:pgSz w:w="11906" w:h="16838"/>
      <w:pgMar w:top="851" w:right="567" w:bottom="85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2B" w:rsidRDefault="00A51B2B">
      <w:r>
        <w:separator/>
      </w:r>
    </w:p>
  </w:endnote>
  <w:endnote w:type="continuationSeparator" w:id="1">
    <w:p w:rsidR="00A51B2B" w:rsidRDefault="00A5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2B" w:rsidRDefault="00A51B2B">
      <w:r>
        <w:separator/>
      </w:r>
    </w:p>
  </w:footnote>
  <w:footnote w:type="continuationSeparator" w:id="1">
    <w:p w:rsidR="00A51B2B" w:rsidRDefault="00A5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2B" w:rsidRDefault="00BB5D89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1B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1B2B" w:rsidRDefault="00A51B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2B" w:rsidRDefault="00BB5D89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1B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FEB">
      <w:rPr>
        <w:rStyle w:val="aa"/>
        <w:noProof/>
      </w:rPr>
      <w:t>4</w:t>
    </w:r>
    <w:r>
      <w:rPr>
        <w:rStyle w:val="aa"/>
      </w:rPr>
      <w:fldChar w:fldCharType="end"/>
    </w:r>
  </w:p>
  <w:p w:rsidR="00A51B2B" w:rsidRDefault="00A51B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0F1E85"/>
    <w:multiLevelType w:val="hybridMultilevel"/>
    <w:tmpl w:val="6584D3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229"/>
    <w:rsid w:val="0000139B"/>
    <w:rsid w:val="00002C3E"/>
    <w:rsid w:val="0000461B"/>
    <w:rsid w:val="00004AD9"/>
    <w:rsid w:val="00004CDB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703B"/>
    <w:rsid w:val="0004031D"/>
    <w:rsid w:val="000422F9"/>
    <w:rsid w:val="00046A7B"/>
    <w:rsid w:val="00050D58"/>
    <w:rsid w:val="000527BF"/>
    <w:rsid w:val="00052E69"/>
    <w:rsid w:val="00055898"/>
    <w:rsid w:val="000565D4"/>
    <w:rsid w:val="000566F5"/>
    <w:rsid w:val="000569B4"/>
    <w:rsid w:val="00057602"/>
    <w:rsid w:val="0006283D"/>
    <w:rsid w:val="00063F5B"/>
    <w:rsid w:val="00064255"/>
    <w:rsid w:val="0006426B"/>
    <w:rsid w:val="00065FB2"/>
    <w:rsid w:val="000674F0"/>
    <w:rsid w:val="00067734"/>
    <w:rsid w:val="00083D58"/>
    <w:rsid w:val="0008595D"/>
    <w:rsid w:val="00090E8B"/>
    <w:rsid w:val="00091373"/>
    <w:rsid w:val="00092D44"/>
    <w:rsid w:val="00093FD8"/>
    <w:rsid w:val="000A1309"/>
    <w:rsid w:val="000A352B"/>
    <w:rsid w:val="000A364F"/>
    <w:rsid w:val="000B2A00"/>
    <w:rsid w:val="000B42F8"/>
    <w:rsid w:val="000B4B65"/>
    <w:rsid w:val="000B527C"/>
    <w:rsid w:val="000B5BF8"/>
    <w:rsid w:val="000C36E7"/>
    <w:rsid w:val="000C45CF"/>
    <w:rsid w:val="000C50CA"/>
    <w:rsid w:val="000C56E1"/>
    <w:rsid w:val="000C651B"/>
    <w:rsid w:val="000D165E"/>
    <w:rsid w:val="000D2BED"/>
    <w:rsid w:val="000D538C"/>
    <w:rsid w:val="000E186A"/>
    <w:rsid w:val="000E1BAE"/>
    <w:rsid w:val="000E20AE"/>
    <w:rsid w:val="000E23CF"/>
    <w:rsid w:val="000E4D11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103EE"/>
    <w:rsid w:val="00110868"/>
    <w:rsid w:val="00111615"/>
    <w:rsid w:val="00111EC8"/>
    <w:rsid w:val="00113740"/>
    <w:rsid w:val="00113D5D"/>
    <w:rsid w:val="001144F8"/>
    <w:rsid w:val="001173C5"/>
    <w:rsid w:val="001174D4"/>
    <w:rsid w:val="001200F8"/>
    <w:rsid w:val="00120CBE"/>
    <w:rsid w:val="0012165D"/>
    <w:rsid w:val="00123372"/>
    <w:rsid w:val="00126736"/>
    <w:rsid w:val="00126C9E"/>
    <w:rsid w:val="00130997"/>
    <w:rsid w:val="001329DB"/>
    <w:rsid w:val="00132C4E"/>
    <w:rsid w:val="00132F2A"/>
    <w:rsid w:val="0013319E"/>
    <w:rsid w:val="00135F68"/>
    <w:rsid w:val="001361B2"/>
    <w:rsid w:val="00142DF8"/>
    <w:rsid w:val="00142F65"/>
    <w:rsid w:val="0014601B"/>
    <w:rsid w:val="00147891"/>
    <w:rsid w:val="00150EBA"/>
    <w:rsid w:val="00151A72"/>
    <w:rsid w:val="00154DCD"/>
    <w:rsid w:val="00155BD9"/>
    <w:rsid w:val="001568DD"/>
    <w:rsid w:val="001621E3"/>
    <w:rsid w:val="0016267A"/>
    <w:rsid w:val="0016343E"/>
    <w:rsid w:val="00165238"/>
    <w:rsid w:val="00165BAF"/>
    <w:rsid w:val="0017178C"/>
    <w:rsid w:val="00180467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B17DE"/>
    <w:rsid w:val="001B1AA0"/>
    <w:rsid w:val="001B1C6D"/>
    <w:rsid w:val="001B236A"/>
    <w:rsid w:val="001B4539"/>
    <w:rsid w:val="001B63E2"/>
    <w:rsid w:val="001C0752"/>
    <w:rsid w:val="001C5126"/>
    <w:rsid w:val="001C52B3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F049C"/>
    <w:rsid w:val="001F41C8"/>
    <w:rsid w:val="001F433D"/>
    <w:rsid w:val="001F6EF4"/>
    <w:rsid w:val="001F7293"/>
    <w:rsid w:val="00202F90"/>
    <w:rsid w:val="00204BF7"/>
    <w:rsid w:val="002051C6"/>
    <w:rsid w:val="002053D6"/>
    <w:rsid w:val="00205BE2"/>
    <w:rsid w:val="002069AC"/>
    <w:rsid w:val="00207CAE"/>
    <w:rsid w:val="00213A50"/>
    <w:rsid w:val="0021481F"/>
    <w:rsid w:val="00215A9D"/>
    <w:rsid w:val="00215CD5"/>
    <w:rsid w:val="00215F1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42EE0"/>
    <w:rsid w:val="002448DC"/>
    <w:rsid w:val="00247826"/>
    <w:rsid w:val="00250252"/>
    <w:rsid w:val="00252C87"/>
    <w:rsid w:val="00256FB1"/>
    <w:rsid w:val="00263E02"/>
    <w:rsid w:val="00264854"/>
    <w:rsid w:val="002656E3"/>
    <w:rsid w:val="00267A09"/>
    <w:rsid w:val="00267AAB"/>
    <w:rsid w:val="0027258A"/>
    <w:rsid w:val="002764B5"/>
    <w:rsid w:val="002770DD"/>
    <w:rsid w:val="00277783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C0105"/>
    <w:rsid w:val="002C0F8E"/>
    <w:rsid w:val="002C3462"/>
    <w:rsid w:val="002C473D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536E"/>
    <w:rsid w:val="002E5FA8"/>
    <w:rsid w:val="002E6032"/>
    <w:rsid w:val="002E6724"/>
    <w:rsid w:val="002F280D"/>
    <w:rsid w:val="002F3873"/>
    <w:rsid w:val="00300E5D"/>
    <w:rsid w:val="0030127A"/>
    <w:rsid w:val="0030139C"/>
    <w:rsid w:val="00301E31"/>
    <w:rsid w:val="003100CB"/>
    <w:rsid w:val="00310EAF"/>
    <w:rsid w:val="00312874"/>
    <w:rsid w:val="00315626"/>
    <w:rsid w:val="00315772"/>
    <w:rsid w:val="00324123"/>
    <w:rsid w:val="003241E9"/>
    <w:rsid w:val="00326067"/>
    <w:rsid w:val="00326FEB"/>
    <w:rsid w:val="00330378"/>
    <w:rsid w:val="003314DF"/>
    <w:rsid w:val="003318A0"/>
    <w:rsid w:val="00331A1B"/>
    <w:rsid w:val="0033553D"/>
    <w:rsid w:val="00336AFC"/>
    <w:rsid w:val="00337811"/>
    <w:rsid w:val="00340F9E"/>
    <w:rsid w:val="00341053"/>
    <w:rsid w:val="00341D3C"/>
    <w:rsid w:val="00345E08"/>
    <w:rsid w:val="00346B95"/>
    <w:rsid w:val="003504FD"/>
    <w:rsid w:val="00351118"/>
    <w:rsid w:val="00351CDA"/>
    <w:rsid w:val="00355069"/>
    <w:rsid w:val="00355907"/>
    <w:rsid w:val="00360C75"/>
    <w:rsid w:val="00364928"/>
    <w:rsid w:val="00364DFC"/>
    <w:rsid w:val="00365005"/>
    <w:rsid w:val="00367632"/>
    <w:rsid w:val="00367C87"/>
    <w:rsid w:val="00370602"/>
    <w:rsid w:val="00370A0F"/>
    <w:rsid w:val="003806C0"/>
    <w:rsid w:val="00382104"/>
    <w:rsid w:val="003847C7"/>
    <w:rsid w:val="003868C2"/>
    <w:rsid w:val="00386B42"/>
    <w:rsid w:val="00386FC8"/>
    <w:rsid w:val="00387DB5"/>
    <w:rsid w:val="00391F30"/>
    <w:rsid w:val="003921B7"/>
    <w:rsid w:val="00393789"/>
    <w:rsid w:val="00394572"/>
    <w:rsid w:val="0039478B"/>
    <w:rsid w:val="00395C97"/>
    <w:rsid w:val="00395DAD"/>
    <w:rsid w:val="0039714D"/>
    <w:rsid w:val="003A19FB"/>
    <w:rsid w:val="003A28F3"/>
    <w:rsid w:val="003A508F"/>
    <w:rsid w:val="003A579E"/>
    <w:rsid w:val="003A7124"/>
    <w:rsid w:val="003A76E0"/>
    <w:rsid w:val="003B3CB3"/>
    <w:rsid w:val="003B469A"/>
    <w:rsid w:val="003B4710"/>
    <w:rsid w:val="003B500A"/>
    <w:rsid w:val="003B7657"/>
    <w:rsid w:val="003C4C67"/>
    <w:rsid w:val="003C51F4"/>
    <w:rsid w:val="003C6E4A"/>
    <w:rsid w:val="003C772D"/>
    <w:rsid w:val="003D0228"/>
    <w:rsid w:val="003D1B33"/>
    <w:rsid w:val="003D24CB"/>
    <w:rsid w:val="003D27EE"/>
    <w:rsid w:val="003D53C3"/>
    <w:rsid w:val="003D7168"/>
    <w:rsid w:val="003E0E40"/>
    <w:rsid w:val="003E1A77"/>
    <w:rsid w:val="003E258E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5B10"/>
    <w:rsid w:val="00406156"/>
    <w:rsid w:val="00410291"/>
    <w:rsid w:val="00411268"/>
    <w:rsid w:val="00413EAC"/>
    <w:rsid w:val="0041678D"/>
    <w:rsid w:val="004176D6"/>
    <w:rsid w:val="00417AFC"/>
    <w:rsid w:val="0042129C"/>
    <w:rsid w:val="0042163A"/>
    <w:rsid w:val="0042223B"/>
    <w:rsid w:val="00423348"/>
    <w:rsid w:val="00424910"/>
    <w:rsid w:val="00427285"/>
    <w:rsid w:val="00430ADA"/>
    <w:rsid w:val="00430B97"/>
    <w:rsid w:val="0043146A"/>
    <w:rsid w:val="00434076"/>
    <w:rsid w:val="00435A08"/>
    <w:rsid w:val="00436075"/>
    <w:rsid w:val="00441E85"/>
    <w:rsid w:val="00445205"/>
    <w:rsid w:val="00445EC6"/>
    <w:rsid w:val="004547EF"/>
    <w:rsid w:val="0045503E"/>
    <w:rsid w:val="0045665E"/>
    <w:rsid w:val="0046163D"/>
    <w:rsid w:val="004616E1"/>
    <w:rsid w:val="004646BB"/>
    <w:rsid w:val="00464DBE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506E"/>
    <w:rsid w:val="004854C1"/>
    <w:rsid w:val="0049054F"/>
    <w:rsid w:val="00491D7A"/>
    <w:rsid w:val="00491F77"/>
    <w:rsid w:val="00492268"/>
    <w:rsid w:val="00495122"/>
    <w:rsid w:val="0049658B"/>
    <w:rsid w:val="00496D89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38FC"/>
    <w:rsid w:val="004C406E"/>
    <w:rsid w:val="004C4602"/>
    <w:rsid w:val="004C590F"/>
    <w:rsid w:val="004C601E"/>
    <w:rsid w:val="004D0F70"/>
    <w:rsid w:val="004D249A"/>
    <w:rsid w:val="004D722E"/>
    <w:rsid w:val="004E28C0"/>
    <w:rsid w:val="004E2D2E"/>
    <w:rsid w:val="004E43FC"/>
    <w:rsid w:val="004E5C6D"/>
    <w:rsid w:val="004E5DDD"/>
    <w:rsid w:val="004E7272"/>
    <w:rsid w:val="004E75EB"/>
    <w:rsid w:val="004F2073"/>
    <w:rsid w:val="004F3053"/>
    <w:rsid w:val="004F585B"/>
    <w:rsid w:val="004F72CF"/>
    <w:rsid w:val="004F7F71"/>
    <w:rsid w:val="00500A96"/>
    <w:rsid w:val="00506441"/>
    <w:rsid w:val="00506652"/>
    <w:rsid w:val="005068D2"/>
    <w:rsid w:val="00507846"/>
    <w:rsid w:val="00513B18"/>
    <w:rsid w:val="005203A3"/>
    <w:rsid w:val="0052063F"/>
    <w:rsid w:val="0052407A"/>
    <w:rsid w:val="0052460D"/>
    <w:rsid w:val="00530328"/>
    <w:rsid w:val="00534B08"/>
    <w:rsid w:val="00537689"/>
    <w:rsid w:val="00541BE7"/>
    <w:rsid w:val="00543647"/>
    <w:rsid w:val="00547A4A"/>
    <w:rsid w:val="00553689"/>
    <w:rsid w:val="00556BEE"/>
    <w:rsid w:val="005575F6"/>
    <w:rsid w:val="00562952"/>
    <w:rsid w:val="00565559"/>
    <w:rsid w:val="00567EF3"/>
    <w:rsid w:val="00573873"/>
    <w:rsid w:val="00573EAD"/>
    <w:rsid w:val="00574729"/>
    <w:rsid w:val="00576B2D"/>
    <w:rsid w:val="00577F00"/>
    <w:rsid w:val="005802F3"/>
    <w:rsid w:val="00580333"/>
    <w:rsid w:val="00581D9F"/>
    <w:rsid w:val="00585462"/>
    <w:rsid w:val="00586A1E"/>
    <w:rsid w:val="005874AC"/>
    <w:rsid w:val="00591F88"/>
    <w:rsid w:val="0059469D"/>
    <w:rsid w:val="005953A2"/>
    <w:rsid w:val="0059632C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78FB"/>
    <w:rsid w:val="005E1514"/>
    <w:rsid w:val="005E2A49"/>
    <w:rsid w:val="005E3D0F"/>
    <w:rsid w:val="005E3F70"/>
    <w:rsid w:val="005E406D"/>
    <w:rsid w:val="005E7618"/>
    <w:rsid w:val="005F2878"/>
    <w:rsid w:val="005F2CB2"/>
    <w:rsid w:val="005F3723"/>
    <w:rsid w:val="005F38B7"/>
    <w:rsid w:val="005F4164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10020"/>
    <w:rsid w:val="00612F70"/>
    <w:rsid w:val="00614930"/>
    <w:rsid w:val="00615534"/>
    <w:rsid w:val="00621585"/>
    <w:rsid w:val="00622D75"/>
    <w:rsid w:val="00623229"/>
    <w:rsid w:val="00625041"/>
    <w:rsid w:val="0062551A"/>
    <w:rsid w:val="006266EF"/>
    <w:rsid w:val="006312BB"/>
    <w:rsid w:val="006317AB"/>
    <w:rsid w:val="006321C7"/>
    <w:rsid w:val="00632B95"/>
    <w:rsid w:val="006401DF"/>
    <w:rsid w:val="006423E0"/>
    <w:rsid w:val="006440B8"/>
    <w:rsid w:val="00646E28"/>
    <w:rsid w:val="00647C21"/>
    <w:rsid w:val="00654F58"/>
    <w:rsid w:val="00660788"/>
    <w:rsid w:val="00664480"/>
    <w:rsid w:val="00665589"/>
    <w:rsid w:val="00666645"/>
    <w:rsid w:val="00666956"/>
    <w:rsid w:val="00666A05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91E05"/>
    <w:rsid w:val="006944E2"/>
    <w:rsid w:val="00695A43"/>
    <w:rsid w:val="00697F57"/>
    <w:rsid w:val="006A670D"/>
    <w:rsid w:val="006B435D"/>
    <w:rsid w:val="006B7A57"/>
    <w:rsid w:val="006C1A4B"/>
    <w:rsid w:val="006C34D8"/>
    <w:rsid w:val="006C5186"/>
    <w:rsid w:val="006D0E65"/>
    <w:rsid w:val="006D0F60"/>
    <w:rsid w:val="006D1689"/>
    <w:rsid w:val="006D1CD5"/>
    <w:rsid w:val="006D5A4A"/>
    <w:rsid w:val="006E3C0A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3C0C"/>
    <w:rsid w:val="00717481"/>
    <w:rsid w:val="00717670"/>
    <w:rsid w:val="007225C6"/>
    <w:rsid w:val="00722B10"/>
    <w:rsid w:val="00722D49"/>
    <w:rsid w:val="007314CA"/>
    <w:rsid w:val="007362A1"/>
    <w:rsid w:val="00740B2D"/>
    <w:rsid w:val="00741AE6"/>
    <w:rsid w:val="00742545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60E37"/>
    <w:rsid w:val="00760F9F"/>
    <w:rsid w:val="00766BF0"/>
    <w:rsid w:val="0077436A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2907"/>
    <w:rsid w:val="00793D1D"/>
    <w:rsid w:val="00795F51"/>
    <w:rsid w:val="00796AA2"/>
    <w:rsid w:val="007A0EC2"/>
    <w:rsid w:val="007A1324"/>
    <w:rsid w:val="007A18B9"/>
    <w:rsid w:val="007A397A"/>
    <w:rsid w:val="007A7C8F"/>
    <w:rsid w:val="007A7FF6"/>
    <w:rsid w:val="007B0B49"/>
    <w:rsid w:val="007B2259"/>
    <w:rsid w:val="007B264D"/>
    <w:rsid w:val="007B4430"/>
    <w:rsid w:val="007B5AC6"/>
    <w:rsid w:val="007C0896"/>
    <w:rsid w:val="007C1316"/>
    <w:rsid w:val="007C5448"/>
    <w:rsid w:val="007C5993"/>
    <w:rsid w:val="007C6037"/>
    <w:rsid w:val="007C730F"/>
    <w:rsid w:val="007D0073"/>
    <w:rsid w:val="007D1F45"/>
    <w:rsid w:val="007D206A"/>
    <w:rsid w:val="007D267D"/>
    <w:rsid w:val="007D34A1"/>
    <w:rsid w:val="007D4FBE"/>
    <w:rsid w:val="007D7030"/>
    <w:rsid w:val="007D790B"/>
    <w:rsid w:val="007E0BF6"/>
    <w:rsid w:val="007E2709"/>
    <w:rsid w:val="007E2748"/>
    <w:rsid w:val="007E3769"/>
    <w:rsid w:val="007E37BA"/>
    <w:rsid w:val="007E5CBC"/>
    <w:rsid w:val="007E7E41"/>
    <w:rsid w:val="007F0249"/>
    <w:rsid w:val="007F2070"/>
    <w:rsid w:val="007F7B32"/>
    <w:rsid w:val="008022B8"/>
    <w:rsid w:val="00806F91"/>
    <w:rsid w:val="00807257"/>
    <w:rsid w:val="0081314E"/>
    <w:rsid w:val="00822031"/>
    <w:rsid w:val="00824E10"/>
    <w:rsid w:val="0082573A"/>
    <w:rsid w:val="00826597"/>
    <w:rsid w:val="00834328"/>
    <w:rsid w:val="0083532E"/>
    <w:rsid w:val="00837B68"/>
    <w:rsid w:val="00843A20"/>
    <w:rsid w:val="008455ED"/>
    <w:rsid w:val="00845F82"/>
    <w:rsid w:val="00846606"/>
    <w:rsid w:val="00850564"/>
    <w:rsid w:val="00854101"/>
    <w:rsid w:val="00856498"/>
    <w:rsid w:val="0085716D"/>
    <w:rsid w:val="00860B84"/>
    <w:rsid w:val="00863277"/>
    <w:rsid w:val="00863E33"/>
    <w:rsid w:val="008652B7"/>
    <w:rsid w:val="008657AA"/>
    <w:rsid w:val="0087019A"/>
    <w:rsid w:val="008741B3"/>
    <w:rsid w:val="00874E9E"/>
    <w:rsid w:val="008750B1"/>
    <w:rsid w:val="00875163"/>
    <w:rsid w:val="008756A3"/>
    <w:rsid w:val="00877B7C"/>
    <w:rsid w:val="00880B67"/>
    <w:rsid w:val="008813F4"/>
    <w:rsid w:val="008839E5"/>
    <w:rsid w:val="00884C5E"/>
    <w:rsid w:val="00884FA3"/>
    <w:rsid w:val="00884FEF"/>
    <w:rsid w:val="008878A0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5CB0"/>
    <w:rsid w:val="008C1F9B"/>
    <w:rsid w:val="008C20FF"/>
    <w:rsid w:val="008C24EB"/>
    <w:rsid w:val="008C524B"/>
    <w:rsid w:val="008C683B"/>
    <w:rsid w:val="008D0CCE"/>
    <w:rsid w:val="008D38E7"/>
    <w:rsid w:val="008D53DB"/>
    <w:rsid w:val="008D7903"/>
    <w:rsid w:val="008E27A0"/>
    <w:rsid w:val="008E3585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289C"/>
    <w:rsid w:val="0096461C"/>
    <w:rsid w:val="00965A53"/>
    <w:rsid w:val="00965C36"/>
    <w:rsid w:val="00967E22"/>
    <w:rsid w:val="00971F58"/>
    <w:rsid w:val="009752E0"/>
    <w:rsid w:val="00975F3D"/>
    <w:rsid w:val="00976693"/>
    <w:rsid w:val="00980926"/>
    <w:rsid w:val="009815F4"/>
    <w:rsid w:val="009817FB"/>
    <w:rsid w:val="0098383C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5F72"/>
    <w:rsid w:val="009A7B88"/>
    <w:rsid w:val="009A7F01"/>
    <w:rsid w:val="009B2C20"/>
    <w:rsid w:val="009B32DC"/>
    <w:rsid w:val="009B3888"/>
    <w:rsid w:val="009B3959"/>
    <w:rsid w:val="009B6B55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7924"/>
    <w:rsid w:val="009E0569"/>
    <w:rsid w:val="009E0AE8"/>
    <w:rsid w:val="009E1B70"/>
    <w:rsid w:val="009E2DBB"/>
    <w:rsid w:val="009E5E54"/>
    <w:rsid w:val="009E6011"/>
    <w:rsid w:val="009F1DCB"/>
    <w:rsid w:val="009F4500"/>
    <w:rsid w:val="009F4992"/>
    <w:rsid w:val="009F6601"/>
    <w:rsid w:val="009F7EC8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E75"/>
    <w:rsid w:val="00A2233B"/>
    <w:rsid w:val="00A23580"/>
    <w:rsid w:val="00A2712E"/>
    <w:rsid w:val="00A275D5"/>
    <w:rsid w:val="00A318E8"/>
    <w:rsid w:val="00A320A7"/>
    <w:rsid w:val="00A32441"/>
    <w:rsid w:val="00A332FE"/>
    <w:rsid w:val="00A33F83"/>
    <w:rsid w:val="00A371D4"/>
    <w:rsid w:val="00A40D28"/>
    <w:rsid w:val="00A41009"/>
    <w:rsid w:val="00A41471"/>
    <w:rsid w:val="00A4203C"/>
    <w:rsid w:val="00A42C73"/>
    <w:rsid w:val="00A42EC7"/>
    <w:rsid w:val="00A4395E"/>
    <w:rsid w:val="00A506FC"/>
    <w:rsid w:val="00A50D96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57D9"/>
    <w:rsid w:val="00A8133E"/>
    <w:rsid w:val="00A81CD9"/>
    <w:rsid w:val="00A82A63"/>
    <w:rsid w:val="00A916F7"/>
    <w:rsid w:val="00A91A9A"/>
    <w:rsid w:val="00A9343F"/>
    <w:rsid w:val="00A974E9"/>
    <w:rsid w:val="00AA109B"/>
    <w:rsid w:val="00AA3134"/>
    <w:rsid w:val="00AA3867"/>
    <w:rsid w:val="00AB3441"/>
    <w:rsid w:val="00AB4ACC"/>
    <w:rsid w:val="00AB4D2C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5D23"/>
    <w:rsid w:val="00AE1464"/>
    <w:rsid w:val="00AE1FBE"/>
    <w:rsid w:val="00AE4991"/>
    <w:rsid w:val="00AE67A8"/>
    <w:rsid w:val="00AE6EC3"/>
    <w:rsid w:val="00AE734C"/>
    <w:rsid w:val="00AF0B66"/>
    <w:rsid w:val="00AF2C68"/>
    <w:rsid w:val="00AF3150"/>
    <w:rsid w:val="00AF46CF"/>
    <w:rsid w:val="00AF553D"/>
    <w:rsid w:val="00AF6A6D"/>
    <w:rsid w:val="00AF6A81"/>
    <w:rsid w:val="00AF7D95"/>
    <w:rsid w:val="00B0145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30D6"/>
    <w:rsid w:val="00B133F8"/>
    <w:rsid w:val="00B1422F"/>
    <w:rsid w:val="00B1466F"/>
    <w:rsid w:val="00B21040"/>
    <w:rsid w:val="00B21D72"/>
    <w:rsid w:val="00B21F9B"/>
    <w:rsid w:val="00B23450"/>
    <w:rsid w:val="00B23BC4"/>
    <w:rsid w:val="00B30613"/>
    <w:rsid w:val="00B33010"/>
    <w:rsid w:val="00B34621"/>
    <w:rsid w:val="00B347C9"/>
    <w:rsid w:val="00B36B10"/>
    <w:rsid w:val="00B469DC"/>
    <w:rsid w:val="00B47163"/>
    <w:rsid w:val="00B50CD3"/>
    <w:rsid w:val="00B60BF0"/>
    <w:rsid w:val="00B61813"/>
    <w:rsid w:val="00B62767"/>
    <w:rsid w:val="00B629D3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3D03"/>
    <w:rsid w:val="00B84257"/>
    <w:rsid w:val="00B84F6F"/>
    <w:rsid w:val="00B8502E"/>
    <w:rsid w:val="00B85AA3"/>
    <w:rsid w:val="00B8712E"/>
    <w:rsid w:val="00B87184"/>
    <w:rsid w:val="00B921C6"/>
    <w:rsid w:val="00B9228E"/>
    <w:rsid w:val="00B928E7"/>
    <w:rsid w:val="00B96B64"/>
    <w:rsid w:val="00BA054D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58CB"/>
    <w:rsid w:val="00BD31FB"/>
    <w:rsid w:val="00BD3E8B"/>
    <w:rsid w:val="00BD4663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50D"/>
    <w:rsid w:val="00C05BE2"/>
    <w:rsid w:val="00C071C9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46F6"/>
    <w:rsid w:val="00C26360"/>
    <w:rsid w:val="00C275FF"/>
    <w:rsid w:val="00C32E7C"/>
    <w:rsid w:val="00C379A7"/>
    <w:rsid w:val="00C43638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58C5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663C"/>
    <w:rsid w:val="00C77040"/>
    <w:rsid w:val="00C7730E"/>
    <w:rsid w:val="00C80D11"/>
    <w:rsid w:val="00C80D66"/>
    <w:rsid w:val="00C82E2D"/>
    <w:rsid w:val="00C8353F"/>
    <w:rsid w:val="00C838A6"/>
    <w:rsid w:val="00C85603"/>
    <w:rsid w:val="00C86AF6"/>
    <w:rsid w:val="00C902B3"/>
    <w:rsid w:val="00C9036B"/>
    <w:rsid w:val="00C91C58"/>
    <w:rsid w:val="00C92CE6"/>
    <w:rsid w:val="00C9302A"/>
    <w:rsid w:val="00C93556"/>
    <w:rsid w:val="00C958F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D0480"/>
    <w:rsid w:val="00CD1AD7"/>
    <w:rsid w:val="00CD25C7"/>
    <w:rsid w:val="00CD52BB"/>
    <w:rsid w:val="00CD72CE"/>
    <w:rsid w:val="00CD7378"/>
    <w:rsid w:val="00CE216B"/>
    <w:rsid w:val="00CE283F"/>
    <w:rsid w:val="00CF0A90"/>
    <w:rsid w:val="00CF2A93"/>
    <w:rsid w:val="00CF6F19"/>
    <w:rsid w:val="00D01F86"/>
    <w:rsid w:val="00D02DAB"/>
    <w:rsid w:val="00D04EA3"/>
    <w:rsid w:val="00D056CC"/>
    <w:rsid w:val="00D0643E"/>
    <w:rsid w:val="00D06D6C"/>
    <w:rsid w:val="00D12793"/>
    <w:rsid w:val="00D13BED"/>
    <w:rsid w:val="00D15D34"/>
    <w:rsid w:val="00D173BC"/>
    <w:rsid w:val="00D22022"/>
    <w:rsid w:val="00D2263D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22E0"/>
    <w:rsid w:val="00D506A9"/>
    <w:rsid w:val="00D51F5F"/>
    <w:rsid w:val="00D5486C"/>
    <w:rsid w:val="00D55E69"/>
    <w:rsid w:val="00D562ED"/>
    <w:rsid w:val="00D61299"/>
    <w:rsid w:val="00D635F5"/>
    <w:rsid w:val="00D64271"/>
    <w:rsid w:val="00D6430C"/>
    <w:rsid w:val="00D64EC1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53F7"/>
    <w:rsid w:val="00D863AA"/>
    <w:rsid w:val="00D90F8B"/>
    <w:rsid w:val="00D91B7A"/>
    <w:rsid w:val="00D935C2"/>
    <w:rsid w:val="00D9408F"/>
    <w:rsid w:val="00D974EE"/>
    <w:rsid w:val="00DA0032"/>
    <w:rsid w:val="00DA7A16"/>
    <w:rsid w:val="00DB28F8"/>
    <w:rsid w:val="00DC10A1"/>
    <w:rsid w:val="00DC14A7"/>
    <w:rsid w:val="00DC69D9"/>
    <w:rsid w:val="00DC734D"/>
    <w:rsid w:val="00DD0B85"/>
    <w:rsid w:val="00DD0CE6"/>
    <w:rsid w:val="00DD1288"/>
    <w:rsid w:val="00DD1441"/>
    <w:rsid w:val="00DD1E54"/>
    <w:rsid w:val="00DD257F"/>
    <w:rsid w:val="00DD6977"/>
    <w:rsid w:val="00DD6D79"/>
    <w:rsid w:val="00DE35E4"/>
    <w:rsid w:val="00DE4140"/>
    <w:rsid w:val="00DE50C3"/>
    <w:rsid w:val="00DE64C2"/>
    <w:rsid w:val="00DE75C1"/>
    <w:rsid w:val="00DF0C33"/>
    <w:rsid w:val="00DF1739"/>
    <w:rsid w:val="00DF2FC0"/>
    <w:rsid w:val="00DF3CDD"/>
    <w:rsid w:val="00DF5466"/>
    <w:rsid w:val="00DF5BC8"/>
    <w:rsid w:val="00E01BD7"/>
    <w:rsid w:val="00E02674"/>
    <w:rsid w:val="00E02F44"/>
    <w:rsid w:val="00E03261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B28"/>
    <w:rsid w:val="00E34D44"/>
    <w:rsid w:val="00E375A7"/>
    <w:rsid w:val="00E41C9E"/>
    <w:rsid w:val="00E43F85"/>
    <w:rsid w:val="00E513E0"/>
    <w:rsid w:val="00E51C59"/>
    <w:rsid w:val="00E52010"/>
    <w:rsid w:val="00E52A17"/>
    <w:rsid w:val="00E5518D"/>
    <w:rsid w:val="00E60D2D"/>
    <w:rsid w:val="00E610E1"/>
    <w:rsid w:val="00E62C9F"/>
    <w:rsid w:val="00E6524C"/>
    <w:rsid w:val="00E679D5"/>
    <w:rsid w:val="00E70111"/>
    <w:rsid w:val="00E7044D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A0DB4"/>
    <w:rsid w:val="00EA2B80"/>
    <w:rsid w:val="00EA3D1A"/>
    <w:rsid w:val="00EA6468"/>
    <w:rsid w:val="00EA7C36"/>
    <w:rsid w:val="00EB0FD2"/>
    <w:rsid w:val="00EB3E49"/>
    <w:rsid w:val="00EB4AFC"/>
    <w:rsid w:val="00EC00B3"/>
    <w:rsid w:val="00EC01D1"/>
    <w:rsid w:val="00EC7538"/>
    <w:rsid w:val="00ED0BA9"/>
    <w:rsid w:val="00ED18E4"/>
    <w:rsid w:val="00EE1106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7424"/>
    <w:rsid w:val="00F07DC5"/>
    <w:rsid w:val="00F104A4"/>
    <w:rsid w:val="00F10BFA"/>
    <w:rsid w:val="00F12A82"/>
    <w:rsid w:val="00F25EE2"/>
    <w:rsid w:val="00F27404"/>
    <w:rsid w:val="00F27546"/>
    <w:rsid w:val="00F31BF1"/>
    <w:rsid w:val="00F33981"/>
    <w:rsid w:val="00F36301"/>
    <w:rsid w:val="00F36352"/>
    <w:rsid w:val="00F37178"/>
    <w:rsid w:val="00F42F25"/>
    <w:rsid w:val="00F44545"/>
    <w:rsid w:val="00F46174"/>
    <w:rsid w:val="00F47D22"/>
    <w:rsid w:val="00F50E84"/>
    <w:rsid w:val="00F57471"/>
    <w:rsid w:val="00F61CE1"/>
    <w:rsid w:val="00F631E4"/>
    <w:rsid w:val="00F63B5C"/>
    <w:rsid w:val="00F6661A"/>
    <w:rsid w:val="00F673FD"/>
    <w:rsid w:val="00F6749D"/>
    <w:rsid w:val="00F71098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4AB0"/>
    <w:rsid w:val="00F8685D"/>
    <w:rsid w:val="00F86E4B"/>
    <w:rsid w:val="00F90462"/>
    <w:rsid w:val="00F91F60"/>
    <w:rsid w:val="00F94D8A"/>
    <w:rsid w:val="00F97C1E"/>
    <w:rsid w:val="00FA4A67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101A"/>
    <w:rsid w:val="00FD2606"/>
    <w:rsid w:val="00FD2F5C"/>
    <w:rsid w:val="00FD30EA"/>
    <w:rsid w:val="00FD4658"/>
    <w:rsid w:val="00FD5078"/>
    <w:rsid w:val="00FD646B"/>
    <w:rsid w:val="00FD7D0D"/>
    <w:rsid w:val="00FE1A97"/>
    <w:rsid w:val="00FE2FDC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10\&#1079;&#1072;&#1084;&#1088;&#1080;&#1082;&#1080;&#1090;\&#1044;&#1030;&#1040;&#1043;&#1056;&#1040;&#1052;&#1048;\&#1044;&#1110;&#1072;&#1075;&#1088;&#1072;&#1084;&#1080;%20&#1079;&#1072;%209%20&#1084;&#1110;&#1089;%202016%20&#1088;&#1086;&#1082;&#109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erro\Desktop\2016\&#1057;&#1072;&#1081;&#1090;%20(&#1079;&#1074;&#1110;&#1090;%20&#1087;&#1088;&#1086;%20&#1074;&#1080;&#1082;&#1086;&#1085;&#1072;&#1085;&#1085;&#1103;)\9%20&#1084;&#1110;&#1089;&#1103;&#1094;&#1110;&#1074;\&#1044;&#1110;&#1072;&#1075;&#1088;&#1072;&#1084;&#1080;%20&#1079;&#1072;%209%20&#1084;&#1110;&#1089;&#1103;&#1094;&#1110;&#1074;%20201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erro\Desktop\2016\&#1057;&#1072;&#1081;&#1090;%20(&#1079;&#1074;&#1110;&#1090;%20&#1087;&#1088;&#1086;%20&#1074;&#1080;&#1082;&#1086;&#1085;&#1072;&#1085;&#1085;&#1103;)\9%20&#1084;&#1110;&#1089;&#1103;&#1094;&#1110;&#1074;\&#1044;&#1110;&#1072;&#1075;&#1088;&#1072;&#1084;&#1080;%20&#1079;&#1072;%209%20&#1084;&#1110;&#1089;&#1103;&#1094;&#1110;&#1074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доходів загального фонду бюджету міста Запоріжжя за 9 місяців 2016 року</a:t>
            </a:r>
          </a:p>
        </c:rich>
      </c:tx>
      <c:layout>
        <c:manualLayout>
          <c:xMode val="edge"/>
          <c:yMode val="edge"/>
          <c:x val="0.17663503434135042"/>
          <c:y val="1.8874777749555552E-2"/>
        </c:manualLayout>
      </c:layout>
      <c:spPr>
        <a:noFill/>
        <a:ln w="25400">
          <a:noFill/>
        </a:ln>
      </c:spPr>
    </c:title>
    <c:view3D>
      <c:rotX val="30"/>
      <c:rotY val="180"/>
      <c:perspective val="0"/>
    </c:view3D>
    <c:plotArea>
      <c:layout>
        <c:manualLayout>
          <c:layoutTarget val="inner"/>
          <c:xMode val="edge"/>
          <c:yMode val="edge"/>
          <c:x val="0"/>
          <c:y val="0.19712158621681725"/>
          <c:w val="1"/>
          <c:h val="0.62888451443569693"/>
        </c:manualLayout>
      </c:layout>
      <c:pie3DChart>
        <c:varyColors val="1"/>
        <c:ser>
          <c:idx val="0"/>
          <c:order val="0"/>
          <c:tx>
            <c:strRef>
              <c:f>'Структура ЗФ 9міс 2016'!$C$4</c:f>
              <c:strCache>
                <c:ptCount val="1"/>
                <c:pt idx="0">
                  <c:v>Факт за 9 місяців 2016 року</c:v>
                </c:pt>
              </c:strCache>
            </c:strRef>
          </c:tx>
          <c:spPr>
            <a:solidFill>
              <a:srgbClr val="9999FF"/>
            </a:solidFill>
            <a:ln w="50800">
              <a:solidFill>
                <a:srgbClr val="FF0000"/>
              </a:solidFill>
              <a:prstDash val="solid"/>
            </a:ln>
          </c:spPr>
          <c:explosion val="2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 w="50800">
                <a:solidFill>
                  <a:srgbClr val="FF0000"/>
                </a:solidFill>
                <a:prstDash val="solid"/>
              </a:ln>
            </c:spPr>
          </c:dPt>
          <c:dPt>
            <c:idx val="1"/>
            <c:spPr>
              <a:solidFill>
                <a:srgbClr val="FFC000"/>
              </a:solidFill>
              <a:ln w="50800">
                <a:solidFill>
                  <a:srgbClr val="FF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5">
                  <a:lumMod val="20000"/>
                  <a:lumOff val="80000"/>
                </a:schemeClr>
              </a:solidFill>
              <a:ln w="50800">
                <a:solidFill>
                  <a:srgbClr val="FF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 w="50800">
                <a:solidFill>
                  <a:srgbClr val="FF0000"/>
                </a:solidFill>
                <a:prstDash val="solid"/>
              </a:ln>
            </c:spPr>
          </c:dPt>
          <c:dPt>
            <c:idx val="4"/>
            <c:spPr>
              <a:solidFill>
                <a:srgbClr val="00B050"/>
              </a:solidFill>
              <a:ln w="50800">
                <a:solidFill>
                  <a:srgbClr val="FF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8379111739233448E-3"/>
                  <c:y val="-0.15004197588508991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Податок на доходи фізичних осіб - </a:t>
                    </a:r>
                  </a:p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 u="sng">
                        <a:latin typeface="Times New Roman" pitchFamily="18" charset="0"/>
                        <a:cs typeface="Times New Roman" pitchFamily="18" charset="0"/>
                      </a:rPr>
                      <a:t>1 429,4 млн.грн.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                         56,4%</a:t>
                    </a:r>
                  </a:p>
                </c:rich>
              </c:tx>
              <c:spPr>
                <a:solidFill>
                  <a:schemeClr val="bg1">
                    <a:lumMod val="95000"/>
                  </a:schemeClr>
                </a:solidFill>
              </c:spPr>
              <c:dLblPos val="bestFit"/>
            </c:dLbl>
            <c:dLbl>
              <c:idx val="1"/>
              <c:layout>
                <c:manualLayout>
                  <c:x val="7.1518350076930054E-2"/>
                  <c:y val="-4.4285582723212293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Податок на майно -  </a:t>
                    </a:r>
                    <a:r>
                      <a:rPr lang="ru-RU" sz="1100" b="1" u="sng">
                        <a:latin typeface="Times New Roman" pitchFamily="18" charset="0"/>
                        <a:cs typeface="Times New Roman" pitchFamily="18" charset="0"/>
                      </a:rPr>
                      <a:t>595,0 млн.грн.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                                 23,5%</a:t>
                    </a:r>
                  </a:p>
                </c:rich>
              </c:tx>
              <c:spPr>
                <a:solidFill>
                  <a:schemeClr val="bg1">
                    <a:lumMod val="95000"/>
                  </a:schemeClr>
                </a:solidFill>
              </c:spPr>
              <c:dLblPos val="bestFit"/>
            </c:dLbl>
            <c:dLbl>
              <c:idx val="2"/>
              <c:layout>
                <c:manualLayout>
                  <c:x val="5.6990729892658916E-2"/>
                  <c:y val="-5.2065870798408374E-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Єдиний податок - </a:t>
                    </a:r>
                    <a:r>
                      <a:rPr lang="ru-RU" sz="1100" b="1" u="sng">
                        <a:latin typeface="Times New Roman" pitchFamily="18" charset="0"/>
                        <a:cs typeface="Times New Roman" pitchFamily="18" charset="0"/>
                      </a:rPr>
                      <a:t>218,4 млн.грн.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                        8,6%</a:t>
                    </a:r>
                  </a:p>
                </c:rich>
              </c:tx>
              <c:spPr>
                <a:solidFill>
                  <a:schemeClr val="bg1">
                    <a:lumMod val="95000"/>
                  </a:schemeClr>
                </a:solidFill>
              </c:spPr>
              <c:dLblPos val="bestFit"/>
            </c:dLbl>
            <c:dLbl>
              <c:idx val="3"/>
              <c:layout>
                <c:manualLayout>
                  <c:x val="1.9084306272060868E-3"/>
                  <c:y val="3.1842335497536602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Акцизний податок -</a:t>
                    </a:r>
                    <a:r>
                      <a:rPr lang="ru-RU" sz="1100" b="1" baseline="0">
                        <a:latin typeface="Times New Roman" pitchFamily="18" charset="0"/>
                        <a:cs typeface="Times New Roman" pitchFamily="18" charset="0"/>
                      </a:rPr>
                      <a:t>  </a:t>
                    </a:r>
                    <a:r>
                      <a:rPr lang="ru-RU" sz="1100" b="1" u="sng" baseline="0">
                        <a:latin typeface="Times New Roman" pitchFamily="18" charset="0"/>
                        <a:cs typeface="Times New Roman" pitchFamily="18" charset="0"/>
                      </a:rPr>
                      <a:t>185,3</a:t>
                    </a:r>
                    <a:r>
                      <a:rPr lang="ru-RU" sz="1100" b="1" u="sng">
                        <a:latin typeface="Times New Roman" pitchFamily="18" charset="0"/>
                        <a:cs typeface="Times New Roman" pitchFamily="18" charset="0"/>
                      </a:rPr>
                      <a:t> млн.грн.                         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7,3%</a:t>
                    </a:r>
                  </a:p>
                </c:rich>
              </c:tx>
              <c:spPr>
                <a:solidFill>
                  <a:schemeClr val="bg1">
                    <a:lumMod val="95000"/>
                  </a:schemeClr>
                </a:solidFill>
              </c:spPr>
              <c:dLblPos val="bestFit"/>
            </c:dLbl>
            <c:dLbl>
              <c:idx val="4"/>
              <c:layout>
                <c:manualLayout>
                  <c:x val="-0.18046822393092796"/>
                  <c:y val="2.2534918984183614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Інші - </a:t>
                    </a:r>
                  </a:p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100" b="1" u="sng">
                        <a:latin typeface="Times New Roman" pitchFamily="18" charset="0"/>
                        <a:cs typeface="Times New Roman" pitchFamily="18" charset="0"/>
                      </a:rPr>
                      <a:t>104,5 млн.грн.                 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4,1%</a:t>
                    </a:r>
                  </a:p>
                </c:rich>
              </c:tx>
              <c:spPr>
                <a:solidFill>
                  <a:schemeClr val="bg1">
                    <a:lumMod val="95000"/>
                  </a:schemeClr>
                </a:solidFill>
              </c:spPr>
              <c:dLblPos val="bestFit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  <c:leaderLines>
              <c:spPr>
                <a:ln w="19050" cap="flat" cmpd="sng" algn="ctr">
                  <a:solidFill>
                    <a:schemeClr val="dk1"/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</c:leaderLines>
          </c:dLbls>
          <c:cat>
            <c:strRef>
              <c:f>'Структура ЗФ 9міс 2016'!$B$5:$B$9</c:f>
              <c:strCache>
                <c:ptCount val="5"/>
                <c:pt idx="0">
                  <c:v>Податок на доходи фізичних осіб</c:v>
                </c:pt>
                <c:pt idx="1">
                  <c:v>Податок на майно</c:v>
                </c:pt>
                <c:pt idx="2">
                  <c:v>Єдиний податок</c:v>
                </c:pt>
                <c:pt idx="3">
                  <c:v>Акцизний податок </c:v>
                </c:pt>
                <c:pt idx="4">
                  <c:v>Інші</c:v>
                </c:pt>
              </c:strCache>
            </c:strRef>
          </c:cat>
          <c:val>
            <c:numRef>
              <c:f>'Структура ЗФ 9міс 2016'!$C$5:$C$9</c:f>
              <c:numCache>
                <c:formatCode>#,##0.0</c:formatCode>
                <c:ptCount val="5"/>
                <c:pt idx="0">
                  <c:v>1429.4450230000011</c:v>
                </c:pt>
                <c:pt idx="1">
                  <c:v>594.98109099999999</c:v>
                </c:pt>
                <c:pt idx="2">
                  <c:v>218.38269700000023</c:v>
                </c:pt>
                <c:pt idx="3">
                  <c:v>185.27737399999998</c:v>
                </c:pt>
                <c:pt idx="4">
                  <c:v>104.49348400000002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  <a:scene3d>
      <a:camera prst="orthographicFront"/>
      <a:lightRig rig="threePt" dir="t"/>
    </a:scene3d>
    <a:sp3d>
      <a:bevelT w="12700" h="0"/>
      <a:bevelB w="0" h="0"/>
    </a:sp3d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Виконання бюджету міста по видатках загального фонду бюджету за економічною сутністю</a:t>
            </a:r>
          </a:p>
        </c:rich>
      </c:tx>
      <c:layout>
        <c:manualLayout>
          <c:xMode val="edge"/>
          <c:yMode val="edge"/>
          <c:x val="0.10884062768754346"/>
          <c:y val="1.7224596524420433E-3"/>
        </c:manualLayout>
      </c:layout>
    </c:title>
    <c:view3D>
      <c:rotX val="10"/>
      <c:rotY val="40"/>
      <c:rAngAx val="1"/>
    </c:view3D>
    <c:plotArea>
      <c:layout>
        <c:manualLayout>
          <c:layoutTarget val="inner"/>
          <c:xMode val="edge"/>
          <c:yMode val="edge"/>
          <c:x val="8.2798497159162515E-2"/>
          <c:y val="0.13615314436131271"/>
          <c:w val="0.91720145742404202"/>
          <c:h val="0.69622007646410511"/>
        </c:manualLayout>
      </c:layout>
      <c:bar3DChart>
        <c:barDir val="col"/>
        <c:grouping val="clustered"/>
        <c:ser>
          <c:idx val="1"/>
          <c:order val="0"/>
          <c:tx>
            <c:strRef>
              <c:f>'заг. ф. економіка'!$B$1</c:f>
              <c:strCache>
                <c:ptCount val="1"/>
                <c:pt idx="0">
                  <c:v>Планові показники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1.896059174561795E-3"/>
                  <c:y val="7.2450491748521206E-3"/>
                </c:manualLayout>
              </c:layout>
              <c:showVal val="1"/>
            </c:dLbl>
            <c:dLbl>
              <c:idx val="1"/>
              <c:layout>
                <c:manualLayout>
                  <c:x val="1.5517666287667089E-2"/>
                  <c:y val="-1.1371835492674991E-2"/>
                </c:manualLayout>
              </c:layout>
              <c:showVal val="1"/>
            </c:dLbl>
            <c:dLbl>
              <c:idx val="2"/>
              <c:layout>
                <c:manualLayout>
                  <c:x val="9.1874812248938127E-3"/>
                  <c:y val="-1.7021276595744678E-2"/>
                </c:manualLayout>
              </c:layout>
              <c:showVal val="1"/>
            </c:dLbl>
            <c:dLbl>
              <c:idx val="3"/>
              <c:layout>
                <c:manualLayout>
                  <c:x val="3.4453054593351802E-3"/>
                  <c:y val="-8.5106382978723822E-3"/>
                </c:manualLayout>
              </c:layout>
              <c:showVal val="1"/>
            </c:dLbl>
            <c:dLbl>
              <c:idx val="4"/>
              <c:layout>
                <c:manualLayout>
                  <c:x val="9.1874812248938127E-3"/>
                  <c:y val="-1.9858156028368851E-2"/>
                </c:manualLayout>
              </c:layout>
              <c:showVal val="1"/>
            </c:dLbl>
            <c:dLbl>
              <c:idx val="5"/>
              <c:layout>
                <c:manualLayout>
                  <c:x val="1.4475269578150358E-2"/>
                  <c:y val="-7.96812749003987E-3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9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економіка'!$B$2:$B$7</c:f>
              <c:numCache>
                <c:formatCode>0.0</c:formatCode>
                <c:ptCount val="6"/>
                <c:pt idx="0">
                  <c:v>1287.5999999999999</c:v>
                </c:pt>
                <c:pt idx="1">
                  <c:v>979.2</c:v>
                </c:pt>
                <c:pt idx="2">
                  <c:v>203.4</c:v>
                </c:pt>
                <c:pt idx="3">
                  <c:v>72.900000000000006</c:v>
                </c:pt>
                <c:pt idx="4">
                  <c:v>47.3</c:v>
                </c:pt>
                <c:pt idx="5">
                  <c:v>901.1</c:v>
                </c:pt>
              </c:numCache>
            </c:numRef>
          </c:val>
        </c:ser>
        <c:ser>
          <c:idx val="0"/>
          <c:order val="1"/>
          <c:tx>
            <c:strRef>
              <c:f>'заг. ф. економіка'!$C$1</c:f>
              <c:strCache>
                <c:ptCount val="1"/>
                <c:pt idx="0">
                  <c:v>Виконано</c:v>
                </c:pt>
              </c:strCache>
            </c:strRef>
          </c:tx>
          <c:spPr>
            <a:gradFill flip="none" rotWithShape="1"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16200000" scaled="0"/>
              <a:tileRect/>
            </a:gra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5400455863345406E-2"/>
                  <c:y val="-1.1444824377032609E-2"/>
                </c:manualLayout>
              </c:layout>
              <c:showVal val="1"/>
            </c:dLbl>
            <c:dLbl>
              <c:idx val="1"/>
              <c:layout>
                <c:manualLayout>
                  <c:x val="3.9316234024330841E-2"/>
                  <c:y val="-1.1444921316166045E-2"/>
                </c:manualLayout>
              </c:layout>
              <c:showVal val="1"/>
            </c:dLbl>
            <c:dLbl>
              <c:idx val="2"/>
              <c:layout>
                <c:manualLayout>
                  <c:x val="2.1820267909122816E-2"/>
                  <c:y val="-1.7021276595744678E-2"/>
                </c:manualLayout>
              </c:layout>
              <c:showVal val="1"/>
            </c:dLbl>
            <c:dLbl>
              <c:idx val="3"/>
              <c:layout>
                <c:manualLayout>
                  <c:x val="2.2734531661074638E-2"/>
                  <c:y val="-1.1528270121613301E-2"/>
                </c:manualLayout>
              </c:layout>
              <c:showVal val="1"/>
            </c:dLbl>
            <c:dLbl>
              <c:idx val="4"/>
              <c:layout>
                <c:manualLayout>
                  <c:x val="2.1820267909122816E-2"/>
                  <c:y val="-1.9858156028368851E-2"/>
                </c:manualLayout>
              </c:layout>
              <c:showVal val="1"/>
            </c:dLbl>
            <c:dLbl>
              <c:idx val="5"/>
              <c:layout>
                <c:manualLayout>
                  <c:x val="2.9627951378291353E-2"/>
                  <c:y val="-2.5531888195250495E-2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9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економіка'!$C$2:$C$7</c:f>
              <c:numCache>
                <c:formatCode>0.0</c:formatCode>
                <c:ptCount val="6"/>
                <c:pt idx="0">
                  <c:v>1264</c:v>
                </c:pt>
                <c:pt idx="1">
                  <c:v>964.3</c:v>
                </c:pt>
                <c:pt idx="2">
                  <c:v>182.5</c:v>
                </c:pt>
                <c:pt idx="3">
                  <c:v>63.1</c:v>
                </c:pt>
                <c:pt idx="4">
                  <c:v>46.1</c:v>
                </c:pt>
                <c:pt idx="5">
                  <c:v>776.1</c:v>
                </c:pt>
              </c:numCache>
            </c:numRef>
          </c:val>
        </c:ser>
        <c:gapWidth val="53"/>
        <c:gapDepth val="356"/>
        <c:shape val="cylinder"/>
        <c:axId val="85341696"/>
        <c:axId val="85343232"/>
        <c:axId val="0"/>
      </c:bar3DChart>
      <c:catAx>
        <c:axId val="85341696"/>
        <c:scaling>
          <c:orientation val="minMax"/>
        </c:scaling>
        <c:axPos val="b"/>
        <c:tickLblPos val="nextTo"/>
        <c:spPr>
          <a:ln w="15875"/>
        </c:spPr>
        <c:txPr>
          <a:bodyPr rot="0" vert="horz" anchor="ctr" anchorCtr="1"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85343232"/>
        <c:crosses val="autoZero"/>
        <c:lblAlgn val="ctr"/>
        <c:lblOffset val="100"/>
        <c:tickMarkSkip val="12"/>
      </c:catAx>
      <c:valAx>
        <c:axId val="85343232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5341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622909118294454"/>
          <c:y val="0.93800173492318306"/>
          <c:w val="0.29478942656078722"/>
          <c:h val="6.1998265076818986E-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6394147514688382"/>
          <c:y val="0.14984688384272923"/>
          <c:w val="0.51099739614612361"/>
          <c:h val="0.4893461182619430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23"/>
          <c:dLbls>
            <c:dLbl>
              <c:idx val="0"/>
              <c:layout>
                <c:manualLayout>
                  <c:x val="0.10377506511438164"/>
                  <c:y val="-2.885198050068445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Освіта
987,6 млн.грн.
26%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6.7413989681972014E-2"/>
                  <c:y val="-5.53558192255461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Охорона здоров'я
596,5 млн.грн.
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9.4820282142482754E-2"/>
                  <c:y val="5.291197985142889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Культура
79,9 млн.грн. </a:t>
                    </a:r>
                  </a:p>
                  <a:p>
                    <a:r>
                      <a:rPr lang="ru-RU" sz="800" b="0">
                        <a:latin typeface="Arial Narrow" pitchFamily="34" charset="0"/>
                      </a:rPr>
                      <a:t>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0.18969755402212338"/>
                  <c:y val="0.11983875461918443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Фізична культура і спорт
31,6 млн.грн.
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11244544044229809"/>
                  <c:y val="-3.215709825945348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Соціальний захист та соціальне  забезпечення, 
компенсація пільгового проїзду
998,8 млн.грн.
26%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0856743310649254"/>
                  <c:y val="8.783450199375653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Житлово-комунальне та дорожнє господарство
670,8 млн.грн.</a:t>
                    </a:r>
                  </a:p>
                  <a:p>
                    <a:r>
                      <a:rPr lang="ru-RU" sz="800" b="0">
                        <a:latin typeface="Arial Narrow" pitchFamily="34" charset="0"/>
                      </a:rPr>
                      <a:t> 17,7%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4089738637130181"/>
                  <c:y val="-2.985967959226739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Кошти, що передаються до  держаного бюджету
138,9 млн.грн.
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5.9178251273522303E-2"/>
                  <c:y val="-8.08830690321219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Транспорт
80,0 млн.грн.</a:t>
                    </a:r>
                  </a:p>
                  <a:p>
                    <a:r>
                      <a:rPr lang="ru-RU" sz="800" b="0">
                        <a:latin typeface="Arial Narrow" pitchFamily="34" charset="0"/>
                      </a:rPr>
                      <a:t>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16710527122606206"/>
                  <c:y val="-1.396339549957532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Інші видатки
199,9 млн.грн.
5,3%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rgbClr val="FBDDF1"/>
              </a:solidFill>
              <a:scene3d>
                <a:camera prst="orthographicFront"/>
                <a:lightRig rig="threePt" dir="t"/>
              </a:scene3d>
              <a:sp3d prstMaterial="flat">
                <a:bevelT w="234950" h="177800"/>
              </a:sp3d>
            </c:spPr>
            <c:txPr>
              <a:bodyPr/>
              <a:lstStyle/>
              <a:p>
                <a:pPr>
                  <a:defRPr sz="800" b="0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/>
              </c:spPr>
            </c:leaderLines>
          </c:dLbls>
          <c:cat>
            <c:strRef>
              <c:f>'з+с ф. функц.'!$A$1:$A$9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та дорожнє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'з+с ф. функц.'!$B$1:$B$9</c:f>
              <c:numCache>
                <c:formatCode>#,##0.0</c:formatCode>
                <c:ptCount val="9"/>
                <c:pt idx="0">
                  <c:v>987.6</c:v>
                </c:pt>
                <c:pt idx="1">
                  <c:v>596.5</c:v>
                </c:pt>
                <c:pt idx="2">
                  <c:v>79.899999999999991</c:v>
                </c:pt>
                <c:pt idx="3">
                  <c:v>31.6</c:v>
                </c:pt>
                <c:pt idx="4">
                  <c:v>998.8</c:v>
                </c:pt>
                <c:pt idx="5">
                  <c:v>585.29999999999995</c:v>
                </c:pt>
                <c:pt idx="6">
                  <c:v>138.9</c:v>
                </c:pt>
                <c:pt idx="7">
                  <c:v>80</c:v>
                </c:pt>
                <c:pt idx="8">
                  <c:v>285.39999999999969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  <a:scene3d>
      <a:camera prst="orthographicFront"/>
      <a:lightRig rig="threePt" dir="t"/>
    </a:scene3d>
    <a:sp3d prstMaterial="translucentPowder">
      <a:bevelB w="63500" h="165100"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0.19322</cdr:x>
      <cdr:y>0.09268</cdr:y>
    </cdr:from>
    <cdr:to>
      <cdr:x>0.28492</cdr:x>
      <cdr:y>0.15829</cdr:y>
    </cdr:to>
    <cdr:sp macro="" textlink="">
      <cdr:nvSpPr>
        <cdr:cNvPr id="2" name="Выгнутая вверх стрелка 1"/>
        <cdr:cNvSpPr/>
      </cdr:nvSpPr>
      <cdr:spPr>
        <a:xfrm xmlns:a="http://schemas.openxmlformats.org/drawingml/2006/main">
          <a:off x="1103113" y="297454"/>
          <a:ext cx="523534" cy="210545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0.3273</cdr:x>
      <cdr:y>0.19543</cdr:y>
    </cdr:from>
    <cdr:to>
      <cdr:x>0.41054</cdr:x>
      <cdr:y>0.26117</cdr:y>
    </cdr:to>
    <cdr:sp macro="" textlink="">
      <cdr:nvSpPr>
        <cdr:cNvPr id="3" name="Выгнутая вверх стрелка 2"/>
        <cdr:cNvSpPr/>
      </cdr:nvSpPr>
      <cdr:spPr>
        <a:xfrm xmlns:a="http://schemas.openxmlformats.org/drawingml/2006/main" rot="179456">
          <a:off x="1868647" y="627214"/>
          <a:ext cx="475235" cy="210984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0.43737</cdr:x>
      <cdr:y>0.51594</cdr:y>
    </cdr:from>
    <cdr:to>
      <cdr:x>0.52426</cdr:x>
      <cdr:y>0.58473</cdr:y>
    </cdr:to>
    <cdr:sp macro="" textlink="">
      <cdr:nvSpPr>
        <cdr:cNvPr id="4" name="Выгнутая вверх стрелка 3"/>
        <cdr:cNvSpPr/>
      </cdr:nvSpPr>
      <cdr:spPr>
        <a:xfrm xmlns:a="http://schemas.openxmlformats.org/drawingml/2006/main">
          <a:off x="2497043" y="1655854"/>
          <a:ext cx="496048" cy="220757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0.79728</cdr:x>
      <cdr:y>0.26558</cdr:y>
    </cdr:from>
    <cdr:to>
      <cdr:x>0.89299</cdr:x>
      <cdr:y>0.32</cdr:y>
    </cdr:to>
    <cdr:sp macro="" textlink="">
      <cdr:nvSpPr>
        <cdr:cNvPr id="6" name="Выгнутая вверх стрелка 5"/>
        <cdr:cNvSpPr/>
      </cdr:nvSpPr>
      <cdr:spPr>
        <a:xfrm xmlns:a="http://schemas.openxmlformats.org/drawingml/2006/main" rot="211788">
          <a:off x="4551832" y="852332"/>
          <a:ext cx="546411" cy="174678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0.55461</cdr:x>
      <cdr:y>0.56268</cdr:y>
    </cdr:from>
    <cdr:to>
      <cdr:x>0.63441</cdr:x>
      <cdr:y>0.62197</cdr:y>
    </cdr:to>
    <cdr:sp macro="" textlink="">
      <cdr:nvSpPr>
        <cdr:cNvPr id="8" name="Выгнутая вверх стрелка 7"/>
        <cdr:cNvSpPr/>
      </cdr:nvSpPr>
      <cdr:spPr>
        <a:xfrm xmlns:a="http://schemas.openxmlformats.org/drawingml/2006/main">
          <a:off x="3166410" y="1805858"/>
          <a:ext cx="455584" cy="190283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0.68332</cdr:x>
      <cdr:y>0.58256</cdr:y>
    </cdr:from>
    <cdr:to>
      <cdr:x>0.77086</cdr:x>
      <cdr:y>0.64766</cdr:y>
    </cdr:to>
    <cdr:sp macro="" textlink="">
      <cdr:nvSpPr>
        <cdr:cNvPr id="9" name="Выгнутая вверх стрелка 8"/>
        <cdr:cNvSpPr/>
      </cdr:nvSpPr>
      <cdr:spPr>
        <a:xfrm xmlns:a="http://schemas.openxmlformats.org/drawingml/2006/main">
          <a:off x="4083050" y="1869634"/>
          <a:ext cx="523127" cy="208933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0.87758</cdr:x>
      <cdr:y>0.84314</cdr:y>
    </cdr:from>
    <cdr:to>
      <cdr:x>1</cdr:x>
      <cdr:y>0.91912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800725" y="3276599"/>
          <a:ext cx="7905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Arial Narrow" pitchFamily="34" charset="0"/>
            </a:rPr>
            <a:t>млн.грн</a:t>
          </a:r>
          <a:r>
            <a:rPr lang="ru-RU" sz="1100"/>
            <a:t>.</a:t>
          </a:r>
        </a:p>
      </cdr:txBody>
    </cdr:sp>
  </cdr:relSizeAnchor>
  <cdr:relSizeAnchor xmlns:cdr="http://schemas.openxmlformats.org/drawingml/2006/chartDrawing">
    <cdr:from>
      <cdr:x>0.80463</cdr:x>
      <cdr:y>0.26961</cdr:y>
    </cdr:from>
    <cdr:to>
      <cdr:x>0.85476</cdr:x>
      <cdr:y>0.33333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962651" y="1047749"/>
          <a:ext cx="371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0.19743</cdr:x>
      <cdr:y>0.09841</cdr:y>
    </cdr:from>
    <cdr:to>
      <cdr:x>0.28768</cdr:x>
      <cdr:y>0.1527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127165" y="315845"/>
          <a:ext cx="515244" cy="174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98,2</a:t>
          </a:r>
          <a:r>
            <a:rPr lang="ru-RU" sz="1100" b="1"/>
            <a:t>%</a:t>
          </a:r>
        </a:p>
      </cdr:txBody>
    </cdr:sp>
  </cdr:relSizeAnchor>
  <cdr:relSizeAnchor xmlns:cdr="http://schemas.openxmlformats.org/drawingml/2006/chartDrawing">
    <cdr:from>
      <cdr:x>0.32585</cdr:x>
      <cdr:y>0.21143</cdr:y>
    </cdr:from>
    <cdr:to>
      <cdr:x>0.40701</cdr:x>
      <cdr:y>0.28305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860365" y="678568"/>
          <a:ext cx="463362" cy="2298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98,5%</a:t>
          </a:r>
        </a:p>
      </cdr:txBody>
    </cdr:sp>
  </cdr:relSizeAnchor>
  <cdr:relSizeAnchor xmlns:cdr="http://schemas.openxmlformats.org/drawingml/2006/chartDrawing">
    <cdr:from>
      <cdr:x>0.44179</cdr:x>
      <cdr:y>0.52742</cdr:y>
    </cdr:from>
    <cdr:to>
      <cdr:x>0.53682</cdr:x>
      <cdr:y>0.58845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2522286" y="1692677"/>
          <a:ext cx="542522" cy="195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89,7%</a:t>
          </a:r>
        </a:p>
      </cdr:txBody>
    </cdr:sp>
  </cdr:relSizeAnchor>
  <cdr:relSizeAnchor xmlns:cdr="http://schemas.openxmlformats.org/drawingml/2006/chartDrawing">
    <cdr:from>
      <cdr:x>0.55718</cdr:x>
      <cdr:y>0.58002</cdr:y>
    </cdr:from>
    <cdr:to>
      <cdr:x>0.63559</cdr:x>
      <cdr:y>0.62584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181044" y="1861503"/>
          <a:ext cx="447659" cy="147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86,6%</a:t>
          </a:r>
        </a:p>
      </cdr:txBody>
    </cdr:sp>
  </cdr:relSizeAnchor>
  <cdr:relSizeAnchor xmlns:cdr="http://schemas.openxmlformats.org/drawingml/2006/chartDrawing">
    <cdr:from>
      <cdr:x>0.68735</cdr:x>
      <cdr:y>0.59286</cdr:y>
    </cdr:from>
    <cdr:to>
      <cdr:x>0.77037</cdr:x>
      <cdr:y>0.64558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4107158" y="1902691"/>
          <a:ext cx="496073" cy="169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97,4%</a:t>
          </a:r>
        </a:p>
      </cdr:txBody>
    </cdr:sp>
  </cdr:relSizeAnchor>
  <cdr:relSizeAnchor xmlns:cdr="http://schemas.openxmlformats.org/drawingml/2006/chartDrawing">
    <cdr:from>
      <cdr:x>0.81108</cdr:x>
      <cdr:y>0.27399</cdr:y>
    </cdr:from>
    <cdr:to>
      <cdr:x>0.89007</cdr:x>
      <cdr:y>0.3352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630643" y="879335"/>
          <a:ext cx="450935" cy="1964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86,1%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0.07755</cdr:x>
      <cdr:y>0.81448</cdr:y>
    </cdr:from>
    <cdr:to>
      <cdr:x>0.27825</cdr:x>
      <cdr:y>0.94106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9995" y="2408605"/>
          <a:ext cx="1112853" cy="37432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cmpd="sng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>
            <a:lnSpc>
              <a:spcPts val="900"/>
            </a:lnSpc>
          </a:pPr>
          <a:r>
            <a:rPr lang="ru-RU" sz="700" i="1">
              <a:latin typeface="Arial Narrow" pitchFamily="34" charset="0"/>
            </a:rPr>
            <a:t>в т.ч. утримання та заходи соціальних служб - 22,2 млн.грн</a:t>
          </a:r>
          <a:r>
            <a:rPr lang="ru-RU" sz="800" i="1">
              <a:latin typeface="Arial Narrow" pitchFamily="34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1677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yser</cp:lastModifiedBy>
  <cp:revision>7</cp:revision>
  <cp:lastPrinted>2016-11-02T07:16:00Z</cp:lastPrinted>
  <dcterms:created xsi:type="dcterms:W3CDTF">2016-11-01T15:36:00Z</dcterms:created>
  <dcterms:modified xsi:type="dcterms:W3CDTF">2016-11-14T14:50:00Z</dcterms:modified>
</cp:coreProperties>
</file>