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90" w:rsidRPr="001F5290" w:rsidRDefault="001F5290" w:rsidP="001F5290">
      <w:pPr>
        <w:pStyle w:val="a8"/>
        <w:jc w:val="center"/>
        <w:rPr>
          <w:rFonts w:ascii="Times New Roman" w:hAnsi="Times New Roman"/>
          <w:b/>
        </w:rPr>
      </w:pPr>
      <w:r w:rsidRPr="001F5290">
        <w:rPr>
          <w:rFonts w:ascii="Times New Roman" w:hAnsi="Times New Roman"/>
          <w:b/>
        </w:rPr>
        <w:t>ДОВІДКА</w:t>
      </w:r>
    </w:p>
    <w:p w:rsidR="001F5290" w:rsidRPr="001F5290" w:rsidRDefault="001F5290" w:rsidP="001F5290">
      <w:pPr>
        <w:pStyle w:val="a8"/>
        <w:jc w:val="center"/>
        <w:rPr>
          <w:rFonts w:ascii="Times New Roman" w:hAnsi="Times New Roman"/>
          <w:b/>
        </w:rPr>
      </w:pPr>
      <w:r w:rsidRPr="001F5290">
        <w:rPr>
          <w:rFonts w:ascii="Times New Roman" w:hAnsi="Times New Roman"/>
          <w:b/>
        </w:rPr>
        <w:t>про виконання бюджету м.Запоріжжя за І півріччя 2013 року</w:t>
      </w:r>
    </w:p>
    <w:p w:rsidR="00294EC7" w:rsidRPr="007A6C6A" w:rsidRDefault="00294EC7" w:rsidP="001F5290">
      <w:pPr>
        <w:pStyle w:val="a8"/>
        <w:jc w:val="center"/>
        <w:rPr>
          <w:rFonts w:ascii="Times New Roman" w:hAnsi="Times New Roman"/>
          <w:sz w:val="16"/>
          <w:szCs w:val="16"/>
        </w:rPr>
      </w:pPr>
    </w:p>
    <w:p w:rsidR="007A6C6A" w:rsidRPr="007A6C6A" w:rsidRDefault="007A6C6A" w:rsidP="001F5290">
      <w:pPr>
        <w:ind w:firstLine="709"/>
        <w:jc w:val="both"/>
        <w:rPr>
          <w:sz w:val="28"/>
          <w:szCs w:val="28"/>
          <w:u w:val="single"/>
        </w:rPr>
      </w:pPr>
      <w:r w:rsidRPr="007A6C6A">
        <w:rPr>
          <w:sz w:val="28"/>
          <w:szCs w:val="28"/>
          <w:u w:val="single"/>
        </w:rPr>
        <w:t>Доходи</w:t>
      </w:r>
    </w:p>
    <w:p w:rsidR="001F5290" w:rsidRDefault="001F5290" w:rsidP="001F5290">
      <w:pPr>
        <w:ind w:firstLine="709"/>
        <w:jc w:val="both"/>
        <w:rPr>
          <w:sz w:val="28"/>
          <w:szCs w:val="28"/>
        </w:rPr>
      </w:pPr>
      <w:r w:rsidRPr="001F5290">
        <w:rPr>
          <w:sz w:val="28"/>
          <w:szCs w:val="28"/>
        </w:rPr>
        <w:t>До</w:t>
      </w:r>
      <w:r w:rsidR="0047165B">
        <w:rPr>
          <w:sz w:val="28"/>
          <w:szCs w:val="28"/>
        </w:rPr>
        <w:t xml:space="preserve"> бюджету міста за звітний період надійшло доходів в сумі </w:t>
      </w:r>
      <w:r w:rsidRPr="001F5290">
        <w:rPr>
          <w:sz w:val="28"/>
          <w:szCs w:val="28"/>
        </w:rPr>
        <w:t>1 281,4 млн.грн.</w:t>
      </w:r>
      <w:r w:rsidR="0047165B">
        <w:rPr>
          <w:sz w:val="28"/>
          <w:szCs w:val="28"/>
        </w:rPr>
        <w:t xml:space="preserve">, в тому числі до </w:t>
      </w:r>
      <w:r w:rsidRPr="001F5290">
        <w:rPr>
          <w:sz w:val="28"/>
          <w:szCs w:val="28"/>
        </w:rPr>
        <w:t xml:space="preserve">загального фонду бюджету </w:t>
      </w:r>
      <w:r w:rsidR="0047165B">
        <w:rPr>
          <w:sz w:val="28"/>
          <w:szCs w:val="28"/>
        </w:rPr>
        <w:t>-</w:t>
      </w:r>
      <w:r w:rsidRPr="001F5290">
        <w:rPr>
          <w:sz w:val="28"/>
          <w:szCs w:val="28"/>
        </w:rPr>
        <w:t xml:space="preserve"> 1 145,</w:t>
      </w:r>
      <w:r w:rsidR="0047165B">
        <w:rPr>
          <w:sz w:val="28"/>
          <w:szCs w:val="28"/>
        </w:rPr>
        <w:t>3</w:t>
      </w:r>
      <w:r w:rsidRPr="001F5290">
        <w:rPr>
          <w:sz w:val="28"/>
          <w:szCs w:val="28"/>
        </w:rPr>
        <w:t> млн.грн.,</w:t>
      </w:r>
      <w:r w:rsidR="0047165B">
        <w:rPr>
          <w:sz w:val="28"/>
          <w:szCs w:val="28"/>
        </w:rPr>
        <w:t xml:space="preserve"> спеціального фонду – 136,1 млн.грн.</w:t>
      </w:r>
    </w:p>
    <w:p w:rsidR="001239ED" w:rsidRPr="001F5290" w:rsidRDefault="001239ED" w:rsidP="001F5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обсягом податкових надходжень до місцевих бюджетів у розрахунку на одиницю населення (1149,10 грн.) місто посідає ІІ місце </w:t>
      </w:r>
      <w:r w:rsidR="00473ACA">
        <w:rPr>
          <w:sz w:val="28"/>
          <w:szCs w:val="28"/>
        </w:rPr>
        <w:t xml:space="preserve">серед </w:t>
      </w:r>
      <w:r w:rsidR="00535539">
        <w:rPr>
          <w:sz w:val="28"/>
          <w:szCs w:val="28"/>
        </w:rPr>
        <w:t>територій області</w:t>
      </w:r>
      <w:r w:rsidR="00473ACA">
        <w:rPr>
          <w:sz w:val="28"/>
          <w:szCs w:val="28"/>
        </w:rPr>
        <w:t>.</w:t>
      </w:r>
    </w:p>
    <w:p w:rsidR="001F5290" w:rsidRDefault="0099224C" w:rsidP="00CB5B0A">
      <w:pPr>
        <w:jc w:val="center"/>
        <w:rPr>
          <w:sz w:val="28"/>
          <w:szCs w:val="28"/>
        </w:rPr>
      </w:pPr>
      <w:r w:rsidRPr="0099224C">
        <w:rPr>
          <w:noProof/>
          <w:sz w:val="28"/>
          <w:szCs w:val="28"/>
          <w:lang w:val="ru-RU"/>
        </w:rPr>
        <w:drawing>
          <wp:inline distT="0" distB="0" distL="0" distR="0">
            <wp:extent cx="5676900" cy="34766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5290" w:rsidRPr="001F5290" w:rsidRDefault="001F5290" w:rsidP="001F5290">
      <w:pPr>
        <w:ind w:firstLine="709"/>
        <w:jc w:val="both"/>
        <w:rPr>
          <w:sz w:val="28"/>
          <w:szCs w:val="28"/>
        </w:rPr>
      </w:pPr>
      <w:r w:rsidRPr="001F5290">
        <w:rPr>
          <w:sz w:val="28"/>
          <w:szCs w:val="28"/>
        </w:rPr>
        <w:t xml:space="preserve">Без врахування трансфертів план по доходах загального фонду виконаний на 102,8 відсотка, понад плану до бюджету міста надійшло 22,6 млн.грн. У порівнянні з </w:t>
      </w:r>
      <w:r w:rsidR="0047165B">
        <w:rPr>
          <w:sz w:val="28"/>
          <w:szCs w:val="28"/>
        </w:rPr>
        <w:t xml:space="preserve">відповідним періодом минулого року </w:t>
      </w:r>
      <w:r w:rsidRPr="001F5290">
        <w:rPr>
          <w:sz w:val="28"/>
          <w:szCs w:val="28"/>
        </w:rPr>
        <w:t xml:space="preserve">доходи зросли на 22,3 млн.грн. або на 2,8 відсотка. </w:t>
      </w:r>
    </w:p>
    <w:p w:rsidR="00CB5B0A" w:rsidRDefault="00CB5B0A" w:rsidP="0069019F">
      <w:pPr>
        <w:pStyle w:val="a8"/>
        <w:ind w:firstLine="708"/>
        <w:jc w:val="both"/>
        <w:rPr>
          <w:rFonts w:ascii="Times New Roman" w:hAnsi="Times New Roman"/>
        </w:rPr>
      </w:pPr>
      <w:r w:rsidRPr="00CB5B0A">
        <w:rPr>
          <w:rFonts w:ascii="Times New Roman" w:hAnsi="Times New Roman"/>
          <w:noProof/>
          <w:lang w:val="ru-RU"/>
        </w:rPr>
        <w:drawing>
          <wp:inline distT="0" distB="0" distL="0" distR="0">
            <wp:extent cx="4810125" cy="28860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019F" w:rsidRDefault="0069019F" w:rsidP="0069019F">
      <w:pPr>
        <w:pStyle w:val="a8"/>
        <w:ind w:firstLine="708"/>
        <w:jc w:val="both"/>
        <w:rPr>
          <w:rFonts w:ascii="Times New Roman" w:hAnsi="Times New Roman"/>
        </w:rPr>
      </w:pPr>
      <w:r w:rsidRPr="00462634">
        <w:rPr>
          <w:rFonts w:ascii="Times New Roman" w:hAnsi="Times New Roman"/>
        </w:rPr>
        <w:t xml:space="preserve">Найбільшим джерелом надходжень </w:t>
      </w:r>
      <w:r w:rsidR="00CB5B0A">
        <w:rPr>
          <w:rFonts w:ascii="Times New Roman" w:hAnsi="Times New Roman"/>
        </w:rPr>
        <w:t>загального фонду бюджету міста</w:t>
      </w:r>
      <w:r w:rsidRPr="00462634">
        <w:rPr>
          <w:rFonts w:ascii="Times New Roman" w:hAnsi="Times New Roman"/>
        </w:rPr>
        <w:t xml:space="preserve"> є </w:t>
      </w:r>
      <w:r w:rsidR="00CB5B0A">
        <w:rPr>
          <w:rFonts w:ascii="Times New Roman" w:hAnsi="Times New Roman"/>
        </w:rPr>
        <w:t>податок на доходи фізичних осіб</w:t>
      </w:r>
      <w:r w:rsidRPr="00462634">
        <w:rPr>
          <w:rFonts w:ascii="Times New Roman" w:hAnsi="Times New Roman"/>
        </w:rPr>
        <w:t xml:space="preserve">, надходження якого склали 604,9 млн.грн. </w:t>
      </w:r>
      <w:r w:rsidR="00462634" w:rsidRPr="00462634">
        <w:rPr>
          <w:rFonts w:ascii="Times New Roman" w:hAnsi="Times New Roman"/>
        </w:rPr>
        <w:t xml:space="preserve">В порівнянні з відповідним періодом минулого року </w:t>
      </w:r>
      <w:r w:rsidR="00CB5B0A">
        <w:rPr>
          <w:rFonts w:ascii="Times New Roman" w:hAnsi="Times New Roman"/>
        </w:rPr>
        <w:t xml:space="preserve">надходження зазначеного </w:t>
      </w:r>
      <w:r w:rsidR="00CB5B0A">
        <w:rPr>
          <w:rFonts w:ascii="Times New Roman" w:hAnsi="Times New Roman"/>
        </w:rPr>
        <w:lastRenderedPageBreak/>
        <w:t>податку зросли на</w:t>
      </w:r>
      <w:r w:rsidR="00462634" w:rsidRPr="00462634">
        <w:rPr>
          <w:rFonts w:ascii="Times New Roman" w:hAnsi="Times New Roman"/>
        </w:rPr>
        <w:t xml:space="preserve"> 2,4 відсотка (14,2 млн.грн.).</w:t>
      </w:r>
      <w:r w:rsidR="00B1316D">
        <w:rPr>
          <w:rFonts w:ascii="Times New Roman" w:hAnsi="Times New Roman"/>
        </w:rPr>
        <w:t xml:space="preserve"> Виконавчими органам міської ради спільно з податковими органами проводиться робота з підприємствами міста щодо підвищення фонду оплати праці та середньомісячної заробітної плати, в результаті чого протягом звітного періоду до бюджету міста додатково мобілізовано 3,7 млн.грн податку на доходи фізичних осіб.</w:t>
      </w:r>
    </w:p>
    <w:p w:rsidR="000736D8" w:rsidRPr="00462634" w:rsidRDefault="000736D8" w:rsidP="0069019F">
      <w:pPr>
        <w:pStyle w:val="a8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Завдяки роботі міської та районних комісій з питання погашення заборгованості з виплати заробітної плати, пенсій, стипендій та інших соціальних виплат 14 підприємств міста скоротили </w:t>
      </w:r>
      <w:r w:rsidR="004138B9">
        <w:rPr>
          <w:rFonts w:ascii="Times New Roman" w:hAnsi="Times New Roman"/>
        </w:rPr>
        <w:t>борги перед працівниками на загальну суму 5,6 млн.грн.</w:t>
      </w:r>
    </w:p>
    <w:p w:rsidR="001F5290" w:rsidRPr="001F5290" w:rsidRDefault="001F5290" w:rsidP="001F5290">
      <w:pPr>
        <w:ind w:firstLine="709"/>
        <w:jc w:val="both"/>
        <w:rPr>
          <w:sz w:val="28"/>
          <w:szCs w:val="28"/>
        </w:rPr>
      </w:pPr>
      <w:r w:rsidRPr="001F5290">
        <w:rPr>
          <w:sz w:val="28"/>
          <w:szCs w:val="28"/>
        </w:rPr>
        <w:t>Плата за землю є друг</w:t>
      </w:r>
      <w:r w:rsidR="009D7271">
        <w:rPr>
          <w:sz w:val="28"/>
          <w:szCs w:val="28"/>
        </w:rPr>
        <w:t>ою складовою доходів загального фонду бюджету міста</w:t>
      </w:r>
      <w:r w:rsidRPr="001F5290">
        <w:rPr>
          <w:sz w:val="28"/>
          <w:szCs w:val="28"/>
        </w:rPr>
        <w:t xml:space="preserve">. </w:t>
      </w:r>
      <w:r w:rsidR="009D7271">
        <w:rPr>
          <w:sz w:val="28"/>
          <w:szCs w:val="28"/>
        </w:rPr>
        <w:t xml:space="preserve">За звітний період надійшло </w:t>
      </w:r>
      <w:r w:rsidRPr="001F5290">
        <w:rPr>
          <w:sz w:val="28"/>
          <w:szCs w:val="28"/>
        </w:rPr>
        <w:t xml:space="preserve">179,4 млн.грн., виконання плану </w:t>
      </w:r>
      <w:r w:rsidR="00595CA7">
        <w:rPr>
          <w:sz w:val="28"/>
          <w:szCs w:val="28"/>
        </w:rPr>
        <w:t>становить</w:t>
      </w:r>
      <w:r w:rsidRPr="001F5290">
        <w:rPr>
          <w:sz w:val="28"/>
          <w:szCs w:val="28"/>
        </w:rPr>
        <w:t xml:space="preserve"> 106,9 відсотка. В порівнянні </w:t>
      </w:r>
      <w:r w:rsidR="00595CA7">
        <w:rPr>
          <w:sz w:val="28"/>
          <w:szCs w:val="28"/>
        </w:rPr>
        <w:t xml:space="preserve">з минулорічними показниками зазначені надходження </w:t>
      </w:r>
      <w:r w:rsidRPr="001F5290">
        <w:rPr>
          <w:sz w:val="28"/>
          <w:szCs w:val="28"/>
        </w:rPr>
        <w:t>зрос</w:t>
      </w:r>
      <w:r w:rsidR="00595CA7">
        <w:rPr>
          <w:sz w:val="28"/>
          <w:szCs w:val="28"/>
        </w:rPr>
        <w:t>ли</w:t>
      </w:r>
      <w:r w:rsidRPr="001F5290">
        <w:rPr>
          <w:sz w:val="28"/>
          <w:szCs w:val="28"/>
        </w:rPr>
        <w:t xml:space="preserve"> </w:t>
      </w:r>
      <w:r w:rsidR="00595CA7">
        <w:rPr>
          <w:sz w:val="28"/>
          <w:szCs w:val="28"/>
        </w:rPr>
        <w:t xml:space="preserve">на </w:t>
      </w:r>
      <w:r w:rsidRPr="001F5290">
        <w:rPr>
          <w:sz w:val="28"/>
          <w:szCs w:val="28"/>
        </w:rPr>
        <w:t xml:space="preserve">14,3 млн.грн. або 8,7 відсотка. </w:t>
      </w:r>
      <w:r w:rsidR="008E0FFE">
        <w:rPr>
          <w:sz w:val="28"/>
          <w:szCs w:val="28"/>
        </w:rPr>
        <w:t>Позитивно на виконання планових показників позначилась проведена робота по приведенню договорів оренди земельних ділянок у відповідність до норм чинного законодавства та перерахунків вартості землі згідно з діючою нормативною грошовою оцінкою. Завдяки цьому додатково бюджет міста отримав понад 10,0 млн.грн. плати за землю.</w:t>
      </w:r>
    </w:p>
    <w:p w:rsidR="001F5290" w:rsidRPr="001F5290" w:rsidRDefault="001F5290" w:rsidP="00595CA7">
      <w:pPr>
        <w:pStyle w:val="a8"/>
        <w:ind w:firstLine="709"/>
        <w:jc w:val="both"/>
        <w:rPr>
          <w:rFonts w:ascii="Times New Roman" w:hAnsi="Times New Roman"/>
        </w:rPr>
      </w:pPr>
      <w:r w:rsidRPr="001F5290">
        <w:rPr>
          <w:rFonts w:ascii="Times New Roman" w:hAnsi="Times New Roman"/>
        </w:rPr>
        <w:t xml:space="preserve">Станом на 01.07.2013 року бюджет </w:t>
      </w:r>
      <w:r w:rsidR="00595CA7">
        <w:rPr>
          <w:rFonts w:ascii="Times New Roman" w:hAnsi="Times New Roman"/>
        </w:rPr>
        <w:t>отримав</w:t>
      </w:r>
      <w:r w:rsidRPr="001F5290">
        <w:rPr>
          <w:rFonts w:ascii="Times New Roman" w:hAnsi="Times New Roman"/>
        </w:rPr>
        <w:t xml:space="preserve"> податку на прибуток підприємств комунальної власності в сумі 21,9 млн.грн.</w:t>
      </w:r>
      <w:r w:rsidR="00595CA7">
        <w:rPr>
          <w:rFonts w:ascii="Times New Roman" w:hAnsi="Times New Roman"/>
        </w:rPr>
        <w:t>,</w:t>
      </w:r>
      <w:r w:rsidRPr="001F5290">
        <w:rPr>
          <w:rFonts w:ascii="Times New Roman" w:hAnsi="Times New Roman"/>
        </w:rPr>
        <w:t xml:space="preserve"> </w:t>
      </w:r>
      <w:r w:rsidR="00595CA7" w:rsidRPr="001F5290">
        <w:rPr>
          <w:rFonts w:ascii="Times New Roman" w:hAnsi="Times New Roman"/>
        </w:rPr>
        <w:t>орендної плати за користування майном комунальної власності</w:t>
      </w:r>
      <w:r w:rsidR="00595CA7">
        <w:rPr>
          <w:rFonts w:ascii="Times New Roman" w:hAnsi="Times New Roman"/>
        </w:rPr>
        <w:t xml:space="preserve"> – 8,2 млн.грн., плати за користування надрами – 3,6 млн.грн.,</w:t>
      </w:r>
      <w:r w:rsidRPr="001F5290">
        <w:rPr>
          <w:rFonts w:ascii="Times New Roman" w:hAnsi="Times New Roman"/>
        </w:rPr>
        <w:t xml:space="preserve"> місцевих податків і зборів </w:t>
      </w:r>
      <w:r w:rsidR="00595CA7">
        <w:rPr>
          <w:rFonts w:ascii="Times New Roman" w:hAnsi="Times New Roman"/>
        </w:rPr>
        <w:t xml:space="preserve">- </w:t>
      </w:r>
      <w:r w:rsidRPr="001F5290">
        <w:rPr>
          <w:rFonts w:ascii="Times New Roman" w:hAnsi="Times New Roman"/>
        </w:rPr>
        <w:t xml:space="preserve">5,9 млн.грн. </w:t>
      </w:r>
    </w:p>
    <w:p w:rsidR="00DF03FC" w:rsidRDefault="001F5290" w:rsidP="001F5290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90">
        <w:rPr>
          <w:rFonts w:ascii="Times New Roman" w:hAnsi="Times New Roman"/>
          <w:sz w:val="28"/>
          <w:szCs w:val="28"/>
        </w:rPr>
        <w:t xml:space="preserve">Надходження спеціального фонду бюджету міста склали 136,1 млн.грн., </w:t>
      </w:r>
      <w:r w:rsidR="00595CA7">
        <w:rPr>
          <w:rFonts w:ascii="Times New Roman" w:hAnsi="Times New Roman"/>
          <w:sz w:val="28"/>
          <w:szCs w:val="28"/>
        </w:rPr>
        <w:t xml:space="preserve">з яких </w:t>
      </w:r>
      <w:r w:rsidRPr="001F5290">
        <w:rPr>
          <w:rFonts w:ascii="Times New Roman" w:hAnsi="Times New Roman"/>
          <w:sz w:val="28"/>
          <w:szCs w:val="28"/>
        </w:rPr>
        <w:t xml:space="preserve">субвенції з державного </w:t>
      </w:r>
      <w:r w:rsidR="00444D85">
        <w:rPr>
          <w:rFonts w:ascii="Times New Roman" w:hAnsi="Times New Roman"/>
          <w:sz w:val="28"/>
          <w:szCs w:val="28"/>
        </w:rPr>
        <w:t xml:space="preserve">та обласного </w:t>
      </w:r>
      <w:r w:rsidRPr="001F5290">
        <w:rPr>
          <w:rFonts w:ascii="Times New Roman" w:hAnsi="Times New Roman"/>
          <w:sz w:val="28"/>
          <w:szCs w:val="28"/>
        </w:rPr>
        <w:t>бюджет</w:t>
      </w:r>
      <w:r w:rsidR="00444D85">
        <w:rPr>
          <w:rFonts w:ascii="Times New Roman" w:hAnsi="Times New Roman"/>
          <w:sz w:val="28"/>
          <w:szCs w:val="28"/>
        </w:rPr>
        <w:t>ів</w:t>
      </w:r>
      <w:r w:rsidRPr="001F5290">
        <w:rPr>
          <w:rFonts w:ascii="Times New Roman" w:hAnsi="Times New Roman"/>
          <w:sz w:val="28"/>
          <w:szCs w:val="28"/>
        </w:rPr>
        <w:t xml:space="preserve"> – 11,7 млн.грн. Без урахування офіційних трансфертів п</w:t>
      </w:r>
      <w:r w:rsidR="00DF03FC">
        <w:rPr>
          <w:rFonts w:ascii="Times New Roman" w:hAnsi="Times New Roman"/>
          <w:sz w:val="28"/>
          <w:szCs w:val="28"/>
        </w:rPr>
        <w:t>лан виконаний на 100,6 відсотка, порівняно з відповідним періодом минулого року надходження зросли на 23,5 млн.грн.</w:t>
      </w:r>
      <w:r w:rsidRPr="001F5290">
        <w:rPr>
          <w:rFonts w:ascii="Times New Roman" w:hAnsi="Times New Roman"/>
          <w:sz w:val="28"/>
          <w:szCs w:val="28"/>
        </w:rPr>
        <w:t xml:space="preserve"> Найбільшу питому вагу в доходах займають єдиний податок (48,9 відсотка або 60,9 млн.грн.) та власні надходження бюджетних установ (41,2 відсотка або 51,2 млн.грн.). </w:t>
      </w:r>
    </w:p>
    <w:p w:rsidR="009A4F86" w:rsidRDefault="009A4F86" w:rsidP="001F5290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результаті проведення організаційної роботи щодо виявлення забудовників земельних ділянок для залучення їх до пайової участі у розвитку інженерно-транспортної та соціальної інфраструктури міста бюджет розвитку міста поповнився коштами пайової участі у розмірі 0,2 млн.грн.</w:t>
      </w:r>
    </w:p>
    <w:p w:rsidR="001774C0" w:rsidRDefault="001774C0" w:rsidP="001F5290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Наразі триває робота по формуванню </w:t>
      </w:r>
      <w:r w:rsidR="003C6820">
        <w:rPr>
          <w:rFonts w:ascii="Times New Roman" w:hAnsi="Times New Roman"/>
          <w:sz w:val="28"/>
          <w:szCs w:val="28"/>
        </w:rPr>
        <w:t>реєстру платників податку на нерухоме майно, відмінне від земельної ділянки</w:t>
      </w:r>
      <w:r w:rsidR="001239ED">
        <w:rPr>
          <w:rFonts w:ascii="Times New Roman" w:hAnsi="Times New Roman"/>
          <w:sz w:val="28"/>
          <w:szCs w:val="28"/>
        </w:rPr>
        <w:t>, та забезпеченню взяття податковими органами платників на облік</w:t>
      </w:r>
      <w:r w:rsidR="00A83594">
        <w:rPr>
          <w:rFonts w:ascii="Times New Roman" w:hAnsi="Times New Roman"/>
          <w:sz w:val="28"/>
          <w:szCs w:val="28"/>
        </w:rPr>
        <w:t xml:space="preserve">. </w:t>
      </w:r>
      <w:r w:rsidR="005C4B0E">
        <w:rPr>
          <w:rFonts w:ascii="Times New Roman" w:hAnsi="Times New Roman"/>
          <w:sz w:val="28"/>
          <w:szCs w:val="28"/>
        </w:rPr>
        <w:t>В поточному році здійснюється справляння зазначеного податку з юридичних осіб, а вже з наступного року податок будуть сплачувати також і фізичні особи у відповідності до останніх змін, внесених до Податкового кодексу України.</w:t>
      </w:r>
    </w:p>
    <w:p w:rsidR="001F5290" w:rsidRPr="00CC5510" w:rsidRDefault="001F5290" w:rsidP="001F5290">
      <w:pPr>
        <w:ind w:firstLine="900"/>
        <w:jc w:val="both"/>
        <w:rPr>
          <w:i/>
          <w:sz w:val="16"/>
          <w:szCs w:val="16"/>
          <w:u w:val="single"/>
        </w:rPr>
      </w:pPr>
    </w:p>
    <w:p w:rsidR="007A6C6A" w:rsidRPr="007A6C6A" w:rsidRDefault="007A6C6A" w:rsidP="001F5290">
      <w:pPr>
        <w:ind w:firstLine="900"/>
        <w:jc w:val="both"/>
        <w:rPr>
          <w:sz w:val="28"/>
          <w:szCs w:val="28"/>
          <w:u w:val="single"/>
        </w:rPr>
      </w:pPr>
      <w:r w:rsidRPr="007A6C6A">
        <w:rPr>
          <w:sz w:val="28"/>
          <w:szCs w:val="28"/>
          <w:u w:val="single"/>
        </w:rPr>
        <w:t>Видатки</w:t>
      </w:r>
    </w:p>
    <w:p w:rsidR="00D85058" w:rsidRDefault="00F37918" w:rsidP="001F5290">
      <w:pPr>
        <w:ind w:firstLine="900"/>
        <w:jc w:val="both"/>
        <w:rPr>
          <w:sz w:val="28"/>
          <w:szCs w:val="28"/>
        </w:rPr>
      </w:pPr>
      <w:r w:rsidRPr="001F5290">
        <w:rPr>
          <w:sz w:val="28"/>
          <w:szCs w:val="28"/>
        </w:rPr>
        <w:t xml:space="preserve">За </w:t>
      </w:r>
      <w:r w:rsidR="00DF03FC">
        <w:rPr>
          <w:sz w:val="28"/>
          <w:szCs w:val="28"/>
        </w:rPr>
        <w:t>звітний період</w:t>
      </w:r>
      <w:r w:rsidRPr="001F5290">
        <w:rPr>
          <w:sz w:val="28"/>
          <w:szCs w:val="28"/>
        </w:rPr>
        <w:t xml:space="preserve"> з бюджету міста проведено видатк</w:t>
      </w:r>
      <w:r w:rsidR="006C5EB9" w:rsidRPr="001F5290">
        <w:rPr>
          <w:sz w:val="28"/>
          <w:szCs w:val="28"/>
        </w:rPr>
        <w:t>ів</w:t>
      </w:r>
      <w:r w:rsidRPr="001F5290">
        <w:rPr>
          <w:sz w:val="28"/>
          <w:szCs w:val="28"/>
        </w:rPr>
        <w:t xml:space="preserve"> на загальну</w:t>
      </w:r>
      <w:r>
        <w:rPr>
          <w:sz w:val="28"/>
          <w:szCs w:val="28"/>
        </w:rPr>
        <w:t xml:space="preserve"> суму </w:t>
      </w:r>
      <w:r w:rsidR="00905DB7">
        <w:rPr>
          <w:sz w:val="28"/>
          <w:szCs w:val="28"/>
        </w:rPr>
        <w:t>1423,4</w:t>
      </w:r>
      <w:r w:rsidR="0078340B">
        <w:rPr>
          <w:sz w:val="28"/>
          <w:szCs w:val="28"/>
        </w:rPr>
        <w:t xml:space="preserve"> млн.грн., із яких </w:t>
      </w:r>
      <w:r w:rsidR="00796E66">
        <w:rPr>
          <w:sz w:val="28"/>
          <w:szCs w:val="28"/>
        </w:rPr>
        <w:t>за</w:t>
      </w:r>
      <w:r w:rsidR="0078340B">
        <w:rPr>
          <w:sz w:val="28"/>
          <w:szCs w:val="28"/>
        </w:rPr>
        <w:t xml:space="preserve"> загальн</w:t>
      </w:r>
      <w:r w:rsidR="00796E66">
        <w:rPr>
          <w:sz w:val="28"/>
          <w:szCs w:val="28"/>
        </w:rPr>
        <w:t>им</w:t>
      </w:r>
      <w:r w:rsidR="0078340B">
        <w:rPr>
          <w:sz w:val="28"/>
          <w:szCs w:val="28"/>
        </w:rPr>
        <w:t xml:space="preserve"> фонд</w:t>
      </w:r>
      <w:r w:rsidR="00796E66">
        <w:rPr>
          <w:sz w:val="28"/>
          <w:szCs w:val="28"/>
        </w:rPr>
        <w:t>ом</w:t>
      </w:r>
      <w:r w:rsidR="0078340B">
        <w:rPr>
          <w:sz w:val="28"/>
          <w:szCs w:val="28"/>
        </w:rPr>
        <w:t xml:space="preserve"> бюджету </w:t>
      </w:r>
      <w:r w:rsidR="00796E66">
        <w:rPr>
          <w:sz w:val="28"/>
          <w:szCs w:val="28"/>
        </w:rPr>
        <w:t>-</w:t>
      </w:r>
      <w:r w:rsidR="0078340B">
        <w:rPr>
          <w:sz w:val="28"/>
          <w:szCs w:val="28"/>
        </w:rPr>
        <w:t xml:space="preserve"> 1</w:t>
      </w:r>
      <w:r w:rsidR="00905DB7">
        <w:rPr>
          <w:sz w:val="28"/>
          <w:szCs w:val="28"/>
        </w:rPr>
        <w:t>312</w:t>
      </w:r>
      <w:r w:rsidR="0078340B">
        <w:rPr>
          <w:sz w:val="28"/>
          <w:szCs w:val="28"/>
        </w:rPr>
        <w:t xml:space="preserve">,1 млн.грн. або </w:t>
      </w:r>
      <w:r w:rsidR="00905DB7">
        <w:rPr>
          <w:sz w:val="28"/>
          <w:szCs w:val="28"/>
        </w:rPr>
        <w:t>89,6 відсотка планових показників на відповідний період,</w:t>
      </w:r>
      <w:r w:rsidR="0078340B">
        <w:rPr>
          <w:sz w:val="28"/>
          <w:szCs w:val="28"/>
        </w:rPr>
        <w:t xml:space="preserve"> </w:t>
      </w:r>
      <w:r w:rsidR="00796E66">
        <w:rPr>
          <w:sz w:val="28"/>
          <w:szCs w:val="28"/>
        </w:rPr>
        <w:t xml:space="preserve">за </w:t>
      </w:r>
      <w:r w:rsidR="0078340B">
        <w:rPr>
          <w:sz w:val="28"/>
          <w:szCs w:val="28"/>
        </w:rPr>
        <w:t>спеціальн</w:t>
      </w:r>
      <w:r w:rsidR="00796E66">
        <w:rPr>
          <w:sz w:val="28"/>
          <w:szCs w:val="28"/>
        </w:rPr>
        <w:t>им</w:t>
      </w:r>
      <w:r w:rsidR="00905DB7">
        <w:rPr>
          <w:sz w:val="28"/>
          <w:szCs w:val="28"/>
        </w:rPr>
        <w:t xml:space="preserve"> фонд</w:t>
      </w:r>
      <w:r w:rsidR="00796E66">
        <w:rPr>
          <w:sz w:val="28"/>
          <w:szCs w:val="28"/>
        </w:rPr>
        <w:t>ом</w:t>
      </w:r>
      <w:r w:rsidR="0078340B">
        <w:rPr>
          <w:sz w:val="28"/>
          <w:szCs w:val="28"/>
        </w:rPr>
        <w:t xml:space="preserve"> </w:t>
      </w:r>
      <w:r w:rsidR="00905DB7">
        <w:rPr>
          <w:sz w:val="28"/>
          <w:szCs w:val="28"/>
        </w:rPr>
        <w:t>– 111,3 млн.грн.</w:t>
      </w:r>
      <w:r w:rsidR="007A4BE1">
        <w:rPr>
          <w:sz w:val="28"/>
          <w:szCs w:val="28"/>
        </w:rPr>
        <w:t xml:space="preserve"> </w:t>
      </w:r>
      <w:r w:rsidR="00D85058">
        <w:rPr>
          <w:sz w:val="28"/>
          <w:szCs w:val="28"/>
        </w:rPr>
        <w:t>До державного бюджету перераховано 92,0 млн.грн.</w:t>
      </w:r>
    </w:p>
    <w:p w:rsidR="00672312" w:rsidRDefault="008C0205" w:rsidP="00350D78">
      <w:pPr>
        <w:jc w:val="center"/>
        <w:rPr>
          <w:sz w:val="28"/>
          <w:szCs w:val="28"/>
        </w:rPr>
      </w:pPr>
      <w:r w:rsidRPr="008C0205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019675" cy="356235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7BA3" w:rsidRDefault="00310E7C" w:rsidP="00167BA3">
      <w:pPr>
        <w:ind w:firstLine="709"/>
        <w:jc w:val="both"/>
        <w:rPr>
          <w:sz w:val="28"/>
          <w:szCs w:val="28"/>
        </w:rPr>
      </w:pPr>
      <w:r w:rsidRPr="003E04BE">
        <w:rPr>
          <w:sz w:val="28"/>
          <w:szCs w:val="28"/>
        </w:rPr>
        <w:t>При проведені фінансування першочергова увага приділялась захищеним статтям видатків, які с</w:t>
      </w:r>
      <w:r w:rsidR="00DF03FC">
        <w:rPr>
          <w:sz w:val="28"/>
          <w:szCs w:val="28"/>
        </w:rPr>
        <w:t>клали</w:t>
      </w:r>
      <w:r w:rsidRPr="003E04BE">
        <w:rPr>
          <w:sz w:val="28"/>
          <w:szCs w:val="28"/>
        </w:rPr>
        <w:t xml:space="preserve"> </w:t>
      </w:r>
      <w:r w:rsidR="00D85058">
        <w:rPr>
          <w:sz w:val="28"/>
          <w:szCs w:val="28"/>
        </w:rPr>
        <w:t>90,1</w:t>
      </w:r>
      <w:r w:rsidRPr="003E04BE">
        <w:rPr>
          <w:sz w:val="28"/>
          <w:szCs w:val="28"/>
        </w:rPr>
        <w:t xml:space="preserve"> відсотка </w:t>
      </w:r>
      <w:r w:rsidR="00DF03FC">
        <w:rPr>
          <w:sz w:val="28"/>
          <w:szCs w:val="28"/>
        </w:rPr>
        <w:t xml:space="preserve">видатків </w:t>
      </w:r>
      <w:r w:rsidRPr="003E04BE">
        <w:rPr>
          <w:sz w:val="28"/>
          <w:szCs w:val="28"/>
        </w:rPr>
        <w:t xml:space="preserve">загального фонду </w:t>
      </w:r>
      <w:r w:rsidR="00F24A1F">
        <w:rPr>
          <w:sz w:val="28"/>
          <w:szCs w:val="28"/>
        </w:rPr>
        <w:t xml:space="preserve">бюджету </w:t>
      </w:r>
      <w:r w:rsidRPr="003E04BE">
        <w:rPr>
          <w:sz w:val="28"/>
          <w:szCs w:val="28"/>
        </w:rPr>
        <w:t xml:space="preserve">без урахування </w:t>
      </w:r>
      <w:r w:rsidR="007A4BE1">
        <w:rPr>
          <w:sz w:val="28"/>
          <w:szCs w:val="28"/>
        </w:rPr>
        <w:t>витрат за рахунок субвенцій з державного бюджету</w:t>
      </w:r>
      <w:r w:rsidRPr="003E04BE">
        <w:rPr>
          <w:sz w:val="28"/>
          <w:szCs w:val="28"/>
        </w:rPr>
        <w:t>.</w:t>
      </w:r>
      <w:r w:rsidRPr="009C3C7E">
        <w:rPr>
          <w:sz w:val="28"/>
          <w:szCs w:val="28"/>
        </w:rPr>
        <w:t xml:space="preserve"> Так, на заробітну плату з нарахуваннями с</w:t>
      </w:r>
      <w:r w:rsidR="00DF03FC">
        <w:rPr>
          <w:sz w:val="28"/>
          <w:szCs w:val="28"/>
        </w:rPr>
        <w:t>прямовано</w:t>
      </w:r>
      <w:r w:rsidRPr="009C3C7E">
        <w:rPr>
          <w:sz w:val="28"/>
          <w:szCs w:val="28"/>
        </w:rPr>
        <w:t xml:space="preserve"> </w:t>
      </w:r>
      <w:r>
        <w:rPr>
          <w:sz w:val="28"/>
          <w:szCs w:val="28"/>
        </w:rPr>
        <w:t>677,3</w:t>
      </w:r>
      <w:r w:rsidRPr="009C3C7E">
        <w:rPr>
          <w:sz w:val="28"/>
          <w:szCs w:val="28"/>
        </w:rPr>
        <w:t xml:space="preserve"> млн.грн., </w:t>
      </w:r>
      <w:r w:rsidR="00DF03FC">
        <w:rPr>
          <w:sz w:val="28"/>
          <w:szCs w:val="28"/>
        </w:rPr>
        <w:t xml:space="preserve">розрахунки </w:t>
      </w:r>
      <w:r>
        <w:rPr>
          <w:sz w:val="28"/>
          <w:szCs w:val="28"/>
        </w:rPr>
        <w:t xml:space="preserve">за спожиті бюджетними установами комунальні послуги </w:t>
      </w:r>
      <w:r w:rsidR="00462634">
        <w:rPr>
          <w:sz w:val="28"/>
          <w:szCs w:val="28"/>
        </w:rPr>
        <w:t>і</w:t>
      </w:r>
      <w:r>
        <w:rPr>
          <w:sz w:val="28"/>
          <w:szCs w:val="28"/>
        </w:rPr>
        <w:t xml:space="preserve"> енергоносії – 101,3 млн.грн., медикаменти та продукти харчування – 32,0</w:t>
      </w:r>
      <w:r w:rsidR="00DF03FC">
        <w:rPr>
          <w:sz w:val="28"/>
          <w:szCs w:val="28"/>
        </w:rPr>
        <w:t> </w:t>
      </w:r>
      <w:r>
        <w:rPr>
          <w:sz w:val="28"/>
          <w:szCs w:val="28"/>
        </w:rPr>
        <w:t>млн.грн.</w:t>
      </w:r>
      <w:r w:rsidRPr="009C3C7E">
        <w:rPr>
          <w:sz w:val="28"/>
          <w:szCs w:val="28"/>
        </w:rPr>
        <w:t xml:space="preserve">, обслуговування боргу – </w:t>
      </w:r>
      <w:r w:rsidR="00D85058">
        <w:rPr>
          <w:sz w:val="28"/>
          <w:szCs w:val="28"/>
        </w:rPr>
        <w:t>8</w:t>
      </w:r>
      <w:r w:rsidRPr="009C3C7E">
        <w:rPr>
          <w:sz w:val="28"/>
          <w:szCs w:val="28"/>
        </w:rPr>
        <w:t xml:space="preserve">,2 млн.грн., </w:t>
      </w:r>
      <w:r w:rsidR="00DD5560">
        <w:rPr>
          <w:sz w:val="28"/>
          <w:szCs w:val="28"/>
        </w:rPr>
        <w:t>трансферти населенню</w:t>
      </w:r>
      <w:r w:rsidR="00D85058">
        <w:rPr>
          <w:sz w:val="28"/>
          <w:szCs w:val="28"/>
        </w:rPr>
        <w:t xml:space="preserve"> </w:t>
      </w:r>
      <w:r w:rsidRPr="00000D6E">
        <w:rPr>
          <w:sz w:val="28"/>
          <w:szCs w:val="28"/>
        </w:rPr>
        <w:t>–</w:t>
      </w:r>
      <w:r w:rsidR="00DD5560">
        <w:rPr>
          <w:sz w:val="28"/>
          <w:szCs w:val="28"/>
        </w:rPr>
        <w:t xml:space="preserve"> </w:t>
      </w:r>
      <w:r w:rsidR="00D85058">
        <w:rPr>
          <w:sz w:val="28"/>
          <w:szCs w:val="28"/>
        </w:rPr>
        <w:t>8,8</w:t>
      </w:r>
      <w:r w:rsidR="00DF03FC">
        <w:rPr>
          <w:sz w:val="28"/>
          <w:szCs w:val="28"/>
        </w:rPr>
        <w:t> </w:t>
      </w:r>
      <w:r w:rsidRPr="00000D6E">
        <w:rPr>
          <w:sz w:val="28"/>
          <w:szCs w:val="28"/>
        </w:rPr>
        <w:t>млн.грн.</w:t>
      </w:r>
      <w:r w:rsidR="00167BA3">
        <w:rPr>
          <w:sz w:val="28"/>
          <w:szCs w:val="28"/>
        </w:rPr>
        <w:t xml:space="preserve"> Протягом звітного періоду забезпечено своєчасні та в повному обсязі виплату заробітної плати працівникам бюджетних установ міста.</w:t>
      </w:r>
    </w:p>
    <w:p w:rsidR="000A467D" w:rsidRDefault="00A23AF1" w:rsidP="001774C0">
      <w:pPr>
        <w:jc w:val="center"/>
        <w:rPr>
          <w:sz w:val="28"/>
          <w:szCs w:val="28"/>
        </w:rPr>
      </w:pPr>
      <w:r w:rsidRPr="00A23AF1">
        <w:rPr>
          <w:noProof/>
          <w:sz w:val="28"/>
          <w:szCs w:val="28"/>
          <w:lang w:val="ru-RU"/>
        </w:rPr>
        <w:drawing>
          <wp:inline distT="0" distB="0" distL="0" distR="0">
            <wp:extent cx="5695950" cy="4000500"/>
            <wp:effectExtent l="1905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0FA2" w:rsidRDefault="00672312" w:rsidP="001F529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функціональною ознакою найбільшу питому вагу у загальному обсязі видатків займають витрати на забезпечення функціонування установ соціально-культурної сфери міста та соціальний захист і соціальне забезпечення – 81,6 відсотка.</w:t>
      </w:r>
    </w:p>
    <w:p w:rsidR="00364321" w:rsidRDefault="00364321" w:rsidP="00364321">
      <w:pPr>
        <w:ind w:firstLine="900"/>
        <w:jc w:val="both"/>
        <w:rPr>
          <w:b/>
        </w:rPr>
      </w:pPr>
      <w:r>
        <w:rPr>
          <w:sz w:val="28"/>
          <w:szCs w:val="28"/>
        </w:rPr>
        <w:t xml:space="preserve">Так, на </w:t>
      </w:r>
      <w:r w:rsidR="008F7D52" w:rsidRPr="00364321">
        <w:rPr>
          <w:sz w:val="28"/>
          <w:szCs w:val="28"/>
        </w:rPr>
        <w:t xml:space="preserve">утримання </w:t>
      </w:r>
      <w:r>
        <w:rPr>
          <w:sz w:val="28"/>
          <w:szCs w:val="28"/>
        </w:rPr>
        <w:t>і</w:t>
      </w:r>
      <w:r w:rsidR="008F7D52" w:rsidRPr="00364321">
        <w:rPr>
          <w:sz w:val="28"/>
          <w:szCs w:val="28"/>
        </w:rPr>
        <w:t xml:space="preserve"> розвиток установ соціально-культурної сфери </w:t>
      </w:r>
      <w:r>
        <w:rPr>
          <w:sz w:val="28"/>
          <w:szCs w:val="28"/>
        </w:rPr>
        <w:t xml:space="preserve">використано </w:t>
      </w:r>
      <w:r w:rsidR="008F7D52" w:rsidRPr="00364321">
        <w:rPr>
          <w:sz w:val="28"/>
          <w:szCs w:val="28"/>
        </w:rPr>
        <w:t xml:space="preserve">830,0 тис.грн., в тому числі </w:t>
      </w:r>
      <w:r w:rsidR="000A467D" w:rsidRPr="00364321">
        <w:rPr>
          <w:sz w:val="28"/>
          <w:szCs w:val="28"/>
        </w:rPr>
        <w:t>освіт</w:t>
      </w:r>
      <w:r w:rsidRPr="00364321">
        <w:rPr>
          <w:sz w:val="28"/>
          <w:szCs w:val="28"/>
        </w:rPr>
        <w:t>и</w:t>
      </w:r>
      <w:r w:rsidR="000A467D" w:rsidRPr="00364321">
        <w:rPr>
          <w:sz w:val="28"/>
          <w:szCs w:val="28"/>
        </w:rPr>
        <w:t xml:space="preserve"> </w:t>
      </w:r>
      <w:r w:rsidR="008F7D52" w:rsidRPr="00364321">
        <w:rPr>
          <w:sz w:val="28"/>
          <w:szCs w:val="28"/>
        </w:rPr>
        <w:t xml:space="preserve">- </w:t>
      </w:r>
      <w:r w:rsidR="00895FBB" w:rsidRPr="00364321">
        <w:rPr>
          <w:sz w:val="28"/>
          <w:szCs w:val="28"/>
        </w:rPr>
        <w:t>474,5</w:t>
      </w:r>
      <w:r w:rsidR="000A467D" w:rsidRPr="00364321">
        <w:rPr>
          <w:sz w:val="28"/>
          <w:szCs w:val="28"/>
        </w:rPr>
        <w:t xml:space="preserve"> млн.грн., </w:t>
      </w:r>
      <w:r w:rsidRPr="00364321">
        <w:rPr>
          <w:sz w:val="28"/>
          <w:szCs w:val="28"/>
        </w:rPr>
        <w:t>ф</w:t>
      </w:r>
      <w:r w:rsidR="00A361A3" w:rsidRPr="00364321">
        <w:rPr>
          <w:sz w:val="28"/>
          <w:szCs w:val="28"/>
        </w:rPr>
        <w:t>ізичн</w:t>
      </w:r>
      <w:r w:rsidRPr="00364321">
        <w:rPr>
          <w:sz w:val="28"/>
          <w:szCs w:val="28"/>
        </w:rPr>
        <w:t>ої</w:t>
      </w:r>
      <w:r w:rsidR="00A361A3" w:rsidRPr="00364321">
        <w:rPr>
          <w:sz w:val="28"/>
          <w:szCs w:val="28"/>
        </w:rPr>
        <w:t xml:space="preserve"> культур</w:t>
      </w:r>
      <w:r w:rsidRPr="00364321">
        <w:rPr>
          <w:sz w:val="28"/>
          <w:szCs w:val="28"/>
        </w:rPr>
        <w:t>и</w:t>
      </w:r>
      <w:r w:rsidR="00A361A3" w:rsidRPr="00364321">
        <w:rPr>
          <w:sz w:val="28"/>
          <w:szCs w:val="28"/>
        </w:rPr>
        <w:t xml:space="preserve"> і спорт</w:t>
      </w:r>
      <w:r w:rsidRPr="00364321">
        <w:rPr>
          <w:sz w:val="28"/>
          <w:szCs w:val="28"/>
        </w:rPr>
        <w:t>у</w:t>
      </w:r>
      <w:r w:rsidR="00A361A3" w:rsidRPr="00364321">
        <w:rPr>
          <w:sz w:val="28"/>
          <w:szCs w:val="28"/>
        </w:rPr>
        <w:t xml:space="preserve"> - 14,5 млн.грн., охорону здоров’я </w:t>
      </w:r>
      <w:r w:rsidR="00A361A3" w:rsidRPr="00364321">
        <w:t>-</w:t>
      </w:r>
      <w:r w:rsidR="00A361A3" w:rsidRPr="00364321">
        <w:rPr>
          <w:sz w:val="28"/>
          <w:szCs w:val="28"/>
        </w:rPr>
        <w:t xml:space="preserve"> 294,8</w:t>
      </w:r>
      <w:r w:rsidR="00A361A3" w:rsidRPr="00770C1C">
        <w:rPr>
          <w:sz w:val="28"/>
          <w:szCs w:val="28"/>
        </w:rPr>
        <w:t> млн.грн.</w:t>
      </w:r>
      <w:r w:rsidR="00770C1C" w:rsidRPr="00770C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61A3" w:rsidRPr="00364321">
        <w:rPr>
          <w:sz w:val="28"/>
          <w:szCs w:val="28"/>
        </w:rPr>
        <w:t xml:space="preserve">культуру і мистецтво </w:t>
      </w:r>
      <w:r w:rsidR="00A361A3" w:rsidRPr="00364321">
        <w:t xml:space="preserve">- </w:t>
      </w:r>
      <w:r w:rsidR="00A361A3" w:rsidRPr="00364321">
        <w:rPr>
          <w:sz w:val="28"/>
          <w:szCs w:val="28"/>
        </w:rPr>
        <w:t>46,2 млн.грн.</w:t>
      </w:r>
      <w:r w:rsidR="00770C1C" w:rsidRPr="00770C1C">
        <w:rPr>
          <w:b/>
        </w:rPr>
        <w:t xml:space="preserve"> </w:t>
      </w:r>
    </w:p>
    <w:p w:rsidR="00E317D9" w:rsidRDefault="000A467D" w:rsidP="00E317D9">
      <w:pPr>
        <w:ind w:firstLine="709"/>
        <w:jc w:val="both"/>
        <w:rPr>
          <w:sz w:val="28"/>
          <w:szCs w:val="28"/>
        </w:rPr>
      </w:pPr>
      <w:r w:rsidRPr="00347918">
        <w:rPr>
          <w:sz w:val="28"/>
          <w:szCs w:val="28"/>
        </w:rPr>
        <w:t xml:space="preserve">Видатки на соціальний захист та соціальне забезпечення склали </w:t>
      </w:r>
      <w:r w:rsidR="00347918" w:rsidRPr="00347918">
        <w:rPr>
          <w:sz w:val="28"/>
          <w:szCs w:val="28"/>
        </w:rPr>
        <w:t>305,8</w:t>
      </w:r>
      <w:r w:rsidRPr="00347918">
        <w:rPr>
          <w:sz w:val="28"/>
          <w:szCs w:val="28"/>
        </w:rPr>
        <w:t xml:space="preserve"> млн.грн., з яких за рахунок субвенцій з державного бюджету </w:t>
      </w:r>
      <w:r w:rsidR="00347918" w:rsidRPr="00347918">
        <w:rPr>
          <w:sz w:val="28"/>
          <w:szCs w:val="28"/>
        </w:rPr>
        <w:t>287,2</w:t>
      </w:r>
      <w:r w:rsidRPr="00347918">
        <w:rPr>
          <w:sz w:val="28"/>
          <w:szCs w:val="28"/>
        </w:rPr>
        <w:t> млн.грн.</w:t>
      </w:r>
      <w:r w:rsidR="00C711DF">
        <w:rPr>
          <w:sz w:val="28"/>
          <w:szCs w:val="28"/>
        </w:rPr>
        <w:t xml:space="preserve"> </w:t>
      </w:r>
      <w:r w:rsidRPr="00347918">
        <w:rPr>
          <w:sz w:val="28"/>
          <w:szCs w:val="28"/>
        </w:rPr>
        <w:t xml:space="preserve">Кошти субвенцій спрямовані на надання допомоги сім`ям з дітьми, малозабезпеченим сім`ям, інвалідам з дитинства, дітям інвалідам та тимчасової державної допомоги </w:t>
      </w:r>
      <w:r w:rsidR="00E317D9">
        <w:rPr>
          <w:sz w:val="28"/>
          <w:szCs w:val="28"/>
        </w:rPr>
        <w:t xml:space="preserve">в сумі </w:t>
      </w:r>
      <w:r w:rsidR="00347918" w:rsidRPr="00347918">
        <w:rPr>
          <w:sz w:val="28"/>
          <w:szCs w:val="28"/>
        </w:rPr>
        <w:t>242,5 </w:t>
      </w:r>
      <w:r w:rsidRPr="00347918">
        <w:rPr>
          <w:sz w:val="28"/>
          <w:szCs w:val="28"/>
        </w:rPr>
        <w:t>млн.грн.</w:t>
      </w:r>
      <w:r w:rsidR="00E317D9">
        <w:rPr>
          <w:sz w:val="28"/>
          <w:szCs w:val="28"/>
        </w:rPr>
        <w:t>,</w:t>
      </w:r>
      <w:r w:rsidRPr="00347918">
        <w:rPr>
          <w:sz w:val="28"/>
          <w:szCs w:val="28"/>
        </w:rPr>
        <w:t xml:space="preserve"> пільг особам, які мають право на отримання пільг при оплаті електроенергії, природного газу, послуг тепло-, водопостачання і водовідведення, квартирної плати, вивезення побутового сміття та рідких </w:t>
      </w:r>
      <w:r w:rsidRPr="00E317D9">
        <w:rPr>
          <w:sz w:val="28"/>
          <w:szCs w:val="28"/>
        </w:rPr>
        <w:t xml:space="preserve">нечистот, твердого палива та рідкого пічного побутового палива, а також інших, передбачених законодавством пільг, - </w:t>
      </w:r>
      <w:r w:rsidR="00347918" w:rsidRPr="00E317D9">
        <w:rPr>
          <w:sz w:val="28"/>
          <w:szCs w:val="28"/>
        </w:rPr>
        <w:t>34,6</w:t>
      </w:r>
      <w:r w:rsidR="00535539">
        <w:rPr>
          <w:sz w:val="28"/>
          <w:szCs w:val="28"/>
        </w:rPr>
        <w:t> </w:t>
      </w:r>
      <w:r w:rsidRPr="00E317D9">
        <w:rPr>
          <w:sz w:val="28"/>
          <w:szCs w:val="28"/>
        </w:rPr>
        <w:t>млн.грн.</w:t>
      </w:r>
      <w:r w:rsidR="00E317D9">
        <w:rPr>
          <w:sz w:val="28"/>
          <w:szCs w:val="28"/>
        </w:rPr>
        <w:t>,</w:t>
      </w:r>
      <w:r w:rsidRPr="00E317D9">
        <w:rPr>
          <w:sz w:val="28"/>
          <w:szCs w:val="28"/>
        </w:rPr>
        <w:t xml:space="preserve"> </w:t>
      </w:r>
      <w:r w:rsidR="00E317D9" w:rsidRPr="00E317D9">
        <w:rPr>
          <w:sz w:val="28"/>
          <w:szCs w:val="28"/>
        </w:rPr>
        <w:t>відшкодування додаткових виплат населенню на покриття витрат на оплату житлово-комунальних послуг – 10,1 млн.грн.</w:t>
      </w:r>
    </w:p>
    <w:p w:rsidR="000A467D" w:rsidRPr="00E317D9" w:rsidRDefault="000A467D" w:rsidP="00E317D9">
      <w:pPr>
        <w:ind w:firstLine="709"/>
        <w:jc w:val="both"/>
        <w:rPr>
          <w:sz w:val="28"/>
          <w:szCs w:val="28"/>
        </w:rPr>
      </w:pPr>
      <w:r w:rsidRPr="00E317D9">
        <w:rPr>
          <w:sz w:val="28"/>
          <w:szCs w:val="28"/>
        </w:rPr>
        <w:t xml:space="preserve">За звітний період </w:t>
      </w:r>
      <w:r w:rsidR="00A83594">
        <w:rPr>
          <w:sz w:val="28"/>
          <w:szCs w:val="28"/>
        </w:rPr>
        <w:t xml:space="preserve">понад </w:t>
      </w:r>
      <w:r w:rsidR="00E317D9" w:rsidRPr="00E317D9">
        <w:rPr>
          <w:sz w:val="28"/>
          <w:szCs w:val="28"/>
        </w:rPr>
        <w:t>105 тис.чол.</w:t>
      </w:r>
      <w:r w:rsidR="00E317D9">
        <w:rPr>
          <w:sz w:val="28"/>
          <w:szCs w:val="28"/>
        </w:rPr>
        <w:t xml:space="preserve"> </w:t>
      </w:r>
      <w:r w:rsidRPr="00E317D9">
        <w:rPr>
          <w:sz w:val="28"/>
          <w:szCs w:val="28"/>
        </w:rPr>
        <w:t>скористались пільгами на надання житлово-комунальних послуг</w:t>
      </w:r>
      <w:r w:rsidR="00E317D9">
        <w:rPr>
          <w:sz w:val="28"/>
          <w:szCs w:val="28"/>
        </w:rPr>
        <w:t xml:space="preserve">, 27 тис.чол. - іншими, передбаченими законодавством, пільгами, правом </w:t>
      </w:r>
      <w:r w:rsidRPr="00E317D9">
        <w:rPr>
          <w:sz w:val="28"/>
          <w:szCs w:val="28"/>
        </w:rPr>
        <w:t xml:space="preserve">отримання житлових субсидій </w:t>
      </w:r>
      <w:r w:rsidR="00E317D9">
        <w:rPr>
          <w:sz w:val="28"/>
          <w:szCs w:val="28"/>
        </w:rPr>
        <w:t>-</w:t>
      </w:r>
      <w:r w:rsidRPr="00E317D9">
        <w:rPr>
          <w:sz w:val="28"/>
          <w:szCs w:val="28"/>
        </w:rPr>
        <w:t xml:space="preserve"> близько </w:t>
      </w:r>
      <w:r w:rsidR="00602968" w:rsidRPr="00E317D9">
        <w:rPr>
          <w:sz w:val="28"/>
          <w:szCs w:val="28"/>
        </w:rPr>
        <w:t>1</w:t>
      </w:r>
      <w:r w:rsidR="00A83594">
        <w:rPr>
          <w:sz w:val="28"/>
          <w:szCs w:val="28"/>
        </w:rPr>
        <w:t>9</w:t>
      </w:r>
      <w:r w:rsidR="00602968" w:rsidRPr="00E317D9">
        <w:rPr>
          <w:sz w:val="28"/>
          <w:szCs w:val="28"/>
        </w:rPr>
        <w:t> </w:t>
      </w:r>
      <w:r w:rsidRPr="00E317D9">
        <w:rPr>
          <w:sz w:val="28"/>
          <w:szCs w:val="28"/>
        </w:rPr>
        <w:t>тисяч домогосподарств.</w:t>
      </w:r>
    </w:p>
    <w:p w:rsidR="006E63EF" w:rsidRPr="00E317D9" w:rsidRDefault="006E63EF" w:rsidP="001F5290">
      <w:pPr>
        <w:pStyle w:val="a6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17D9">
        <w:rPr>
          <w:rFonts w:ascii="Times New Roman" w:eastAsia="Times New Roman" w:hAnsi="Times New Roman"/>
          <w:sz w:val="28"/>
          <w:szCs w:val="28"/>
        </w:rPr>
        <w:t xml:space="preserve">Видатки на компенсацію пільгового проїзду окремих категорій громадян в міському авто- та електротранспорті, на водному і залізничному транспорті </w:t>
      </w:r>
      <w:r w:rsidR="003E5D86">
        <w:rPr>
          <w:rFonts w:ascii="Times New Roman" w:eastAsia="Times New Roman" w:hAnsi="Times New Roman"/>
          <w:sz w:val="28"/>
          <w:szCs w:val="28"/>
        </w:rPr>
        <w:t xml:space="preserve">проведені в сумі </w:t>
      </w:r>
      <w:r w:rsidRPr="00E317D9">
        <w:rPr>
          <w:rFonts w:ascii="Times New Roman" w:eastAsia="Times New Roman" w:hAnsi="Times New Roman"/>
          <w:sz w:val="28"/>
          <w:szCs w:val="28"/>
        </w:rPr>
        <w:t>27,5 млн.грн. (в тому числі за рахунок відповідної субвенції з державного бюджету – 13,7 млн.грн.</w:t>
      </w:r>
      <w:r w:rsidR="003E5D86">
        <w:rPr>
          <w:rFonts w:ascii="Times New Roman" w:eastAsia="Times New Roman" w:hAnsi="Times New Roman"/>
          <w:sz w:val="28"/>
          <w:szCs w:val="28"/>
        </w:rPr>
        <w:t>).</w:t>
      </w:r>
      <w:r w:rsidR="00A83594">
        <w:rPr>
          <w:rFonts w:ascii="Times New Roman" w:eastAsia="Times New Roman" w:hAnsi="Times New Roman"/>
          <w:sz w:val="28"/>
          <w:szCs w:val="28"/>
        </w:rPr>
        <w:t xml:space="preserve"> </w:t>
      </w:r>
      <w:r w:rsidR="00A950D1">
        <w:rPr>
          <w:rFonts w:ascii="Times New Roman" w:eastAsia="Times New Roman" w:hAnsi="Times New Roman"/>
          <w:sz w:val="28"/>
          <w:szCs w:val="28"/>
        </w:rPr>
        <w:t xml:space="preserve">За сприяння голови Запорізької облдержадміністрації в червні поточного року бюджет міста отримав субвенцію з державного бюджету на компенсацію пільгового проїзду грошовими коштами в сумі 5,0 млн.грн., що дозволило ЗКП МЕТ «Запоріжелектротранс» розрахуватися з працівниками </w:t>
      </w:r>
      <w:r w:rsidR="00167BA3">
        <w:rPr>
          <w:rFonts w:ascii="Times New Roman" w:eastAsia="Times New Roman" w:hAnsi="Times New Roman"/>
          <w:sz w:val="28"/>
          <w:szCs w:val="28"/>
        </w:rPr>
        <w:t>підприємства по виплаті заробітної плати.</w:t>
      </w:r>
    </w:p>
    <w:p w:rsidR="000A467D" w:rsidRPr="00E317D9" w:rsidRDefault="00602968" w:rsidP="001F5290">
      <w:pPr>
        <w:ind w:firstLine="709"/>
        <w:jc w:val="both"/>
        <w:rPr>
          <w:sz w:val="28"/>
          <w:szCs w:val="28"/>
        </w:rPr>
      </w:pPr>
      <w:r w:rsidRPr="00E317D9">
        <w:rPr>
          <w:sz w:val="28"/>
          <w:szCs w:val="28"/>
        </w:rPr>
        <w:t xml:space="preserve">В рамках Міської комплексної програми соціального захисту населення міста Запоріжжя </w:t>
      </w:r>
      <w:r w:rsidR="000A467D" w:rsidRPr="00E317D9">
        <w:rPr>
          <w:sz w:val="28"/>
          <w:szCs w:val="28"/>
        </w:rPr>
        <w:t xml:space="preserve">проведені видатки </w:t>
      </w:r>
      <w:r w:rsidR="00462634" w:rsidRPr="00E317D9">
        <w:rPr>
          <w:sz w:val="28"/>
          <w:szCs w:val="28"/>
        </w:rPr>
        <w:t xml:space="preserve">на заходи із соціального захисту населення в сумі </w:t>
      </w:r>
      <w:r w:rsidR="00A821C6" w:rsidRPr="00E317D9">
        <w:rPr>
          <w:sz w:val="28"/>
          <w:szCs w:val="28"/>
        </w:rPr>
        <w:t>5,3</w:t>
      </w:r>
      <w:r w:rsidR="000A467D" w:rsidRPr="00E317D9">
        <w:rPr>
          <w:sz w:val="28"/>
          <w:szCs w:val="28"/>
        </w:rPr>
        <w:t xml:space="preserve"> млн.грн., </w:t>
      </w:r>
      <w:r w:rsidR="00462634" w:rsidRPr="00E317D9">
        <w:rPr>
          <w:sz w:val="28"/>
          <w:szCs w:val="28"/>
        </w:rPr>
        <w:t xml:space="preserve">фінансову </w:t>
      </w:r>
      <w:r w:rsidR="00167BA3">
        <w:rPr>
          <w:sz w:val="28"/>
          <w:szCs w:val="28"/>
        </w:rPr>
        <w:t>підтримку</w:t>
      </w:r>
      <w:r w:rsidR="00462634" w:rsidRPr="00E317D9">
        <w:rPr>
          <w:sz w:val="28"/>
          <w:szCs w:val="28"/>
        </w:rPr>
        <w:t xml:space="preserve"> ветеранським організаціям міста – 0,3 млн.грн. </w:t>
      </w:r>
      <w:r w:rsidR="00A361A3" w:rsidRPr="00E317D9">
        <w:rPr>
          <w:sz w:val="28"/>
          <w:szCs w:val="28"/>
        </w:rPr>
        <w:t xml:space="preserve">На компенсаційні виплати фізичним особам, які надають соціальні послуги витрачено 1,1 млн.грн. </w:t>
      </w:r>
    </w:p>
    <w:p w:rsidR="00AF25DD" w:rsidRPr="00E317D9" w:rsidRDefault="00AF25DD" w:rsidP="00AF25DD">
      <w:pPr>
        <w:ind w:firstLine="900"/>
        <w:jc w:val="both"/>
        <w:rPr>
          <w:sz w:val="28"/>
          <w:szCs w:val="28"/>
        </w:rPr>
      </w:pPr>
      <w:r w:rsidRPr="00E317D9">
        <w:rPr>
          <w:sz w:val="28"/>
          <w:szCs w:val="28"/>
        </w:rPr>
        <w:t>За рахунок бюджетних коштів</w:t>
      </w:r>
      <w:r w:rsidR="00167BA3">
        <w:rPr>
          <w:sz w:val="28"/>
          <w:szCs w:val="28"/>
        </w:rPr>
        <w:t>, передбачених на житлово-комунальне господарство,</w:t>
      </w:r>
      <w:r w:rsidRPr="00E317D9">
        <w:rPr>
          <w:sz w:val="28"/>
          <w:szCs w:val="28"/>
        </w:rPr>
        <w:t xml:space="preserve"> виконані роботи по експлуатації та утриманню 4,47 млн.кв м доріг, поточному ремонту 13,3 тис.кв.м. доріг та тротуарів, догляду за 0,5 тис.га зелених насаджень, поточному ремонту 9 км мереж зовнішнього освітлення, проведен</w:t>
      </w:r>
      <w:r w:rsidR="00F66CB7">
        <w:rPr>
          <w:sz w:val="28"/>
          <w:szCs w:val="28"/>
        </w:rPr>
        <w:t>і</w:t>
      </w:r>
      <w:r w:rsidRPr="00E317D9">
        <w:rPr>
          <w:sz w:val="28"/>
          <w:szCs w:val="28"/>
        </w:rPr>
        <w:t xml:space="preserve"> роб</w:t>
      </w:r>
      <w:r w:rsidR="00F66CB7">
        <w:rPr>
          <w:sz w:val="28"/>
          <w:szCs w:val="28"/>
        </w:rPr>
        <w:t>оти</w:t>
      </w:r>
      <w:r w:rsidRPr="00E317D9">
        <w:rPr>
          <w:sz w:val="28"/>
          <w:szCs w:val="28"/>
        </w:rPr>
        <w:t xml:space="preserve"> по вибірковому капітальному ремонту 5 будинків житлового фонду комунальної власності, 8 будинків житлово-будівельних кооперативів, капітальному ремонту 2,734</w:t>
      </w:r>
      <w:r w:rsidR="00F66CB7">
        <w:rPr>
          <w:sz w:val="28"/>
          <w:szCs w:val="28"/>
        </w:rPr>
        <w:t> </w:t>
      </w:r>
      <w:r w:rsidRPr="00E317D9">
        <w:rPr>
          <w:sz w:val="28"/>
          <w:szCs w:val="28"/>
        </w:rPr>
        <w:t>тис.кв.м покрівлі, експертизі, модернізації, заміні, капітальному ремонту 5</w:t>
      </w:r>
      <w:r w:rsidR="00164AC9">
        <w:rPr>
          <w:sz w:val="28"/>
          <w:szCs w:val="28"/>
        </w:rPr>
        <w:t>-ти</w:t>
      </w:r>
      <w:r w:rsidRPr="00E317D9">
        <w:rPr>
          <w:sz w:val="28"/>
          <w:szCs w:val="28"/>
        </w:rPr>
        <w:t xml:space="preserve"> ліфтів</w:t>
      </w:r>
      <w:r w:rsidR="00F66CB7">
        <w:rPr>
          <w:sz w:val="28"/>
          <w:szCs w:val="28"/>
        </w:rPr>
        <w:t xml:space="preserve"> та інші</w:t>
      </w:r>
      <w:r w:rsidRPr="00E317D9">
        <w:rPr>
          <w:sz w:val="28"/>
          <w:szCs w:val="28"/>
        </w:rPr>
        <w:t xml:space="preserve">. </w:t>
      </w:r>
    </w:p>
    <w:p w:rsidR="007C2E8D" w:rsidRPr="00E317D9" w:rsidRDefault="007C2E8D" w:rsidP="00A64E78">
      <w:pPr>
        <w:ind w:firstLine="720"/>
        <w:jc w:val="both"/>
        <w:rPr>
          <w:sz w:val="28"/>
          <w:szCs w:val="28"/>
        </w:rPr>
      </w:pPr>
      <w:r w:rsidRPr="00E317D9">
        <w:rPr>
          <w:sz w:val="28"/>
          <w:szCs w:val="28"/>
        </w:rPr>
        <w:t>Н</w:t>
      </w:r>
      <w:r w:rsidR="00A64E78" w:rsidRPr="00E317D9">
        <w:rPr>
          <w:sz w:val="28"/>
          <w:szCs w:val="28"/>
        </w:rPr>
        <w:t xml:space="preserve">а будівництво, реконструкцію та ліквідацію аварійного стану об’єктів </w:t>
      </w:r>
      <w:r w:rsidRPr="00E317D9">
        <w:rPr>
          <w:sz w:val="28"/>
          <w:szCs w:val="28"/>
        </w:rPr>
        <w:t>освоєно</w:t>
      </w:r>
      <w:r w:rsidR="00A64E78" w:rsidRPr="00E317D9">
        <w:rPr>
          <w:sz w:val="28"/>
          <w:szCs w:val="28"/>
        </w:rPr>
        <w:t xml:space="preserve"> 27,0 млн.грн., в тому числі на об’єкти соціальної сфери - 1,5 млн.грн., </w:t>
      </w:r>
      <w:r w:rsidR="00A64E78" w:rsidRPr="00E317D9">
        <w:rPr>
          <w:sz w:val="28"/>
          <w:szCs w:val="28"/>
        </w:rPr>
        <w:lastRenderedPageBreak/>
        <w:t>житлового господарства – 2,1</w:t>
      </w:r>
      <w:r w:rsidRPr="00E317D9">
        <w:rPr>
          <w:sz w:val="28"/>
          <w:szCs w:val="28"/>
        </w:rPr>
        <w:t> </w:t>
      </w:r>
      <w:r w:rsidR="00A64E78" w:rsidRPr="00E317D9">
        <w:rPr>
          <w:sz w:val="28"/>
          <w:szCs w:val="28"/>
        </w:rPr>
        <w:t>млн.грн., комунального господарства 13,1</w:t>
      </w:r>
      <w:r w:rsidRPr="00E317D9">
        <w:rPr>
          <w:sz w:val="28"/>
          <w:szCs w:val="28"/>
        </w:rPr>
        <w:t> </w:t>
      </w:r>
      <w:r w:rsidR="00A64E78" w:rsidRPr="00E317D9">
        <w:rPr>
          <w:sz w:val="28"/>
          <w:szCs w:val="28"/>
        </w:rPr>
        <w:t xml:space="preserve">млн.грн., освіти - 6,8 млн.грн., охорони здоров’я - 3,5 млн.грн. </w:t>
      </w:r>
    </w:p>
    <w:p w:rsidR="00CC5510" w:rsidRDefault="00291F70" w:rsidP="00291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коштів фонду </w:t>
      </w:r>
      <w:r w:rsidR="000A467D" w:rsidRPr="00E317D9">
        <w:rPr>
          <w:sz w:val="28"/>
          <w:szCs w:val="28"/>
        </w:rPr>
        <w:t xml:space="preserve">охорони навколишнього природного середовища </w:t>
      </w:r>
      <w:r>
        <w:rPr>
          <w:sz w:val="28"/>
          <w:szCs w:val="28"/>
        </w:rPr>
        <w:t>на проведення природоохоронних заходів спрямовано</w:t>
      </w:r>
      <w:r w:rsidR="000A467D" w:rsidRPr="00E317D9">
        <w:rPr>
          <w:sz w:val="28"/>
          <w:szCs w:val="28"/>
        </w:rPr>
        <w:t xml:space="preserve"> </w:t>
      </w:r>
      <w:r w:rsidR="0034174D" w:rsidRPr="00E317D9">
        <w:rPr>
          <w:sz w:val="28"/>
          <w:szCs w:val="28"/>
        </w:rPr>
        <w:t>8,7</w:t>
      </w:r>
      <w:r w:rsidR="000A467D" w:rsidRPr="00E317D9">
        <w:rPr>
          <w:sz w:val="28"/>
          <w:szCs w:val="28"/>
        </w:rPr>
        <w:t xml:space="preserve"> млн.грн. </w:t>
      </w:r>
    </w:p>
    <w:sectPr w:rsidR="00CC5510" w:rsidSect="00CB5B0A">
      <w:headerReference w:type="default" r:id="rId12"/>
      <w:pgSz w:w="11906" w:h="16838"/>
      <w:pgMar w:top="851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FA" w:rsidRDefault="00A807FA" w:rsidP="00AF25DD">
      <w:r>
        <w:separator/>
      </w:r>
    </w:p>
  </w:endnote>
  <w:endnote w:type="continuationSeparator" w:id="0">
    <w:p w:rsidR="00A807FA" w:rsidRDefault="00A807FA" w:rsidP="00AF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FA" w:rsidRDefault="00A807FA" w:rsidP="00AF25DD">
      <w:r>
        <w:separator/>
      </w:r>
    </w:p>
  </w:footnote>
  <w:footnote w:type="continuationSeparator" w:id="0">
    <w:p w:rsidR="00A807FA" w:rsidRDefault="00A807FA" w:rsidP="00AF2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594"/>
      <w:docPartObj>
        <w:docPartGallery w:val="Page Numbers (Top of Page)"/>
        <w:docPartUnique/>
      </w:docPartObj>
    </w:sdtPr>
    <w:sdtContent>
      <w:p w:rsidR="00C711DF" w:rsidRDefault="00B63CA3">
        <w:pPr>
          <w:pStyle w:val="ad"/>
          <w:jc w:val="center"/>
        </w:pPr>
        <w:fldSimple w:instr=" PAGE   \* MERGEFORMAT ">
          <w:r w:rsidR="00C61571">
            <w:rPr>
              <w:noProof/>
            </w:rPr>
            <w:t>4</w:t>
          </w:r>
        </w:fldSimple>
      </w:p>
    </w:sdtContent>
  </w:sdt>
  <w:p w:rsidR="00C711DF" w:rsidRDefault="00C711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/>
      </w:rPr>
    </w:lvl>
  </w:abstractNum>
  <w:abstractNum w:abstractNumId="1">
    <w:nsid w:val="15AE70FC"/>
    <w:multiLevelType w:val="hybridMultilevel"/>
    <w:tmpl w:val="64EC485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39187D"/>
    <w:multiLevelType w:val="hybridMultilevel"/>
    <w:tmpl w:val="1DAA550A"/>
    <w:lvl w:ilvl="0" w:tplc="6C9293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4B057D"/>
    <w:multiLevelType w:val="hybridMultilevel"/>
    <w:tmpl w:val="68D66F44"/>
    <w:lvl w:ilvl="0" w:tplc="22E6236A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BE54F4"/>
    <w:multiLevelType w:val="hybridMultilevel"/>
    <w:tmpl w:val="E4DC5274"/>
    <w:lvl w:ilvl="0" w:tplc="22E6236A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63C3FC7"/>
    <w:multiLevelType w:val="hybridMultilevel"/>
    <w:tmpl w:val="0266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ED6"/>
    <w:rsid w:val="00015460"/>
    <w:rsid w:val="00022B62"/>
    <w:rsid w:val="000335F4"/>
    <w:rsid w:val="0004019B"/>
    <w:rsid w:val="000476B7"/>
    <w:rsid w:val="000602F8"/>
    <w:rsid w:val="00060588"/>
    <w:rsid w:val="0006523B"/>
    <w:rsid w:val="000736D8"/>
    <w:rsid w:val="00082164"/>
    <w:rsid w:val="00086BB6"/>
    <w:rsid w:val="00091599"/>
    <w:rsid w:val="00097C7B"/>
    <w:rsid w:val="000A467D"/>
    <w:rsid w:val="000B21AC"/>
    <w:rsid w:val="00122A33"/>
    <w:rsid w:val="001239ED"/>
    <w:rsid w:val="00134114"/>
    <w:rsid w:val="00141820"/>
    <w:rsid w:val="00164AC9"/>
    <w:rsid w:val="00167BA3"/>
    <w:rsid w:val="001774C0"/>
    <w:rsid w:val="001936D9"/>
    <w:rsid w:val="001A141C"/>
    <w:rsid w:val="001B0605"/>
    <w:rsid w:val="001F5290"/>
    <w:rsid w:val="002276E6"/>
    <w:rsid w:val="00256443"/>
    <w:rsid w:val="00262E82"/>
    <w:rsid w:val="00266C33"/>
    <w:rsid w:val="00291F70"/>
    <w:rsid w:val="00294EC7"/>
    <w:rsid w:val="002C1414"/>
    <w:rsid w:val="002D4D08"/>
    <w:rsid w:val="002F6C6A"/>
    <w:rsid w:val="00310E7C"/>
    <w:rsid w:val="0032426F"/>
    <w:rsid w:val="0034174D"/>
    <w:rsid w:val="003438E4"/>
    <w:rsid w:val="00347918"/>
    <w:rsid w:val="00350D78"/>
    <w:rsid w:val="00360541"/>
    <w:rsid w:val="00363D72"/>
    <w:rsid w:val="00364321"/>
    <w:rsid w:val="003756F7"/>
    <w:rsid w:val="00392E8E"/>
    <w:rsid w:val="003A4D5A"/>
    <w:rsid w:val="003B5414"/>
    <w:rsid w:val="003C6820"/>
    <w:rsid w:val="003D5EE3"/>
    <w:rsid w:val="003E1692"/>
    <w:rsid w:val="003E5D86"/>
    <w:rsid w:val="004138B9"/>
    <w:rsid w:val="004442B2"/>
    <w:rsid w:val="00444D85"/>
    <w:rsid w:val="00462634"/>
    <w:rsid w:val="0047165B"/>
    <w:rsid w:val="00473ACA"/>
    <w:rsid w:val="004939F1"/>
    <w:rsid w:val="004967CE"/>
    <w:rsid w:val="004C1ED6"/>
    <w:rsid w:val="00504C46"/>
    <w:rsid w:val="0050558C"/>
    <w:rsid w:val="00507953"/>
    <w:rsid w:val="00514798"/>
    <w:rsid w:val="00535539"/>
    <w:rsid w:val="00544DCA"/>
    <w:rsid w:val="00581ECA"/>
    <w:rsid w:val="00585F82"/>
    <w:rsid w:val="0059147C"/>
    <w:rsid w:val="00591D97"/>
    <w:rsid w:val="00595CA7"/>
    <w:rsid w:val="005B7D40"/>
    <w:rsid w:val="005C4B0E"/>
    <w:rsid w:val="005D11A4"/>
    <w:rsid w:val="005E1AB7"/>
    <w:rsid w:val="00602968"/>
    <w:rsid w:val="00604D2E"/>
    <w:rsid w:val="0062657A"/>
    <w:rsid w:val="00636884"/>
    <w:rsid w:val="00636F8A"/>
    <w:rsid w:val="00643BF9"/>
    <w:rsid w:val="00650002"/>
    <w:rsid w:val="00661495"/>
    <w:rsid w:val="00672312"/>
    <w:rsid w:val="0068300D"/>
    <w:rsid w:val="0069019F"/>
    <w:rsid w:val="006A68A1"/>
    <w:rsid w:val="006C5EB9"/>
    <w:rsid w:val="006E63EF"/>
    <w:rsid w:val="006F4944"/>
    <w:rsid w:val="007048AD"/>
    <w:rsid w:val="00715584"/>
    <w:rsid w:val="00731B58"/>
    <w:rsid w:val="00736D0C"/>
    <w:rsid w:val="00770C1C"/>
    <w:rsid w:val="0078340B"/>
    <w:rsid w:val="0078642A"/>
    <w:rsid w:val="00791244"/>
    <w:rsid w:val="00796E66"/>
    <w:rsid w:val="007A4BE1"/>
    <w:rsid w:val="007A6C6A"/>
    <w:rsid w:val="007C2E8D"/>
    <w:rsid w:val="007D1055"/>
    <w:rsid w:val="007D1629"/>
    <w:rsid w:val="007E0A1A"/>
    <w:rsid w:val="007F5F31"/>
    <w:rsid w:val="00824201"/>
    <w:rsid w:val="008270A8"/>
    <w:rsid w:val="0086311A"/>
    <w:rsid w:val="00895FBB"/>
    <w:rsid w:val="008B0C8D"/>
    <w:rsid w:val="008B3005"/>
    <w:rsid w:val="008C0205"/>
    <w:rsid w:val="008C71F3"/>
    <w:rsid w:val="008C7F77"/>
    <w:rsid w:val="008E0FFE"/>
    <w:rsid w:val="008E4030"/>
    <w:rsid w:val="008F7D52"/>
    <w:rsid w:val="00905DB7"/>
    <w:rsid w:val="00920299"/>
    <w:rsid w:val="00925410"/>
    <w:rsid w:val="009315D9"/>
    <w:rsid w:val="00941B64"/>
    <w:rsid w:val="00957C38"/>
    <w:rsid w:val="009703D3"/>
    <w:rsid w:val="00974859"/>
    <w:rsid w:val="0099224C"/>
    <w:rsid w:val="009A4F86"/>
    <w:rsid w:val="009B75EF"/>
    <w:rsid w:val="009C4E8F"/>
    <w:rsid w:val="009D7271"/>
    <w:rsid w:val="009E5D51"/>
    <w:rsid w:val="009F00F6"/>
    <w:rsid w:val="00A0562D"/>
    <w:rsid w:val="00A23AF1"/>
    <w:rsid w:val="00A361A3"/>
    <w:rsid w:val="00A64E78"/>
    <w:rsid w:val="00A66C46"/>
    <w:rsid w:val="00A807FA"/>
    <w:rsid w:val="00A821C6"/>
    <w:rsid w:val="00A83594"/>
    <w:rsid w:val="00A93656"/>
    <w:rsid w:val="00A9489E"/>
    <w:rsid w:val="00A950D1"/>
    <w:rsid w:val="00A97671"/>
    <w:rsid w:val="00AB76D7"/>
    <w:rsid w:val="00AD22B3"/>
    <w:rsid w:val="00AE23FF"/>
    <w:rsid w:val="00AF25DD"/>
    <w:rsid w:val="00B12875"/>
    <w:rsid w:val="00B1316D"/>
    <w:rsid w:val="00B31786"/>
    <w:rsid w:val="00B325FC"/>
    <w:rsid w:val="00B607E3"/>
    <w:rsid w:val="00B63CA3"/>
    <w:rsid w:val="00B821CE"/>
    <w:rsid w:val="00B97BAC"/>
    <w:rsid w:val="00BB67F2"/>
    <w:rsid w:val="00C06328"/>
    <w:rsid w:val="00C211C8"/>
    <w:rsid w:val="00C238C5"/>
    <w:rsid w:val="00C27EFB"/>
    <w:rsid w:val="00C479AE"/>
    <w:rsid w:val="00C61571"/>
    <w:rsid w:val="00C711DF"/>
    <w:rsid w:val="00C8113F"/>
    <w:rsid w:val="00C85D41"/>
    <w:rsid w:val="00CB2BB2"/>
    <w:rsid w:val="00CB5B0A"/>
    <w:rsid w:val="00CB76CE"/>
    <w:rsid w:val="00CC5510"/>
    <w:rsid w:val="00CD3209"/>
    <w:rsid w:val="00CE1852"/>
    <w:rsid w:val="00CE2335"/>
    <w:rsid w:val="00CF112C"/>
    <w:rsid w:val="00CF599A"/>
    <w:rsid w:val="00D07558"/>
    <w:rsid w:val="00D55984"/>
    <w:rsid w:val="00D85058"/>
    <w:rsid w:val="00DC205E"/>
    <w:rsid w:val="00DD5560"/>
    <w:rsid w:val="00DE59CF"/>
    <w:rsid w:val="00DF03FC"/>
    <w:rsid w:val="00E05BF4"/>
    <w:rsid w:val="00E116EF"/>
    <w:rsid w:val="00E266F4"/>
    <w:rsid w:val="00E317D9"/>
    <w:rsid w:val="00E35D19"/>
    <w:rsid w:val="00E41F88"/>
    <w:rsid w:val="00E44970"/>
    <w:rsid w:val="00E76AAC"/>
    <w:rsid w:val="00E8688B"/>
    <w:rsid w:val="00EA5528"/>
    <w:rsid w:val="00EC64B1"/>
    <w:rsid w:val="00ED0FA2"/>
    <w:rsid w:val="00ED0FCD"/>
    <w:rsid w:val="00ED1F66"/>
    <w:rsid w:val="00EF1D45"/>
    <w:rsid w:val="00F02A74"/>
    <w:rsid w:val="00F17E23"/>
    <w:rsid w:val="00F24A1F"/>
    <w:rsid w:val="00F250C0"/>
    <w:rsid w:val="00F30190"/>
    <w:rsid w:val="00F37918"/>
    <w:rsid w:val="00F5167A"/>
    <w:rsid w:val="00F55A5E"/>
    <w:rsid w:val="00F66CB7"/>
    <w:rsid w:val="00FA714F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D6"/>
    <w:rPr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0A467D"/>
    <w:pPr>
      <w:keepNext/>
      <w:ind w:firstLine="567"/>
      <w:jc w:val="center"/>
      <w:outlineLvl w:val="5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0A467D"/>
    <w:rPr>
      <w:rFonts w:eastAsia="Calibri"/>
      <w:b/>
      <w:bCs/>
      <w:sz w:val="24"/>
      <w:szCs w:val="24"/>
      <w:u w:val="single"/>
      <w:lang w:val="uk-UA" w:eastAsia="ru-RU" w:bidi="ar-SA"/>
    </w:rPr>
  </w:style>
  <w:style w:type="character" w:customStyle="1" w:styleId="a3">
    <w:name w:val="Название Знак"/>
    <w:basedOn w:val="a0"/>
    <w:link w:val="a4"/>
    <w:locked/>
    <w:rsid w:val="000A467D"/>
    <w:rPr>
      <w:rFonts w:ascii="Calibri" w:eastAsia="Calibri" w:hAnsi="Calibri"/>
      <w:b/>
      <w:bCs/>
      <w:sz w:val="28"/>
      <w:szCs w:val="28"/>
      <w:lang w:val="uk-UA" w:eastAsia="ru-RU" w:bidi="ar-SA"/>
    </w:rPr>
  </w:style>
  <w:style w:type="paragraph" w:styleId="a4">
    <w:name w:val="Title"/>
    <w:basedOn w:val="a"/>
    <w:link w:val="a3"/>
    <w:qFormat/>
    <w:rsid w:val="000A467D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6"/>
    <w:semiHidden/>
    <w:locked/>
    <w:rsid w:val="000A467D"/>
    <w:rPr>
      <w:rFonts w:ascii="Calibri" w:eastAsia="Calibri" w:hAnsi="Calibri"/>
      <w:lang w:val="uk-UA" w:eastAsia="ru-RU" w:bidi="ar-SA"/>
    </w:rPr>
  </w:style>
  <w:style w:type="paragraph" w:styleId="a6">
    <w:name w:val="Body Text"/>
    <w:basedOn w:val="a"/>
    <w:link w:val="a5"/>
    <w:semiHidden/>
    <w:rsid w:val="000A467D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0A467D"/>
    <w:rPr>
      <w:rFonts w:ascii="Calibri" w:eastAsia="Calibri" w:hAnsi="Calibri"/>
      <w:sz w:val="28"/>
      <w:szCs w:val="28"/>
      <w:lang w:val="uk-UA" w:eastAsia="ru-RU" w:bidi="ar-SA"/>
    </w:rPr>
  </w:style>
  <w:style w:type="paragraph" w:styleId="a8">
    <w:name w:val="Body Text Indent"/>
    <w:basedOn w:val="a"/>
    <w:link w:val="a7"/>
    <w:rsid w:val="000A467D"/>
    <w:pPr>
      <w:ind w:firstLine="851"/>
    </w:pPr>
    <w:rPr>
      <w:rFonts w:ascii="Calibri" w:eastAsia="Calibri" w:hAnsi="Calibri"/>
      <w:sz w:val="28"/>
      <w:szCs w:val="28"/>
    </w:rPr>
  </w:style>
  <w:style w:type="character" w:customStyle="1" w:styleId="2">
    <w:name w:val="Основной текст 2 Знак"/>
    <w:basedOn w:val="a0"/>
    <w:link w:val="20"/>
    <w:locked/>
    <w:rsid w:val="000A467D"/>
    <w:rPr>
      <w:rFonts w:ascii="Calibri" w:eastAsia="Calibri" w:hAnsi="Calibri"/>
      <w:lang w:val="uk-UA" w:eastAsia="ru-RU" w:bidi="ar-SA"/>
    </w:rPr>
  </w:style>
  <w:style w:type="paragraph" w:styleId="20">
    <w:name w:val="Body Text 2"/>
    <w:basedOn w:val="a"/>
    <w:link w:val="2"/>
    <w:rsid w:val="000A467D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0A467D"/>
    <w:rPr>
      <w:rFonts w:ascii="Calibri" w:eastAsia="Calibri" w:hAnsi="Calibri"/>
      <w:lang w:val="uk-UA" w:eastAsia="ru-RU" w:bidi="ar-SA"/>
    </w:rPr>
  </w:style>
  <w:style w:type="paragraph" w:styleId="22">
    <w:name w:val="Body Text Indent 2"/>
    <w:basedOn w:val="a"/>
    <w:link w:val="21"/>
    <w:semiHidden/>
    <w:rsid w:val="000A467D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a9">
    <w:name w:val="Заголовок"/>
    <w:basedOn w:val="a"/>
    <w:next w:val="a6"/>
    <w:rsid w:val="000A467D"/>
    <w:pPr>
      <w:suppressAutoHyphens/>
      <w:jc w:val="center"/>
    </w:pPr>
    <w:rPr>
      <w:rFonts w:eastAsia="Calibri"/>
      <w:b/>
      <w:b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A467D"/>
    <w:pPr>
      <w:suppressAutoHyphens/>
      <w:spacing w:after="120" w:line="480" w:lineRule="auto"/>
    </w:pPr>
    <w:rPr>
      <w:rFonts w:eastAsia="Calibri"/>
      <w:kern w:val="2"/>
      <w:sz w:val="20"/>
      <w:szCs w:val="20"/>
      <w:lang w:eastAsia="ar-SA"/>
    </w:rPr>
  </w:style>
  <w:style w:type="paragraph" w:customStyle="1" w:styleId="Style6">
    <w:name w:val="Style6"/>
    <w:basedOn w:val="a"/>
    <w:rsid w:val="007D162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ru-RU"/>
    </w:rPr>
  </w:style>
  <w:style w:type="paragraph" w:styleId="aa">
    <w:name w:val="Balloon Text"/>
    <w:basedOn w:val="a"/>
    <w:link w:val="ab"/>
    <w:rsid w:val="008C0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C0205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6F4944"/>
    <w:pPr>
      <w:ind w:left="720"/>
      <w:contextualSpacing/>
    </w:pPr>
  </w:style>
  <w:style w:type="paragraph" w:styleId="ad">
    <w:name w:val="header"/>
    <w:basedOn w:val="a"/>
    <w:link w:val="ae"/>
    <w:uiPriority w:val="99"/>
    <w:rsid w:val="00AF25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25DD"/>
    <w:rPr>
      <w:sz w:val="24"/>
      <w:szCs w:val="24"/>
      <w:lang w:val="uk-UA"/>
    </w:rPr>
  </w:style>
  <w:style w:type="paragraph" w:styleId="af">
    <w:name w:val="footer"/>
    <w:basedOn w:val="a"/>
    <w:link w:val="af0"/>
    <w:rsid w:val="00AF25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F25DD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1\&#1052;&#1086;&#1080;%20&#1076;&#1086;&#1082;&#1091;&#1084;&#1077;&#1085;&#1090;&#1099;\&#1044;&#1110;&#1072;&#1075;&#1088;&#1072;&#1084;&#1080;%201%20&#1087;&#1110;&#1074;&#1088;&#1110;&#1095;&#1095;&#1103;%202013-&#1085;&#1086;&#1074;&#1072;&#1103;%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1\&#1052;&#1086;&#1080;%20&#1076;&#1086;&#1082;&#1091;&#1084;&#1077;&#1085;&#1090;&#1099;\&#1044;&#1110;&#1072;&#1075;&#1088;&#1072;&#1084;&#1080;%201%20&#1087;&#1110;&#1074;&#1088;&#1110;&#1095;&#1095;&#1103;%202013-&#1085;&#1086;&#1074;&#1072;&#1103;%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30;&#1085;&#1092;&#1086;&#1088;&#1084;&#1072;&#1094;&#1110;&#1103;%20&#1087;&#1086;%20&#1074;&#1080;&#1082;&#1086;&#1085;&#1072;&#1085;&#1085;&#1102;\2013\&#1030;%20&#1087;&#1110;&#1074;&#1088;&#1110;&#1095;&#1095;&#1103;\&#1072;&#1085;&#1072;&#1083;&#1110;&#1079;%2001.07.13%20&#1076;&#1080;&#1072;&#1075;&#1088;&#1072;&#1084;&#1084;&#1099;%2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5\&#1057;&#1077;&#1090;&#1077;&#1074;&#1072;&#1103;\&#1072;&#1085;&#1072;&#1083;&#1110;&#1079;%2001.07.13%20&#1076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Показники доходів загального фонду бюджету м.Запоріжжя, млн.грн.</a:t>
            </a:r>
          </a:p>
        </c:rich>
      </c:tx>
      <c:layout>
        <c:manualLayout>
          <c:xMode val="edge"/>
          <c:yMode val="edge"/>
          <c:x val="0.14002828854314031"/>
          <c:y val="1.538461538461541E-2"/>
        </c:manualLayout>
      </c:layout>
      <c:spPr>
        <a:noFill/>
        <a:ln w="25400">
          <a:noFill/>
        </a:ln>
      </c:spPr>
    </c:title>
    <c:view3D>
      <c:rotX val="16"/>
      <c:hPercent val="65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451202263083668E-2"/>
          <c:y val="0.15824175824175823"/>
          <c:w val="0.75530410183875529"/>
          <c:h val="0.77142857142857324"/>
        </c:manualLayout>
      </c:layout>
      <c:bar3DChart>
        <c:barDir val="col"/>
        <c:grouping val="stacked"/>
        <c:ser>
          <c:idx val="0"/>
          <c:order val="0"/>
          <c:tx>
            <c:strRef>
              <c:f>'ЗФ 1півр2013 до 1півр2012'!$A$8</c:f>
              <c:strCache>
                <c:ptCount val="1"/>
                <c:pt idx="0">
                  <c:v>всего</c:v>
                </c:pt>
              </c:strCache>
            </c:strRef>
          </c:tx>
          <c:dLbls>
            <c:delete val="1"/>
          </c:dLbls>
          <c:cat>
            <c:strRef>
              <c:f>'ЗФ 1півр2013 до 1півр2012'!$B$5:$C$5</c:f>
              <c:strCache>
                <c:ptCount val="2"/>
                <c:pt idx="0">
                  <c:v>Факт за 1 півріччя 2012 року</c:v>
                </c:pt>
                <c:pt idx="1">
                  <c:v>Факт за 1 півріччя 2013 року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1"/>
          <c:tx>
            <c:strRef>
              <c:f>'ЗФ 1півр2013 до 1півр2012'!$A$8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'ЗФ 1півр2013 до 1півр2012'!$B$5:$C$5</c:f>
              <c:strCache>
                <c:ptCount val="2"/>
                <c:pt idx="0">
                  <c:v>Факт за 1 півріччя 2012 року</c:v>
                </c:pt>
                <c:pt idx="1">
                  <c:v>Факт за 1 півріччя 2013 року</c:v>
                </c:pt>
              </c:strCache>
            </c:strRef>
          </c:cat>
          <c:val>
            <c:numRef>
              <c:f>'ЗФ 1півр2013 до 1півр2012'!$B$8:$C$8</c:f>
              <c:numCache>
                <c:formatCode>#,##0.0</c:formatCode>
                <c:ptCount val="2"/>
                <c:pt idx="0">
                  <c:v>805.09999999999991</c:v>
                </c:pt>
                <c:pt idx="1">
                  <c:v>827.5</c:v>
                </c:pt>
              </c:numCache>
            </c:numRef>
          </c:val>
        </c:ser>
        <c:dLbls>
          <c:showVal val="1"/>
        </c:dLbls>
        <c:shape val="box"/>
        <c:axId val="37738368"/>
        <c:axId val="37916032"/>
        <c:axId val="0"/>
      </c:bar3DChart>
      <c:catAx>
        <c:axId val="37738368"/>
        <c:scaling>
          <c:orientation val="minMax"/>
        </c:scaling>
        <c:delete val="1"/>
        <c:axPos val="b"/>
        <c:numFmt formatCode="#,##0.0" sourceLinked="1"/>
        <c:tickLblPos val="none"/>
        <c:crossAx val="37916032"/>
        <c:crosses val="autoZero"/>
        <c:auto val="1"/>
        <c:lblAlgn val="ctr"/>
        <c:lblOffset val="100"/>
        <c:tickLblSkip val="1"/>
        <c:tickMarkSkip val="1"/>
      </c:catAx>
      <c:valAx>
        <c:axId val="379160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738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/>
              <a:t>Структура доходів загального фонду за 1 півріччя 2013 року</a:t>
            </a:r>
          </a:p>
        </c:rich>
      </c:tx>
      <c:layout>
        <c:manualLayout>
          <c:xMode val="edge"/>
          <c:yMode val="edge"/>
          <c:x val="0.14490179782983331"/>
          <c:y val="9.1346153846153813E-2"/>
        </c:manualLayout>
      </c:layout>
      <c:spPr>
        <a:noFill/>
        <a:ln w="25400">
          <a:noFill/>
        </a:ln>
      </c:spPr>
    </c:title>
    <c:view3D>
      <c:rotY val="200"/>
      <c:perspective val="0"/>
    </c:view3D>
    <c:plotArea>
      <c:layout>
        <c:manualLayout>
          <c:layoutTarget val="inner"/>
          <c:xMode val="edge"/>
          <c:yMode val="edge"/>
          <c:x val="4.3310724773264732E-2"/>
          <c:y val="0.22556983891390572"/>
          <c:w val="0.95648574621241655"/>
          <c:h val="0.51085708535634256"/>
        </c:manualLayout>
      </c:layout>
      <c:pie3DChart>
        <c:varyColors val="1"/>
        <c:ser>
          <c:idx val="0"/>
          <c:order val="0"/>
          <c:tx>
            <c:strRef>
              <c:f>'структура ЗФ 1 півр 2013'!$C$3</c:f>
              <c:strCache>
                <c:ptCount val="1"/>
                <c:pt idx="0">
                  <c:v>Факт за 1 півріччя 2013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4"/>
          <c:dPt>
            <c:idx val="0"/>
            <c:explosion val="41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43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102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145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90687352199787"/>
                  <c:y val="3.479593804768015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3.2604558093604644E-2"/>
                  <c:y val="-0.1880288126923434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2097523453132716"/>
                  <c:y val="0.10718690515123325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21887040357579102"/>
                  <c:y val="0.1425792223256438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5.6168394792235184E-2"/>
                  <c:y val="0.15812365307371717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5662295678386734"/>
                  <c:y val="0.1510871843894917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8.5416699150230008E-2"/>
                  <c:y val="-7.369709776693241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spPr>
              <a:solidFill>
                <a:srgbClr val="CCFFFF"/>
              </a:solidFill>
              <a:ln w="3175">
                <a:solidFill>
                  <a:srgbClr val="FFFFFF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'структура ЗФ 1 півр 2013'!$B$4:$B$10</c:f>
              <c:strCache>
                <c:ptCount val="7"/>
                <c:pt idx="0">
                  <c:v>Податок на доходи фізичних осіб</c:v>
                </c:pt>
                <c:pt idx="1">
                  <c:v>Податок на прибуток </c:v>
                </c:pt>
                <c:pt idx="2">
                  <c:v>Плата за землю</c:v>
                </c:pt>
                <c:pt idx="3">
                  <c:v>Місцеві податки і збори</c:v>
                </c:pt>
                <c:pt idx="4">
                  <c:v>Плата за оренду МК</c:v>
                </c:pt>
                <c:pt idx="5">
                  <c:v>Плата за надра</c:v>
                </c:pt>
                <c:pt idx="6">
                  <c:v>Інші</c:v>
                </c:pt>
              </c:strCache>
            </c:strRef>
          </c:cat>
          <c:val>
            <c:numRef>
              <c:f>'структура ЗФ 1 півр 2013'!$C$4:$C$10</c:f>
              <c:numCache>
                <c:formatCode>#,##0.0</c:formatCode>
                <c:ptCount val="7"/>
                <c:pt idx="0">
                  <c:v>604.9</c:v>
                </c:pt>
                <c:pt idx="1">
                  <c:v>21.6</c:v>
                </c:pt>
                <c:pt idx="2">
                  <c:v>179.4</c:v>
                </c:pt>
                <c:pt idx="3">
                  <c:v>5.9</c:v>
                </c:pt>
                <c:pt idx="4">
                  <c:v>8.2000000000000011</c:v>
                </c:pt>
                <c:pt idx="5">
                  <c:v>3.6</c:v>
                </c:pt>
                <c:pt idx="6">
                  <c:v>3.9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видактів загального фонду бюджету міста без врахування субвенцій з державного бюджету за економічною класифікацією за І півріччя 2013 року</a:t>
            </a:r>
          </a:p>
        </c:rich>
      </c:tx>
      <c:layout>
        <c:manualLayout>
          <c:xMode val="edge"/>
          <c:yMode val="edge"/>
          <c:x val="0.14411809634906791"/>
          <c:y val="2.01144699105305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7875802289419704"/>
          <c:y val="0.41454068241469832"/>
          <c:w val="0.53377641520300412"/>
          <c:h val="0.4969177909276946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1739607032970255E-2"/>
                  <c:y val="6.524149648202537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1488531253854695"/>
                  <c:y val="0.23778001960655887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7.1523412514612139E-2"/>
                  <c:y val="0.19062604512907985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0.10866697218403308"/>
                  <c:y val="5.983599878221373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4928624118063763"/>
                  <c:y val="-0.1076453582396289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2.0613109635805392E-2"/>
                  <c:y val="-0.15819048756943305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0.17450563777567021"/>
                  <c:y val="-6.793357765712158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25111207504290833"/>
                  <c:y val="-4.0170450086009866E-3"/>
                </c:manualLayout>
              </c:layout>
              <c:dLblPos val="bestFit"/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000">
                    <a:latin typeface="Arial Narrow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'Диаграмма КЕКВ'!$E$7:$E$14</c:f>
              <c:strCache>
                <c:ptCount val="8"/>
                <c:pt idx="0">
                  <c:v>Оплата праці і нарахування на заробітну плату</c:v>
                </c:pt>
                <c:pt idx="1">
                  <c:v>Медикаменти та перев'язувальні матеріали</c:v>
                </c:pt>
                <c:pt idx="2">
                  <c:v>Продукти харчування</c:v>
                </c:pt>
                <c:pt idx="3">
                  <c:v>Оплата комунальних послуг та енергоносіїв</c:v>
                </c:pt>
                <c:pt idx="4">
                  <c:v>Обслуговування боргових зобов'язань</c:v>
                </c:pt>
                <c:pt idx="5">
                  <c:v>Соціальне забезпечення</c:v>
                </c:pt>
                <c:pt idx="6">
                  <c:v>Субсидії та поточні трансферти підприємствам</c:v>
                </c:pt>
                <c:pt idx="7">
                  <c:v>Інші видатки</c:v>
                </c:pt>
              </c:strCache>
            </c:strRef>
          </c:cat>
          <c:val>
            <c:numRef>
              <c:f>'Диаграмма КЕКВ'!$G$7:$G$14</c:f>
              <c:numCache>
                <c:formatCode>0.0%</c:formatCode>
                <c:ptCount val="8"/>
                <c:pt idx="0">
                  <c:v>0.73703249018377925</c:v>
                </c:pt>
                <c:pt idx="1">
                  <c:v>9.2421309088061027E-3</c:v>
                </c:pt>
                <c:pt idx="2">
                  <c:v>2.5605087499006109E-2</c:v>
                </c:pt>
                <c:pt idx="3">
                  <c:v>0.11021147594070972</c:v>
                </c:pt>
                <c:pt idx="4">
                  <c:v>8.9124561102928608E-3</c:v>
                </c:pt>
                <c:pt idx="5">
                  <c:v>9.2736528187463158E-3</c:v>
                </c:pt>
                <c:pt idx="6">
                  <c:v>4.7027201149596819E-2</c:v>
                </c:pt>
                <c:pt idx="7">
                  <c:v>5.2695505389066262E-2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anchor="t" anchorCtr="1"/>
          <a:lstStyle/>
          <a:p>
            <a:pPr>
              <a:defRPr sz="1400"/>
            </a:pPr>
            <a:r>
              <a:rPr lang="ru-RU" sz="1400"/>
              <a:t>Структура</a:t>
            </a:r>
            <a:r>
              <a:rPr lang="ru-RU" sz="1400" baseline="0"/>
              <a:t> видатків бюджету міста за І півріччя 2013 року за функціональною ознакою</a:t>
            </a:r>
            <a:endParaRPr lang="ru-RU" sz="1400"/>
          </a:p>
        </c:rich>
      </c:tx>
      <c:layout>
        <c:manualLayout>
          <c:xMode val="edge"/>
          <c:yMode val="edge"/>
          <c:x val="0.13987289214266291"/>
          <c:y val="1.7522809648793949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30100106215820038"/>
          <c:y val="0.39987676540432526"/>
          <c:w val="0.51349748505517079"/>
          <c:h val="0.43370653668291481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0.22805449486038351"/>
                  <c:y val="1.681514810648669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7.5113405386260254E-2"/>
                  <c:y val="-1.954986118064730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2.6444745766296091E-2"/>
                  <c:y val="3.015945261177620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7.3891941755014803E-2"/>
                  <c:y val="8.0497170512645461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6.7365416180983434E-2"/>
                  <c:y val="3.922868023000015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5.651581134057589E-3"/>
                  <c:y val="0.11558322630922256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0.14312835078621741"/>
                  <c:y val="0.1378039168245653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-0.15110888916663273"/>
                  <c:y val="2.326326712139609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8"/>
              <c:layout>
                <c:manualLayout>
                  <c:x val="-0.11797201820360692"/>
                  <c:y val="-0.1179902724109430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9"/>
              <c:layout>
                <c:manualLayout>
                  <c:x val="4.4172197508544113E-2"/>
                  <c:y val="-0.15715124482272197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0"/>
              <c:layout>
                <c:manualLayout>
                  <c:x val="0.18879960266404641"/>
                  <c:y val="-0.12360405627241057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0.16540383957022137"/>
                  <c:y val="-5.2891388576427965E-2"/>
                </c:manualLayout>
              </c:layout>
              <c:showVal val="1"/>
              <c:showCatName val="1"/>
              <c:separator>
</c:separator>
            </c:dLbl>
            <c:dLbl>
              <c:idx val="12"/>
              <c:delete val="1"/>
            </c:dLbl>
            <c:dLbl>
              <c:idx val="13"/>
              <c:delete val="1"/>
            </c:dLbl>
            <c:txPr>
              <a:bodyPr/>
              <a:lstStyle/>
              <a:p>
                <a:pPr>
                  <a:defRPr sz="1000">
                    <a:latin typeface="Arial Narrow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</c:dLbls>
          <c:cat>
            <c:strRef>
              <c:f>'Диаграмма КФК'!$D$5:$D$16</c:f>
              <c:strCache>
                <c:ptCount val="12"/>
                <c:pt idx="0">
                  <c:v>Органи місцевого самоврядування</c:v>
                </c:pt>
                <c:pt idx="1">
                  <c:v>Освіта</c:v>
                </c:pt>
                <c:pt idx="2">
                  <c:v>Культура і мистецтво</c:v>
                </c:pt>
                <c:pt idx="3">
                  <c:v>Фізична культура і спорт</c:v>
                </c:pt>
                <c:pt idx="4">
                  <c:v>Охорона здоров'я</c:v>
                </c:pt>
                <c:pt idx="5">
                  <c:v>Соціальний захист та соціальне забезпечення, компенсація пільгового проїзду</c:v>
                </c:pt>
                <c:pt idx="6">
                  <c:v>Житлово-комунальне господарство</c:v>
                </c:pt>
                <c:pt idx="7">
                  <c:v>Будівництво, внески до статутного капіталу</c:v>
                </c:pt>
                <c:pt idx="8">
                  <c:v>Транспорт, дорожнє господарство</c:v>
                </c:pt>
                <c:pt idx="9">
                  <c:v>Цільові фонди</c:v>
                </c:pt>
                <c:pt idx="10">
                  <c:v>Кошти, що передаються до державного бюджету</c:v>
                </c:pt>
                <c:pt idx="11">
                  <c:v>Інші видатки</c:v>
                </c:pt>
              </c:strCache>
            </c:strRef>
          </c:cat>
          <c:val>
            <c:numRef>
              <c:f>'[аналіз 01.07.13 диаграммы.xls]Диаграмма КФК'!$F$5:$F$16,'[аналіз 01.07.13 диаграммы.xls]Диаграмма КФК'!$E$22</c:f>
              <c:numCache>
                <c:formatCode>0.0%</c:formatCode>
                <c:ptCount val="13"/>
                <c:pt idx="0">
                  <c:v>3.3263917824886496E-2</c:v>
                </c:pt>
                <c:pt idx="1">
                  <c:v>0.33337658203113335</c:v>
                </c:pt>
                <c:pt idx="2">
                  <c:v>3.2472088840328192E-2</c:v>
                </c:pt>
                <c:pt idx="3">
                  <c:v>1.0185870043069339E-2</c:v>
                </c:pt>
                <c:pt idx="4">
                  <c:v>0.20706883551622318</c:v>
                </c:pt>
                <c:pt idx="5">
                  <c:v>0.23414184362465768</c:v>
                </c:pt>
                <c:pt idx="6">
                  <c:v>4.5425432182235374E-2</c:v>
                </c:pt>
                <c:pt idx="7">
                  <c:v>1.5610700305536403E-2</c:v>
                </c:pt>
                <c:pt idx="8">
                  <c:v>7.0560649381695593E-3</c:v>
                </c:pt>
                <c:pt idx="9">
                  <c:v>6.2004272820507488E-3</c:v>
                </c:pt>
                <c:pt idx="10">
                  <c:v>6.4622359848899982E-2</c:v>
                </c:pt>
                <c:pt idx="11">
                  <c:v>1.0575877562813385E-2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'Диаграмма КФК'!$D$5:$D$16</c:f>
              <c:strCache>
                <c:ptCount val="12"/>
                <c:pt idx="0">
                  <c:v>Органи місцевого самоврядування</c:v>
                </c:pt>
                <c:pt idx="1">
                  <c:v>Освіта</c:v>
                </c:pt>
                <c:pt idx="2">
                  <c:v>Культура і мистецтво</c:v>
                </c:pt>
                <c:pt idx="3">
                  <c:v>Фізична культура і спорт</c:v>
                </c:pt>
                <c:pt idx="4">
                  <c:v>Охорона здоров'я</c:v>
                </c:pt>
                <c:pt idx="5">
                  <c:v>Соціальний захист та соціальне забезпечення, компенсація пільгового проїзду</c:v>
                </c:pt>
                <c:pt idx="6">
                  <c:v>Житлово-комунальне господарство</c:v>
                </c:pt>
                <c:pt idx="7">
                  <c:v>Будівництво, внески до статутного капіталу</c:v>
                </c:pt>
                <c:pt idx="8">
                  <c:v>Транспорт, дорожнє господарство</c:v>
                </c:pt>
                <c:pt idx="9">
                  <c:v>Цільові фонди</c:v>
                </c:pt>
                <c:pt idx="10">
                  <c:v>Кошти, що передаються до державного бюджету</c:v>
                </c:pt>
                <c:pt idx="11">
                  <c:v>Інші видатки</c:v>
                </c:pt>
              </c:strCache>
            </c:strRef>
          </c:cat>
          <c:val>
            <c:numRef>
              <c:f>'Диаграмма КФК'!$E$22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explosion val="25"/>
          <c:cat>
            <c:strRef>
              <c:f>'Диаграмма КФК'!$D$5:$D$16</c:f>
              <c:strCache>
                <c:ptCount val="12"/>
                <c:pt idx="0">
                  <c:v>Органи місцевого самоврядування</c:v>
                </c:pt>
                <c:pt idx="1">
                  <c:v>Освіта</c:v>
                </c:pt>
                <c:pt idx="2">
                  <c:v>Культура і мистецтво</c:v>
                </c:pt>
                <c:pt idx="3">
                  <c:v>Фізична культура і спорт</c:v>
                </c:pt>
                <c:pt idx="4">
                  <c:v>Охорона здоров'я</c:v>
                </c:pt>
                <c:pt idx="5">
                  <c:v>Соціальний захист та соціальне забезпечення, компенсація пільгового проїзду</c:v>
                </c:pt>
                <c:pt idx="6">
                  <c:v>Житлово-комунальне господарство</c:v>
                </c:pt>
                <c:pt idx="7">
                  <c:v>Будівництво, внески до статутного капіталу</c:v>
                </c:pt>
                <c:pt idx="8">
                  <c:v>Транспорт, дорожнє господарство</c:v>
                </c:pt>
                <c:pt idx="9">
                  <c:v>Цільові фонди</c:v>
                </c:pt>
                <c:pt idx="10">
                  <c:v>Кошти, що передаються до державного бюджету</c:v>
                </c:pt>
                <c:pt idx="11">
                  <c:v>Інші видатки</c:v>
                </c:pt>
              </c:strCache>
            </c:strRef>
          </c:cat>
          <c:val>
            <c:numRef>
              <c:f>'Диаграмма КФК'!$E$22</c:f>
              <c:numCache>
                <c:formatCode>General</c:formatCode>
                <c:ptCount val="1"/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  <a:effectLst/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0.36433</cdr:x>
      <cdr:y>0.13593</cdr:y>
    </cdr:from>
    <cdr:to>
      <cdr:x>0.5514</cdr:x>
      <cdr:y>0.32249</cdr:y>
    </cdr:to>
    <cdr:sp macro="" textlink="">
      <cdr:nvSpPr>
        <cdr:cNvPr id="7171" name="AutoShape 3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-1413775">
          <a:off x="2453485" y="589108"/>
          <a:ext cx="1259762" cy="808528"/>
        </a:xfrm>
        <a:custGeom xmlns:a="http://schemas.openxmlformats.org/drawingml/2006/main">
          <a:avLst/>
          <a:gdLst>
            <a:gd name="G0" fmla="+- 26830 0 0"/>
            <a:gd name="G1" fmla="+- -9831974 0 0"/>
            <a:gd name="G2" fmla="+- 26830 0 -9831974"/>
            <a:gd name="G3" fmla="+- 10800 0 0"/>
            <a:gd name="G4" fmla="+- 0 0 26830"/>
            <a:gd name="T0" fmla="*/ 360 256 1"/>
            <a:gd name="T1" fmla="*/ 0 256 1"/>
            <a:gd name="G5" fmla="+- G2 T0 T1"/>
            <a:gd name="G6" fmla="?: G2 G2 G5"/>
            <a:gd name="G7" fmla="+- 0 0 G6"/>
            <a:gd name="G8" fmla="+- 5318 0 0"/>
            <a:gd name="G9" fmla="+- 0 0 -9831974"/>
            <a:gd name="G10" fmla="+- 5318 0 2700"/>
            <a:gd name="G11" fmla="cos G10 26830"/>
            <a:gd name="G12" fmla="sin G10 26830"/>
            <a:gd name="G13" fmla="cos 13500 26830"/>
            <a:gd name="G14" fmla="sin 13500 26830"/>
            <a:gd name="G15" fmla="+- G11 10800 0"/>
            <a:gd name="G16" fmla="+- G12 10800 0"/>
            <a:gd name="G17" fmla="+- G13 10800 0"/>
            <a:gd name="G18" fmla="+- G14 10800 0"/>
            <a:gd name="G19" fmla="*/ 5318 1 2"/>
            <a:gd name="G20" fmla="+- G19 5400 0"/>
            <a:gd name="G21" fmla="cos G20 26830"/>
            <a:gd name="G22" fmla="sin G20 26830"/>
            <a:gd name="G23" fmla="+- G21 10800 0"/>
            <a:gd name="G24" fmla="+- G12 G23 G22"/>
            <a:gd name="G25" fmla="+- G22 G23 G11"/>
            <a:gd name="G26" fmla="cos 10800 26830"/>
            <a:gd name="G27" fmla="sin 10800 26830"/>
            <a:gd name="G28" fmla="cos 5318 26830"/>
            <a:gd name="G29" fmla="sin 5318 26830"/>
            <a:gd name="G30" fmla="+- G26 10800 0"/>
            <a:gd name="G31" fmla="+- G27 10800 0"/>
            <a:gd name="G32" fmla="+- G28 10800 0"/>
            <a:gd name="G33" fmla="+- G29 10800 0"/>
            <a:gd name="G34" fmla="+- G19 5400 0"/>
            <a:gd name="G35" fmla="cos G34 -9831974"/>
            <a:gd name="G36" fmla="sin G34 -9831974"/>
            <a:gd name="G37" fmla="+/ -9831974 26830 2"/>
            <a:gd name="T2" fmla="*/ 180 256 1"/>
            <a:gd name="T3" fmla="*/ 0 256 1"/>
            <a:gd name="G38" fmla="+- G37 T2 T3"/>
            <a:gd name="G39" fmla="?: G2 G37 G38"/>
            <a:gd name="G40" fmla="cos 10800 G39"/>
            <a:gd name="G41" fmla="sin 10800 G39"/>
            <a:gd name="G42" fmla="cos 5318 G39"/>
            <a:gd name="G43" fmla="sin 5318 G39"/>
            <a:gd name="G44" fmla="+- G40 10800 0"/>
            <a:gd name="G45" fmla="+- G41 10800 0"/>
            <a:gd name="G46" fmla="+- G42 10800 0"/>
            <a:gd name="G47" fmla="+- G43 10800 0"/>
            <a:gd name="G48" fmla="+- G35 10800 0"/>
            <a:gd name="G49" fmla="+- G36 10800 0"/>
            <a:gd name="T4" fmla="*/ 13630 w 21600"/>
            <a:gd name="T5" fmla="*/ 377 h 21600"/>
            <a:gd name="T6" fmla="*/ 3819 w 21600"/>
            <a:gd name="T7" fmla="*/ 6773 h 21600"/>
            <a:gd name="T8" fmla="*/ 12193 w 21600"/>
            <a:gd name="T9" fmla="*/ 5667 h 21600"/>
            <a:gd name="T10" fmla="*/ 24299 w 21600"/>
            <a:gd name="T11" fmla="*/ 10896 h 21600"/>
            <a:gd name="T12" fmla="*/ 18819 w 21600"/>
            <a:gd name="T13" fmla="*/ 16298 h 21600"/>
            <a:gd name="T14" fmla="*/ 13417 w 21600"/>
            <a:gd name="T15" fmla="*/ 10818 h 21600"/>
            <a:gd name="T16" fmla="*/ 3163 w 21600"/>
            <a:gd name="T17" fmla="*/ 3163 h 21600"/>
            <a:gd name="T18" fmla="*/ 18437 w 21600"/>
            <a:gd name="T19" fmla="*/ 18437 h 21600"/>
          </a:gdLst>
          <a:ahLst/>
          <a:cxnLst>
            <a:cxn ang="0">
              <a:pos x="T4" y="T5"/>
            </a:cxn>
            <a:cxn ang="0">
              <a:pos x="T6" y="T7"/>
            </a:cxn>
            <a:cxn ang="0">
              <a:pos x="T8" y="T9"/>
            </a:cxn>
            <a:cxn ang="0">
              <a:pos x="T10" y="T11"/>
            </a:cxn>
            <a:cxn ang="0">
              <a:pos x="T12" y="T13"/>
            </a:cxn>
            <a:cxn ang="0">
              <a:pos x="T14" y="T15"/>
            </a:cxn>
          </a:cxnLst>
          <a:rect l="T16" t="T17" r="T18" b="T19"/>
          <a:pathLst>
            <a:path w="21600" h="21600">
              <a:moveTo>
                <a:pt x="16117" y="10837"/>
              </a:moveTo>
              <a:cubicBezTo>
                <a:pt x="16117" y="10825"/>
                <a:pt x="16118" y="10812"/>
                <a:pt x="16118" y="10800"/>
              </a:cubicBezTo>
              <a:cubicBezTo>
                <a:pt x="16118" y="7862"/>
                <a:pt x="13737" y="5482"/>
                <a:pt x="10800" y="5482"/>
              </a:cubicBezTo>
              <a:cubicBezTo>
                <a:pt x="8899" y="5481"/>
                <a:pt x="7143" y="6496"/>
                <a:pt x="6193" y="8142"/>
              </a:cubicBezTo>
              <a:lnTo>
                <a:pt x="1444" y="5403"/>
              </a:lnTo>
              <a:cubicBezTo>
                <a:pt x="3373" y="2060"/>
                <a:pt x="6939" y="-1"/>
                <a:pt x="10800" y="0"/>
              </a:cubicBezTo>
              <a:cubicBezTo>
                <a:pt x="16764" y="0"/>
                <a:pt x="21600" y="4835"/>
                <a:pt x="21600" y="10800"/>
              </a:cubicBezTo>
              <a:cubicBezTo>
                <a:pt x="21600" y="10825"/>
                <a:pt x="21599" y="10851"/>
                <a:pt x="21599" y="10877"/>
              </a:cubicBezTo>
              <a:lnTo>
                <a:pt x="24299" y="10896"/>
              </a:lnTo>
              <a:lnTo>
                <a:pt x="18819" y="16298"/>
              </a:lnTo>
              <a:lnTo>
                <a:pt x="13417" y="10818"/>
              </a:lnTo>
              <a:lnTo>
                <a:pt x="16117" y="10837"/>
              </a:lnTo>
              <a:close/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0.43247</cdr:x>
      <cdr:y>0.16917</cdr:y>
    </cdr:from>
    <cdr:to>
      <cdr:x>0.51331</cdr:x>
      <cdr:y>0.18995</cdr:y>
    </cdr:to>
    <cdr:sp macro="" textlink="">
      <cdr:nvSpPr>
        <cdr:cNvPr id="7172" name="WordArt 4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2919606" y="737938"/>
          <a:ext cx="545173" cy="902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ArchUp">
            <a:avLst>
              <a:gd name="adj" fmla="val 10800000"/>
            </a:avLst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0.42359</cdr:x>
      <cdr:y>0.62006</cdr:y>
    </cdr:from>
    <cdr:to>
      <cdr:x>0.51503</cdr:x>
      <cdr:y>0.67238</cdr:y>
    </cdr:to>
    <cdr:sp macro="" textlink="">
      <cdr:nvSpPr>
        <cdr:cNvPr id="7173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859770" y="2696335"/>
          <a:ext cx="616644" cy="22727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stealth" w="lg" len="lg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0.43247</cdr:x>
      <cdr:y>0.39877</cdr:y>
    </cdr:from>
    <cdr:to>
      <cdr:x>0.51577</cdr:x>
      <cdr:y>0.44523</cdr:y>
    </cdr:to>
    <cdr:sp macro="" textlink="">
      <cdr:nvSpPr>
        <cdr:cNvPr id="7174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919606" y="1735191"/>
          <a:ext cx="561794" cy="2017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stealth" w="lg" len="lg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0.43247</cdr:x>
      <cdr:y>0.5604</cdr:y>
    </cdr:from>
    <cdr:to>
      <cdr:x>0.51577</cdr:x>
      <cdr:y>0.64182</cdr:y>
    </cdr:to>
    <cdr:sp macro="" textlink="">
      <cdr:nvSpPr>
        <cdr:cNvPr id="7175" name="WordArt 7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2919606" y="2437198"/>
          <a:ext cx="561794" cy="353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SlantUp">
            <a:avLst>
              <a:gd name="adj" fmla="val 55556"/>
            </a:avLst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0.43247</cdr:x>
      <cdr:y>0.34326</cdr:y>
    </cdr:from>
    <cdr:to>
      <cdr:x>0.51577</cdr:x>
      <cdr:y>0.42444</cdr:y>
    </cdr:to>
    <cdr:sp macro="" textlink="">
      <cdr:nvSpPr>
        <cdr:cNvPr id="7176" name="WordArt 8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2919606" y="1494109"/>
          <a:ext cx="561794" cy="3525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SlantUp">
            <a:avLst>
              <a:gd name="adj" fmla="val 55556"/>
            </a:avLst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0.21358</cdr:x>
      <cdr:y>0.88352</cdr:y>
    </cdr:from>
    <cdr:to>
      <cdr:x>0.37624</cdr:x>
      <cdr:y>0.98681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1438275" y="3829050"/>
          <a:ext cx="1095375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І півріччя 2012 року</a:t>
          </a:r>
        </a:p>
      </cdr:txBody>
    </cdr:sp>
  </cdr:relSizeAnchor>
  <cdr:relSizeAnchor xmlns:cdr="http://schemas.openxmlformats.org/drawingml/2006/chartDrawing">
    <cdr:from>
      <cdr:x>0.49222</cdr:x>
      <cdr:y>0.88352</cdr:y>
    </cdr:from>
    <cdr:to>
      <cdr:x>0.65488</cdr:x>
      <cdr:y>0.98681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3314700" y="3829050"/>
          <a:ext cx="1095375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І півріччя 2013 року</a:t>
          </a:r>
        </a:p>
      </cdr:txBody>
    </cdr:sp>
  </cdr:relSizeAnchor>
  <cdr:relSizeAnchor xmlns:cdr="http://schemas.openxmlformats.org/drawingml/2006/chartDrawing">
    <cdr:from>
      <cdr:x>0.40736</cdr:x>
      <cdr:y>0.12527</cdr:y>
    </cdr:from>
    <cdr:to>
      <cdr:x>0.52475</cdr:x>
      <cdr:y>0.18242</cdr:y>
    </cdr:to>
    <cdr:sp macro="" textlink="">
      <cdr:nvSpPr>
        <cdr:cNvPr id="12" name="TextBox 11"/>
        <cdr:cNvSpPr txBox="1"/>
      </cdr:nvSpPr>
      <cdr:spPr>
        <a:xfrm xmlns:a="http://schemas.openxmlformats.org/drawingml/2006/main" rot="20284501">
          <a:off x="2743200" y="542924"/>
          <a:ext cx="7905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102,8 %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F265-DC57-4B3E-B490-0CB7F0AD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2013-08-14T07:36:00Z</cp:lastPrinted>
  <dcterms:created xsi:type="dcterms:W3CDTF">2013-08-13T06:19:00Z</dcterms:created>
  <dcterms:modified xsi:type="dcterms:W3CDTF">2013-10-24T13:37:00Z</dcterms:modified>
</cp:coreProperties>
</file>