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9" w:rsidRPr="0035001A" w:rsidRDefault="00543B35" w:rsidP="00543B35">
      <w:pPr>
        <w:pStyle w:val="a7"/>
        <w:jc w:val="center"/>
        <w:rPr>
          <w:b/>
          <w:szCs w:val="28"/>
        </w:rPr>
      </w:pPr>
      <w:r w:rsidRPr="0035001A">
        <w:rPr>
          <w:b/>
          <w:szCs w:val="28"/>
        </w:rPr>
        <w:t>ДОВІДКА</w:t>
      </w:r>
    </w:p>
    <w:p w:rsidR="00543B35" w:rsidRPr="0035001A" w:rsidRDefault="00543B35" w:rsidP="00543B35">
      <w:pPr>
        <w:pStyle w:val="a7"/>
        <w:jc w:val="center"/>
        <w:rPr>
          <w:b/>
          <w:szCs w:val="28"/>
        </w:rPr>
      </w:pPr>
      <w:r w:rsidRPr="0035001A">
        <w:rPr>
          <w:b/>
          <w:szCs w:val="28"/>
        </w:rPr>
        <w:t xml:space="preserve">про виконання бюджету </w:t>
      </w:r>
      <w:proofErr w:type="spellStart"/>
      <w:r w:rsidRPr="0035001A">
        <w:rPr>
          <w:b/>
          <w:szCs w:val="28"/>
        </w:rPr>
        <w:t>м.Запоріжжя</w:t>
      </w:r>
      <w:proofErr w:type="spellEnd"/>
      <w:r w:rsidRPr="0035001A">
        <w:rPr>
          <w:b/>
          <w:szCs w:val="28"/>
        </w:rPr>
        <w:t xml:space="preserve"> </w:t>
      </w:r>
      <w:r w:rsidR="00AF2384" w:rsidRPr="0035001A">
        <w:rPr>
          <w:b/>
          <w:szCs w:val="28"/>
        </w:rPr>
        <w:t xml:space="preserve">за </w:t>
      </w:r>
      <w:r w:rsidR="00AF2384" w:rsidRPr="0035001A">
        <w:rPr>
          <w:b/>
          <w:szCs w:val="28"/>
          <w:lang w:val="ru-RU"/>
        </w:rPr>
        <w:t xml:space="preserve">9 </w:t>
      </w:r>
      <w:proofErr w:type="spellStart"/>
      <w:r w:rsidR="00AF2384" w:rsidRPr="0035001A">
        <w:rPr>
          <w:b/>
          <w:szCs w:val="28"/>
          <w:lang w:val="ru-RU"/>
        </w:rPr>
        <w:t>місяців</w:t>
      </w:r>
      <w:proofErr w:type="spellEnd"/>
      <w:r w:rsidR="00737EB5" w:rsidRPr="0035001A">
        <w:rPr>
          <w:b/>
          <w:szCs w:val="28"/>
        </w:rPr>
        <w:t xml:space="preserve"> 2015 року</w:t>
      </w:r>
    </w:p>
    <w:p w:rsidR="00737EB5" w:rsidRDefault="00737EB5" w:rsidP="003D2F7D">
      <w:pPr>
        <w:pStyle w:val="a7"/>
        <w:jc w:val="center"/>
        <w:rPr>
          <w:szCs w:val="28"/>
        </w:rPr>
      </w:pPr>
    </w:p>
    <w:p w:rsidR="0035001A" w:rsidRPr="0035001A" w:rsidRDefault="0035001A" w:rsidP="003D2F7D">
      <w:pPr>
        <w:pStyle w:val="a7"/>
        <w:jc w:val="center"/>
        <w:rPr>
          <w:szCs w:val="28"/>
        </w:rPr>
      </w:pPr>
    </w:p>
    <w:p w:rsidR="0035001A" w:rsidRPr="0035001A" w:rsidRDefault="0035001A" w:rsidP="0035001A">
      <w:pPr>
        <w:ind w:firstLine="709"/>
        <w:jc w:val="both"/>
        <w:rPr>
          <w:szCs w:val="28"/>
        </w:rPr>
      </w:pPr>
      <w:r w:rsidRPr="0035001A">
        <w:rPr>
          <w:szCs w:val="28"/>
        </w:rPr>
        <w:t>Доходна частина бюджету міста за січень-вересень поточного року виконана в обсязі 3 086,0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в тому числі за загальним фондом – 1 596,6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спеціальним – 141,1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та офіційними трансфертами – 1 348,3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 </w:t>
      </w:r>
    </w:p>
    <w:p w:rsidR="0035001A" w:rsidRDefault="0035001A" w:rsidP="0035001A">
      <w:pPr>
        <w:ind w:firstLine="709"/>
        <w:jc w:val="both"/>
        <w:rPr>
          <w:szCs w:val="28"/>
        </w:rPr>
      </w:pPr>
      <w:r w:rsidRPr="0035001A">
        <w:rPr>
          <w:szCs w:val="28"/>
        </w:rPr>
        <w:t>Уточнений план по доходах загального фонду (без урахування офіційних трансфертів) виконаний на 104,7 відсотка. Виконані планові показники майже по всіх джерелах доходів. У порівнянні з січнем-вереснем 2014 року зазначені доходи збільшились на 28,0 відсотків або на 349,0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</w:p>
    <w:p w:rsidR="002D7BE4" w:rsidRPr="0035001A" w:rsidRDefault="002D7BE4" w:rsidP="002D7BE4">
      <w:pPr>
        <w:jc w:val="center"/>
        <w:rPr>
          <w:szCs w:val="28"/>
        </w:rPr>
      </w:pPr>
      <w:r w:rsidRPr="002D7BE4">
        <w:rPr>
          <w:noProof/>
          <w:szCs w:val="28"/>
          <w:lang w:val="ru-RU"/>
        </w:rPr>
        <w:drawing>
          <wp:inline distT="0" distB="0" distL="0" distR="0">
            <wp:extent cx="5865284" cy="3615266"/>
            <wp:effectExtent l="19050" t="0" r="211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001A" w:rsidRPr="0035001A" w:rsidRDefault="0035001A" w:rsidP="0035001A">
      <w:pPr>
        <w:pStyle w:val="a7"/>
        <w:ind w:firstLine="708"/>
        <w:rPr>
          <w:szCs w:val="28"/>
        </w:rPr>
      </w:pPr>
      <w:r w:rsidRPr="0035001A">
        <w:rPr>
          <w:szCs w:val="28"/>
        </w:rPr>
        <w:t>Найбільшим джерелом є податок на доходи фізичних осіб. Його обсяг за звітний період склав 919,6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., питома вага в доходах загального фонду - 57,6 відсотка. Темп росту порівняно з минулорічним показником у </w:t>
      </w:r>
      <w:proofErr w:type="spellStart"/>
      <w:r w:rsidRPr="0035001A">
        <w:rPr>
          <w:szCs w:val="28"/>
        </w:rPr>
        <w:t>співставних</w:t>
      </w:r>
      <w:proofErr w:type="spellEnd"/>
      <w:r w:rsidRPr="0035001A">
        <w:rPr>
          <w:szCs w:val="28"/>
        </w:rPr>
        <w:t xml:space="preserve"> умовах становить 121,3 відсотка. На це вплинула динаміка зростання фонду оплати праці штатних працівників. Вже за підсумками </w:t>
      </w:r>
      <w:r w:rsidRPr="0035001A">
        <w:rPr>
          <w:szCs w:val="28"/>
          <w:lang w:val="en-US"/>
        </w:rPr>
        <w:t>I</w:t>
      </w:r>
      <w:r w:rsidRPr="0035001A">
        <w:rPr>
          <w:szCs w:val="28"/>
        </w:rPr>
        <w:t xml:space="preserve"> півріччя 2015 року </w:t>
      </w:r>
      <w:r w:rsidR="0055228B">
        <w:rPr>
          <w:szCs w:val="28"/>
        </w:rPr>
        <w:t>фонд</w:t>
      </w:r>
      <w:r w:rsidRPr="0035001A">
        <w:rPr>
          <w:szCs w:val="28"/>
        </w:rPr>
        <w:t xml:space="preserve"> (5 609,8 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.) збільшився на 11,6 відсотка та продовжує зростати. Середньомісячна заробітна плата збільшилась на 19,5 відсотка та склала 4 097,33 грн.</w:t>
      </w:r>
    </w:p>
    <w:p w:rsidR="0035001A" w:rsidRPr="0035001A" w:rsidRDefault="0035001A" w:rsidP="0035001A">
      <w:pPr>
        <w:pStyle w:val="2"/>
        <w:tabs>
          <w:tab w:val="left" w:pos="360"/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5001A">
        <w:rPr>
          <w:sz w:val="28"/>
          <w:szCs w:val="28"/>
          <w:lang w:val="uk-UA"/>
        </w:rPr>
        <w:t>Крім того, збільшенн</w:t>
      </w:r>
      <w:r w:rsidR="00B5796C">
        <w:rPr>
          <w:sz w:val="28"/>
          <w:szCs w:val="28"/>
          <w:lang w:val="uk-UA"/>
        </w:rPr>
        <w:t xml:space="preserve">я також пов’язано зі </w:t>
      </w:r>
      <w:r w:rsidRPr="0035001A">
        <w:rPr>
          <w:sz w:val="28"/>
          <w:szCs w:val="28"/>
          <w:lang w:val="uk-UA"/>
        </w:rPr>
        <w:t>зростання</w:t>
      </w:r>
      <w:r w:rsidR="00B5796C">
        <w:rPr>
          <w:sz w:val="28"/>
          <w:szCs w:val="28"/>
          <w:lang w:val="uk-UA"/>
        </w:rPr>
        <w:t>м</w:t>
      </w:r>
      <w:r w:rsidRPr="0035001A">
        <w:rPr>
          <w:sz w:val="28"/>
          <w:szCs w:val="28"/>
          <w:lang w:val="uk-UA"/>
        </w:rPr>
        <w:t xml:space="preserve"> надходжень за результатами річного декларування (на 5,6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.) та отримання</w:t>
      </w:r>
      <w:r w:rsidR="00B5796C">
        <w:rPr>
          <w:sz w:val="28"/>
          <w:szCs w:val="28"/>
          <w:lang w:val="uk-UA"/>
        </w:rPr>
        <w:t>м</w:t>
      </w:r>
      <w:r w:rsidRPr="0035001A">
        <w:rPr>
          <w:sz w:val="28"/>
          <w:szCs w:val="28"/>
          <w:lang w:val="uk-UA"/>
        </w:rPr>
        <w:t xml:space="preserve"> податку із сум пенсійних виплат, розмір яких перевищує три розміри мінімальної заробітної плати (14,9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.).</w:t>
      </w:r>
    </w:p>
    <w:p w:rsidR="0035001A" w:rsidRPr="0035001A" w:rsidRDefault="0035001A" w:rsidP="0035001A">
      <w:pPr>
        <w:pStyle w:val="2"/>
        <w:spacing w:after="0" w:line="240" w:lineRule="auto"/>
        <w:ind w:left="0" w:right="1" w:firstLine="709"/>
        <w:jc w:val="both"/>
        <w:rPr>
          <w:sz w:val="28"/>
          <w:szCs w:val="28"/>
          <w:lang w:val="uk-UA"/>
        </w:rPr>
      </w:pPr>
      <w:r w:rsidRPr="0035001A">
        <w:rPr>
          <w:sz w:val="28"/>
          <w:szCs w:val="28"/>
          <w:lang w:val="uk-UA"/>
        </w:rPr>
        <w:t>Надходження місцевих податків і зборів склали 476,9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 або 100,9 відсотка до плану. Найбільшим з них є податок на майно - 342,2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., план виконаний на 100,3 відсотка. </w:t>
      </w:r>
    </w:p>
    <w:p w:rsidR="0035001A" w:rsidRPr="0035001A" w:rsidRDefault="0035001A" w:rsidP="0035001A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35001A">
        <w:rPr>
          <w:sz w:val="28"/>
          <w:szCs w:val="28"/>
          <w:lang w:val="uk-UA"/>
        </w:rPr>
        <w:t>В складі податку на майно надійшло плати за землю в розмірі 325,2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 Забезпечено виконання плану на 100,2 відсотка. В порівнянні з аналогічним періодом 2014 року відбулось зростання на 24,6 відсотка, що пояснюється, насамперед, індексацією грошової оцінки землі. Обсяг податку на нерухоме майно, </w:t>
      </w:r>
      <w:r w:rsidRPr="0035001A">
        <w:rPr>
          <w:sz w:val="28"/>
          <w:szCs w:val="28"/>
          <w:lang w:val="uk-UA"/>
        </w:rPr>
        <w:lastRenderedPageBreak/>
        <w:t>відмінне від земельної ділянки, склав 9,8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</w:t>
      </w:r>
      <w:r w:rsidR="0055228B">
        <w:rPr>
          <w:sz w:val="28"/>
          <w:szCs w:val="28"/>
          <w:lang w:val="uk-UA"/>
        </w:rPr>
        <w:t>, що на 9,3 </w:t>
      </w:r>
      <w:proofErr w:type="spellStart"/>
      <w:r w:rsidR="0055228B">
        <w:rPr>
          <w:sz w:val="28"/>
          <w:szCs w:val="28"/>
          <w:lang w:val="uk-UA"/>
        </w:rPr>
        <w:t>млн.грн</w:t>
      </w:r>
      <w:proofErr w:type="spellEnd"/>
      <w:r w:rsidR="0055228B">
        <w:rPr>
          <w:sz w:val="28"/>
          <w:szCs w:val="28"/>
          <w:lang w:val="uk-UA"/>
        </w:rPr>
        <w:t>. перевищує показник за аналогічний період минулого року</w:t>
      </w:r>
      <w:r w:rsidRPr="0035001A">
        <w:rPr>
          <w:sz w:val="28"/>
          <w:szCs w:val="28"/>
          <w:lang w:val="uk-UA"/>
        </w:rPr>
        <w:t xml:space="preserve">. </w:t>
      </w:r>
      <w:r w:rsidR="0055228B">
        <w:rPr>
          <w:sz w:val="28"/>
          <w:szCs w:val="28"/>
          <w:lang w:val="uk-UA"/>
        </w:rPr>
        <w:t xml:space="preserve">Зазначене </w:t>
      </w:r>
      <w:r w:rsidRPr="0035001A">
        <w:rPr>
          <w:sz w:val="28"/>
          <w:szCs w:val="28"/>
          <w:lang w:val="uk-UA"/>
        </w:rPr>
        <w:t>пов’язане із надходженням податку з об’єктів нежитлової нерухомості, запровадженого у зв’язку з реформуванням податкового законодавства. Також надійшло до бюджету транспортного податку (з транспортних засобів, вік яких не перевищує 5 років) у сумі 7,3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., що на 0,4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 більше плану. </w:t>
      </w:r>
    </w:p>
    <w:p w:rsidR="0035001A" w:rsidRPr="0035001A" w:rsidRDefault="0035001A" w:rsidP="0035001A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35001A">
        <w:rPr>
          <w:sz w:val="28"/>
          <w:szCs w:val="28"/>
          <w:lang w:val="uk-UA"/>
        </w:rPr>
        <w:t>У звітному періоді обсяг єдиного податку склав 135,5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 Зростання в порівнянні з минулорічним показником на 25,3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 </w:t>
      </w:r>
      <w:r w:rsidRPr="00E01161">
        <w:rPr>
          <w:sz w:val="28"/>
          <w:szCs w:val="28"/>
          <w:lang w:val="uk-UA"/>
        </w:rPr>
        <w:t xml:space="preserve">зумовлено збільшенням доходів платників – юридичних </w:t>
      </w:r>
      <w:r w:rsidR="00E01161" w:rsidRPr="00E01161">
        <w:rPr>
          <w:sz w:val="28"/>
          <w:szCs w:val="28"/>
          <w:lang w:val="uk-UA"/>
        </w:rPr>
        <w:t>та фізичних осіб</w:t>
      </w:r>
      <w:r w:rsidRPr="00E01161">
        <w:rPr>
          <w:sz w:val="28"/>
          <w:szCs w:val="28"/>
          <w:lang w:val="uk-UA"/>
        </w:rPr>
        <w:t xml:space="preserve"> внаслідок різкого підвищення загального рівня цін на товари і послуги.</w:t>
      </w:r>
      <w:r w:rsidR="00E01161" w:rsidRPr="00E01161">
        <w:rPr>
          <w:sz w:val="28"/>
          <w:szCs w:val="28"/>
          <w:lang w:val="uk-UA"/>
        </w:rPr>
        <w:t xml:space="preserve"> Так</w:t>
      </w:r>
      <w:r w:rsidR="0055228B">
        <w:rPr>
          <w:sz w:val="28"/>
          <w:szCs w:val="28"/>
          <w:lang w:val="uk-UA"/>
        </w:rPr>
        <w:t>,</w:t>
      </w:r>
      <w:r w:rsidR="00E01161" w:rsidRPr="00E01161">
        <w:rPr>
          <w:sz w:val="28"/>
          <w:szCs w:val="28"/>
          <w:lang w:val="uk-UA"/>
        </w:rPr>
        <w:t xml:space="preserve"> за підсумками І півріччя поточного року доходи юридичних осіб зросли на 34,3 відсотка або на 141,5 </w:t>
      </w:r>
      <w:proofErr w:type="spellStart"/>
      <w:r w:rsidR="00E01161" w:rsidRPr="00E01161">
        <w:rPr>
          <w:sz w:val="28"/>
          <w:szCs w:val="28"/>
          <w:lang w:val="uk-UA"/>
        </w:rPr>
        <w:t>млн.грн</w:t>
      </w:r>
      <w:proofErr w:type="spellEnd"/>
      <w:r w:rsidR="00E01161" w:rsidRPr="00E01161">
        <w:rPr>
          <w:sz w:val="28"/>
          <w:szCs w:val="28"/>
          <w:lang w:val="uk-UA"/>
        </w:rPr>
        <w:t>. та фізичних осіб відповідно на 784,5 </w:t>
      </w:r>
      <w:proofErr w:type="spellStart"/>
      <w:r w:rsidR="00E01161" w:rsidRPr="00E01161">
        <w:rPr>
          <w:sz w:val="28"/>
          <w:szCs w:val="28"/>
          <w:lang w:val="uk-UA"/>
        </w:rPr>
        <w:t>млн.грн</w:t>
      </w:r>
      <w:proofErr w:type="spellEnd"/>
      <w:r w:rsidR="00E01161" w:rsidRPr="00E01161">
        <w:rPr>
          <w:sz w:val="28"/>
          <w:szCs w:val="28"/>
          <w:lang w:val="uk-UA"/>
        </w:rPr>
        <w:t>. або майже у 2 рази. Тенденція до зростання суми доходів суб’єктів підприємницької діяльності зберігається і надалі.</w:t>
      </w:r>
    </w:p>
    <w:p w:rsidR="0035001A" w:rsidRPr="0035001A" w:rsidRDefault="0035001A" w:rsidP="0035001A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35001A">
        <w:rPr>
          <w:sz w:val="28"/>
          <w:szCs w:val="28"/>
          <w:lang w:val="uk-UA"/>
        </w:rPr>
        <w:t>Надходження введеного з цього року акцизного податку з реалізації суб'єктами господарювання роздрібної торгівлі підакцизних товарів (пиво, алкогольні напої, тютюнові вироби, нафтопродукти) складають 132,8 </w:t>
      </w:r>
      <w:proofErr w:type="spellStart"/>
      <w:r w:rsidRPr="0035001A">
        <w:rPr>
          <w:sz w:val="28"/>
          <w:szCs w:val="28"/>
          <w:lang w:val="uk-UA"/>
        </w:rPr>
        <w:t>тис.грн</w:t>
      </w:r>
      <w:proofErr w:type="spellEnd"/>
      <w:r w:rsidRPr="0035001A">
        <w:rPr>
          <w:sz w:val="28"/>
          <w:szCs w:val="28"/>
          <w:lang w:val="uk-UA"/>
        </w:rPr>
        <w:t>. План виконаний на 102,1 відсотка.</w:t>
      </w:r>
    </w:p>
    <w:p w:rsidR="0035001A" w:rsidRPr="0035001A" w:rsidRDefault="0035001A" w:rsidP="0035001A">
      <w:pPr>
        <w:pStyle w:val="2"/>
        <w:spacing w:after="0" w:line="240" w:lineRule="auto"/>
        <w:ind w:left="0" w:right="1" w:firstLine="709"/>
        <w:jc w:val="both"/>
        <w:rPr>
          <w:sz w:val="28"/>
          <w:szCs w:val="28"/>
          <w:lang w:val="uk-UA"/>
        </w:rPr>
      </w:pPr>
      <w:r w:rsidRPr="0035001A">
        <w:rPr>
          <w:sz w:val="28"/>
          <w:szCs w:val="28"/>
          <w:lang w:val="uk-UA"/>
        </w:rPr>
        <w:t>Надходження орендної плати за користування майном комунальної власності становили 14,7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., виконання плану – 101,1 відсоток. В порівнянні з </w:t>
      </w:r>
      <w:r w:rsidR="00C014BD">
        <w:rPr>
          <w:sz w:val="28"/>
          <w:szCs w:val="28"/>
          <w:lang w:val="uk-UA"/>
        </w:rPr>
        <w:t>відповідним періодом минулого року</w:t>
      </w:r>
      <w:r w:rsidRPr="0035001A">
        <w:rPr>
          <w:sz w:val="28"/>
          <w:szCs w:val="28"/>
          <w:lang w:val="uk-UA"/>
        </w:rPr>
        <w:t xml:space="preserve"> </w:t>
      </w:r>
      <w:r w:rsidR="00B5796C">
        <w:rPr>
          <w:sz w:val="28"/>
          <w:szCs w:val="28"/>
          <w:lang w:val="uk-UA"/>
        </w:rPr>
        <w:t xml:space="preserve">відбулось зростання </w:t>
      </w:r>
      <w:r w:rsidRPr="0035001A">
        <w:rPr>
          <w:sz w:val="28"/>
          <w:szCs w:val="28"/>
          <w:lang w:val="uk-UA"/>
        </w:rPr>
        <w:t>на 2,9</w:t>
      </w:r>
      <w:r w:rsidRPr="0035001A">
        <w:rPr>
          <w:sz w:val="28"/>
          <w:szCs w:val="28"/>
        </w:rPr>
        <w:t>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 (на 24,2</w:t>
      </w:r>
      <w:r w:rsidRPr="0035001A">
        <w:rPr>
          <w:sz w:val="28"/>
          <w:szCs w:val="28"/>
        </w:rPr>
        <w:t> </w:t>
      </w:r>
      <w:r w:rsidRPr="0035001A">
        <w:rPr>
          <w:sz w:val="28"/>
          <w:szCs w:val="28"/>
          <w:lang w:val="uk-UA"/>
        </w:rPr>
        <w:t>відсотка). Зазначене пов’язане із надходженням оренди за результатами претензійно-позовної роботи (1,3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.), збільшенням нарахувань в результаті коригування орендної плати на індекс інфляції та переоформленням договорів оренди на підставі нової експертної оцінки.</w:t>
      </w:r>
    </w:p>
    <w:p w:rsidR="0035001A" w:rsidRPr="0035001A" w:rsidRDefault="0035001A" w:rsidP="0035001A">
      <w:pPr>
        <w:ind w:firstLine="709"/>
        <w:jc w:val="both"/>
        <w:rPr>
          <w:szCs w:val="28"/>
        </w:rPr>
      </w:pPr>
      <w:r w:rsidRPr="0035001A">
        <w:rPr>
          <w:szCs w:val="28"/>
        </w:rPr>
        <w:t>Також до загального фонду бюджету міста перераховано податку на прибуток підприємств комунальної власності в розмірі 13,5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екологічного податку - 13,6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державного мита – 7,3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плати за надання інших адміністративних послуг – 10,7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частини чистого прибутку, що вилучається до бюджету – 3,3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 та інших податків і зборів. </w:t>
      </w:r>
    </w:p>
    <w:p w:rsidR="0035001A" w:rsidRPr="0035001A" w:rsidRDefault="0035001A" w:rsidP="0035001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5001A">
        <w:rPr>
          <w:sz w:val="28"/>
          <w:szCs w:val="28"/>
          <w:lang w:val="uk-UA"/>
        </w:rPr>
        <w:t>Надходження доходів спеціального фонду бюджету міста склали 141,9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., в тому числі </w:t>
      </w:r>
      <w:r w:rsidR="000C7A54">
        <w:rPr>
          <w:sz w:val="28"/>
          <w:szCs w:val="28"/>
          <w:lang w:val="uk-UA"/>
        </w:rPr>
        <w:t xml:space="preserve">трансферти з державного бюджету - </w:t>
      </w:r>
      <w:r w:rsidRPr="0035001A">
        <w:rPr>
          <w:sz w:val="28"/>
          <w:szCs w:val="28"/>
          <w:lang w:val="uk-UA"/>
        </w:rPr>
        <w:t>0,8 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 </w:t>
      </w:r>
      <w:r w:rsidR="00071544">
        <w:rPr>
          <w:sz w:val="28"/>
          <w:szCs w:val="28"/>
          <w:lang w:val="uk-UA"/>
        </w:rPr>
        <w:t>В</w:t>
      </w:r>
      <w:r w:rsidRPr="0035001A">
        <w:rPr>
          <w:sz w:val="28"/>
          <w:szCs w:val="28"/>
          <w:lang w:val="uk-UA"/>
        </w:rPr>
        <w:t xml:space="preserve"> порівнянні з минулорічним показником зросли </w:t>
      </w:r>
      <w:r w:rsidR="00071544">
        <w:rPr>
          <w:sz w:val="28"/>
          <w:szCs w:val="28"/>
          <w:lang w:val="uk-UA"/>
        </w:rPr>
        <w:t xml:space="preserve">надходження </w:t>
      </w:r>
      <w:r w:rsidRPr="0035001A">
        <w:rPr>
          <w:sz w:val="28"/>
          <w:szCs w:val="28"/>
          <w:lang w:val="uk-UA"/>
        </w:rPr>
        <w:t>від продажу землі (у зв’язку із пожвавленням попиту на ринку продажу землі) – на 22,5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., пайової участі у розвитку інфраструктури міста (за підсумками проведеної роботи по залученню забудовників земельних ділянок до пайової участі) - на 7,4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>. та власних надходжень бюджетних установ – на 36,7 </w:t>
      </w:r>
      <w:proofErr w:type="spellStart"/>
      <w:r w:rsidRPr="0035001A">
        <w:rPr>
          <w:sz w:val="28"/>
          <w:szCs w:val="28"/>
          <w:lang w:val="uk-UA"/>
        </w:rPr>
        <w:t>млн.грн</w:t>
      </w:r>
      <w:proofErr w:type="spellEnd"/>
      <w:r w:rsidRPr="0035001A">
        <w:rPr>
          <w:sz w:val="28"/>
          <w:szCs w:val="28"/>
          <w:lang w:val="uk-UA"/>
        </w:rPr>
        <w:t xml:space="preserve">. </w:t>
      </w:r>
    </w:p>
    <w:p w:rsidR="00F76509" w:rsidRPr="0035001A" w:rsidRDefault="00F76509" w:rsidP="00761FB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13FA7" w:rsidRPr="0035001A" w:rsidRDefault="00813FA7" w:rsidP="00761FB1">
      <w:pPr>
        <w:ind w:firstLine="709"/>
        <w:jc w:val="both"/>
        <w:rPr>
          <w:szCs w:val="28"/>
        </w:rPr>
      </w:pPr>
      <w:r w:rsidRPr="0035001A">
        <w:rPr>
          <w:szCs w:val="28"/>
        </w:rPr>
        <w:t xml:space="preserve">Видатки бюджету міста проведені в обсязі </w:t>
      </w:r>
      <w:r w:rsidR="00A47ACE" w:rsidRPr="0035001A">
        <w:rPr>
          <w:szCs w:val="28"/>
        </w:rPr>
        <w:t>2 769,9</w:t>
      </w:r>
      <w:r w:rsidRPr="0035001A">
        <w:rPr>
          <w:szCs w:val="28"/>
        </w:rPr>
        <w:t>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в тому числі</w:t>
      </w:r>
      <w:r w:rsidR="00A47ACE" w:rsidRPr="0035001A">
        <w:rPr>
          <w:szCs w:val="28"/>
        </w:rPr>
        <w:t xml:space="preserve"> за загальним фондом бюджету – 2 351,0</w:t>
      </w:r>
      <w:r w:rsidRPr="0035001A">
        <w:rPr>
          <w:szCs w:val="28"/>
        </w:rPr>
        <w:t>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 або </w:t>
      </w:r>
      <w:r w:rsidR="00A47ACE" w:rsidRPr="0035001A">
        <w:rPr>
          <w:szCs w:val="28"/>
        </w:rPr>
        <w:t>94,2</w:t>
      </w:r>
      <w:r w:rsidRPr="0035001A">
        <w:rPr>
          <w:szCs w:val="28"/>
        </w:rPr>
        <w:t xml:space="preserve"> відсотк</w:t>
      </w:r>
      <w:r w:rsidR="00B5796C">
        <w:rPr>
          <w:szCs w:val="28"/>
        </w:rPr>
        <w:t>и</w:t>
      </w:r>
      <w:r w:rsidRPr="0035001A">
        <w:rPr>
          <w:szCs w:val="28"/>
        </w:rPr>
        <w:t xml:space="preserve"> планових показників на відповідний період,</w:t>
      </w:r>
      <w:r w:rsidR="00A47ACE" w:rsidRPr="0035001A">
        <w:rPr>
          <w:szCs w:val="28"/>
        </w:rPr>
        <w:t xml:space="preserve"> за спеціальним фондом – 418,9</w:t>
      </w:r>
      <w:r w:rsidRPr="0035001A">
        <w:rPr>
          <w:szCs w:val="28"/>
        </w:rPr>
        <w:t>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., що становить </w:t>
      </w:r>
      <w:r w:rsidR="00A47ACE" w:rsidRPr="0035001A">
        <w:rPr>
          <w:szCs w:val="28"/>
        </w:rPr>
        <w:t>50,3</w:t>
      </w:r>
      <w:r w:rsidRPr="0035001A">
        <w:rPr>
          <w:szCs w:val="28"/>
        </w:rPr>
        <w:t> відсотк</w:t>
      </w:r>
      <w:r w:rsidR="00B5796C">
        <w:rPr>
          <w:szCs w:val="28"/>
        </w:rPr>
        <w:t>и</w:t>
      </w:r>
      <w:r w:rsidRPr="0035001A">
        <w:rPr>
          <w:szCs w:val="28"/>
        </w:rPr>
        <w:t xml:space="preserve"> річних кошторисних призначень</w:t>
      </w:r>
      <w:r w:rsidR="007544A2" w:rsidRPr="0035001A">
        <w:rPr>
          <w:szCs w:val="28"/>
        </w:rPr>
        <w:t xml:space="preserve">, з яких видатки бюджету розвитку </w:t>
      </w:r>
      <w:r w:rsidR="00FE7ED5" w:rsidRPr="0035001A">
        <w:rPr>
          <w:szCs w:val="28"/>
        </w:rPr>
        <w:t>–</w:t>
      </w:r>
      <w:r w:rsidR="007544A2" w:rsidRPr="0035001A">
        <w:rPr>
          <w:szCs w:val="28"/>
        </w:rPr>
        <w:t xml:space="preserve"> </w:t>
      </w:r>
      <w:r w:rsidR="00750C75" w:rsidRPr="0035001A">
        <w:rPr>
          <w:szCs w:val="28"/>
        </w:rPr>
        <w:t>309,3</w:t>
      </w:r>
      <w:r w:rsidR="00FE7ED5" w:rsidRPr="0035001A">
        <w:rPr>
          <w:szCs w:val="28"/>
        </w:rPr>
        <w:t xml:space="preserve"> </w:t>
      </w:r>
      <w:proofErr w:type="spellStart"/>
      <w:r w:rsidR="00FE7ED5"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  <w:r w:rsidR="00FE7ED5" w:rsidRPr="0035001A">
        <w:rPr>
          <w:szCs w:val="28"/>
        </w:rPr>
        <w:t xml:space="preserve"> або 4</w:t>
      </w:r>
      <w:r w:rsidR="00750C75" w:rsidRPr="0035001A">
        <w:rPr>
          <w:szCs w:val="28"/>
        </w:rPr>
        <w:t>5,4</w:t>
      </w:r>
      <w:r w:rsidR="00FE7ED5" w:rsidRPr="0035001A">
        <w:rPr>
          <w:szCs w:val="28"/>
        </w:rPr>
        <w:t xml:space="preserve"> відсотк</w:t>
      </w:r>
      <w:r w:rsidR="00B5796C">
        <w:rPr>
          <w:szCs w:val="28"/>
        </w:rPr>
        <w:t>и</w:t>
      </w:r>
      <w:r w:rsidR="00FE7ED5" w:rsidRPr="0035001A">
        <w:rPr>
          <w:szCs w:val="28"/>
        </w:rPr>
        <w:t xml:space="preserve"> річного плану.</w:t>
      </w:r>
      <w:r w:rsidRPr="0035001A">
        <w:rPr>
          <w:szCs w:val="28"/>
        </w:rPr>
        <w:t xml:space="preserve"> </w:t>
      </w:r>
      <w:r w:rsidR="00071544">
        <w:rPr>
          <w:szCs w:val="28"/>
        </w:rPr>
        <w:t>П</w:t>
      </w:r>
      <w:r w:rsidRPr="0035001A">
        <w:rPr>
          <w:szCs w:val="28"/>
        </w:rPr>
        <w:t>ерерахова</w:t>
      </w:r>
      <w:r w:rsidR="00A47ACE" w:rsidRPr="0035001A">
        <w:rPr>
          <w:szCs w:val="28"/>
        </w:rPr>
        <w:t>но реверсної дотації в сумі 116,2</w:t>
      </w:r>
      <w:r w:rsidRPr="0035001A">
        <w:rPr>
          <w:szCs w:val="28"/>
        </w:rPr>
        <w:t>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що дорівнює плановим показникам.</w:t>
      </w:r>
    </w:p>
    <w:p w:rsidR="005544A7" w:rsidRDefault="005544A7" w:rsidP="00075743">
      <w:pPr>
        <w:jc w:val="center"/>
        <w:rPr>
          <w:szCs w:val="28"/>
        </w:rPr>
      </w:pPr>
      <w:r w:rsidRPr="005544A7">
        <w:rPr>
          <w:noProof/>
          <w:szCs w:val="28"/>
          <w:lang w:val="ru-RU"/>
        </w:rPr>
        <w:lastRenderedPageBreak/>
        <w:drawing>
          <wp:inline distT="0" distB="0" distL="0" distR="0">
            <wp:extent cx="4874717" cy="2854856"/>
            <wp:effectExtent l="19050" t="0" r="208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001A" w:rsidRPr="0035001A" w:rsidRDefault="0035001A" w:rsidP="0035001A">
      <w:pPr>
        <w:ind w:firstLine="709"/>
        <w:jc w:val="both"/>
        <w:rPr>
          <w:szCs w:val="28"/>
        </w:rPr>
      </w:pPr>
      <w:r w:rsidRPr="0035001A">
        <w:rPr>
          <w:szCs w:val="28"/>
        </w:rPr>
        <w:t xml:space="preserve">За економічною ознакою найбільшою затратною статтею бюджету міста, як і раніше, є заробітна плата з нарахуваннями – 1 072,1 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 У вересні поточного року збільшений розмір мінімальної заробітної плати до 1378 грн. та розміри окладів працівників бюджетної сфери за тарифними розрядами. Зазначене, а також збільшення мережі закладів освіти міста призвело до збільшення </w:t>
      </w:r>
      <w:r w:rsidR="00071544">
        <w:rPr>
          <w:szCs w:val="28"/>
        </w:rPr>
        <w:t xml:space="preserve">місячного </w:t>
      </w:r>
      <w:r w:rsidRPr="0035001A">
        <w:rPr>
          <w:szCs w:val="28"/>
        </w:rPr>
        <w:t xml:space="preserve">фонду оплати праці бюджетних установ </w:t>
      </w:r>
      <w:r w:rsidR="00B5796C">
        <w:rPr>
          <w:szCs w:val="28"/>
        </w:rPr>
        <w:t xml:space="preserve">майже </w:t>
      </w:r>
      <w:r w:rsidRPr="0035001A">
        <w:rPr>
          <w:szCs w:val="28"/>
        </w:rPr>
        <w:t>на 11,0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</w:p>
    <w:p w:rsidR="0035001A" w:rsidRPr="0035001A" w:rsidRDefault="0035001A" w:rsidP="0035001A">
      <w:pPr>
        <w:ind w:firstLine="709"/>
        <w:jc w:val="both"/>
        <w:rPr>
          <w:szCs w:val="28"/>
        </w:rPr>
      </w:pPr>
      <w:r w:rsidRPr="0035001A">
        <w:rPr>
          <w:szCs w:val="28"/>
        </w:rPr>
        <w:t xml:space="preserve">Забезпечено стовідсоткові розрахунки за спожиті бюджетними установами енергоносії та комунальні послуги, на зазначені цілі використано 178,2 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В звітному період</w:t>
      </w:r>
      <w:r w:rsidR="00071544">
        <w:rPr>
          <w:szCs w:val="28"/>
        </w:rPr>
        <w:t>і</w:t>
      </w:r>
      <w:r w:rsidRPr="0035001A">
        <w:rPr>
          <w:szCs w:val="28"/>
        </w:rPr>
        <w:t xml:space="preserve"> внаслідок впровадження заходів з енергозбереження заощаджено щонайменш 5,4 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вивільнені кошти спрямовуються на забезпечення відповідних видатків у зв’язку з підвищенням тарифів на енергоносії.</w:t>
      </w:r>
    </w:p>
    <w:p w:rsidR="0035001A" w:rsidRPr="0035001A" w:rsidRDefault="0035001A" w:rsidP="0035001A">
      <w:pPr>
        <w:ind w:firstLine="709"/>
        <w:jc w:val="both"/>
        <w:rPr>
          <w:szCs w:val="28"/>
        </w:rPr>
      </w:pPr>
      <w:r w:rsidRPr="0035001A">
        <w:rPr>
          <w:szCs w:val="28"/>
        </w:rPr>
        <w:t>На незахищені статті видатків спрямовано 69</w:t>
      </w:r>
      <w:r w:rsidR="00372482">
        <w:rPr>
          <w:szCs w:val="28"/>
        </w:rPr>
        <w:t>6,8</w:t>
      </w:r>
      <w:r w:rsidRPr="0035001A">
        <w:rPr>
          <w:szCs w:val="28"/>
        </w:rPr>
        <w:t xml:space="preserve"> 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з яких поточні витрати склали 36</w:t>
      </w:r>
      <w:r w:rsidR="00B617A1">
        <w:rPr>
          <w:szCs w:val="28"/>
        </w:rPr>
        <w:t>8,4</w:t>
      </w:r>
      <w:r w:rsidRPr="0035001A">
        <w:rPr>
          <w:szCs w:val="28"/>
        </w:rPr>
        <w:t xml:space="preserve"> 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(</w:t>
      </w:r>
      <w:r w:rsidRPr="00B617A1">
        <w:rPr>
          <w:szCs w:val="28"/>
        </w:rPr>
        <w:t>74,4</w:t>
      </w:r>
      <w:r w:rsidRPr="0035001A">
        <w:rPr>
          <w:szCs w:val="28"/>
        </w:rPr>
        <w:t xml:space="preserve"> відсотк</w:t>
      </w:r>
      <w:r w:rsidR="00B5796C">
        <w:rPr>
          <w:szCs w:val="28"/>
        </w:rPr>
        <w:t>и</w:t>
      </w:r>
      <w:r w:rsidRPr="0035001A">
        <w:rPr>
          <w:szCs w:val="28"/>
        </w:rPr>
        <w:t xml:space="preserve"> річних кошторисних призначень), капітальні – 328,4 </w:t>
      </w:r>
      <w:proofErr w:type="spellStart"/>
      <w:r w:rsidRPr="0035001A">
        <w:rPr>
          <w:szCs w:val="28"/>
        </w:rPr>
        <w:t>млн.</w:t>
      </w:r>
      <w:r w:rsidR="00B5796C">
        <w:rPr>
          <w:szCs w:val="28"/>
        </w:rPr>
        <w:t>г</w:t>
      </w:r>
      <w:r w:rsidRPr="0035001A">
        <w:rPr>
          <w:szCs w:val="28"/>
        </w:rPr>
        <w:t>рн</w:t>
      </w:r>
      <w:proofErr w:type="spellEnd"/>
      <w:r w:rsidRPr="0035001A">
        <w:rPr>
          <w:szCs w:val="28"/>
        </w:rPr>
        <w:t>. (45,8 відсотка).</w:t>
      </w:r>
    </w:p>
    <w:p w:rsidR="00740CD0" w:rsidRPr="003D2F7D" w:rsidRDefault="00740CD0" w:rsidP="00740CD0">
      <w:pPr>
        <w:jc w:val="both"/>
        <w:rPr>
          <w:sz w:val="27"/>
          <w:szCs w:val="27"/>
        </w:rPr>
      </w:pPr>
      <w:r w:rsidRPr="00740CD0">
        <w:rPr>
          <w:noProof/>
          <w:sz w:val="27"/>
          <w:szCs w:val="27"/>
          <w:lang w:val="ru-RU"/>
        </w:rPr>
        <w:drawing>
          <wp:inline distT="0" distB="0" distL="0" distR="0">
            <wp:extent cx="6390640" cy="3680324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C5C" w:rsidRPr="0035001A" w:rsidRDefault="00740CD0" w:rsidP="004837D0">
      <w:pPr>
        <w:ind w:firstLine="709"/>
        <w:jc w:val="both"/>
        <w:rPr>
          <w:szCs w:val="28"/>
        </w:rPr>
      </w:pPr>
      <w:r w:rsidRPr="0035001A">
        <w:rPr>
          <w:szCs w:val="28"/>
        </w:rPr>
        <w:lastRenderedPageBreak/>
        <w:t xml:space="preserve">Майже три чверті всіх видатків бюджету міста за звітний період припадає на соціально-культурну сферу. </w:t>
      </w:r>
    </w:p>
    <w:p w:rsidR="0019544A" w:rsidRPr="0035001A" w:rsidRDefault="00D13C5C" w:rsidP="004837D0">
      <w:pPr>
        <w:ind w:firstLine="709"/>
        <w:jc w:val="both"/>
        <w:rPr>
          <w:szCs w:val="28"/>
        </w:rPr>
      </w:pPr>
      <w:r w:rsidRPr="0035001A">
        <w:rPr>
          <w:b/>
          <w:szCs w:val="28"/>
        </w:rPr>
        <w:t>Освіта.</w:t>
      </w:r>
      <w:r w:rsidRPr="0035001A">
        <w:rPr>
          <w:szCs w:val="28"/>
        </w:rPr>
        <w:t xml:space="preserve"> В цілому на освіту протягом звітного періоду спрямовано 757,7 </w:t>
      </w:r>
      <w:proofErr w:type="spellStart"/>
      <w:r w:rsidRPr="0035001A">
        <w:rPr>
          <w:szCs w:val="28"/>
        </w:rPr>
        <w:t>млн.грн</w:t>
      </w:r>
      <w:proofErr w:type="spellEnd"/>
      <w:r w:rsidR="00071544">
        <w:rPr>
          <w:szCs w:val="28"/>
        </w:rPr>
        <w:t>.</w:t>
      </w:r>
      <w:r w:rsidR="00473FDF">
        <w:rPr>
          <w:szCs w:val="28"/>
        </w:rPr>
        <w:t xml:space="preserve">, в тому числі за рахунок </w:t>
      </w:r>
      <w:r w:rsidR="00A712A6" w:rsidRPr="0035001A">
        <w:rPr>
          <w:szCs w:val="28"/>
        </w:rPr>
        <w:t xml:space="preserve">освітньої субвенції </w:t>
      </w:r>
      <w:r w:rsidR="00473FDF">
        <w:rPr>
          <w:szCs w:val="28"/>
        </w:rPr>
        <w:t>-</w:t>
      </w:r>
      <w:r w:rsidR="00A712A6" w:rsidRPr="0035001A">
        <w:rPr>
          <w:szCs w:val="28"/>
        </w:rPr>
        <w:t xml:space="preserve"> 320,1 </w:t>
      </w:r>
      <w:proofErr w:type="spellStart"/>
      <w:r w:rsidR="00A712A6" w:rsidRPr="0035001A">
        <w:rPr>
          <w:szCs w:val="28"/>
        </w:rPr>
        <w:t>млн.грн</w:t>
      </w:r>
      <w:proofErr w:type="spellEnd"/>
      <w:r w:rsidR="00A712A6" w:rsidRPr="0035001A">
        <w:rPr>
          <w:szCs w:val="28"/>
        </w:rPr>
        <w:t>.</w:t>
      </w:r>
    </w:p>
    <w:p w:rsidR="003D38AD" w:rsidRPr="0035001A" w:rsidRDefault="003D38AD" w:rsidP="003D38AD">
      <w:pPr>
        <w:ind w:firstLine="851"/>
        <w:jc w:val="both"/>
        <w:rPr>
          <w:szCs w:val="28"/>
        </w:rPr>
      </w:pPr>
      <w:r w:rsidRPr="0035001A">
        <w:rPr>
          <w:szCs w:val="28"/>
        </w:rPr>
        <w:t>Організовано харчування 50,9 тисяч дітей та учнів на суму 36,1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</w:p>
    <w:p w:rsidR="00473FDF" w:rsidRDefault="003D38AD" w:rsidP="00473FDF">
      <w:pPr>
        <w:ind w:firstLine="851"/>
        <w:jc w:val="both"/>
        <w:rPr>
          <w:szCs w:val="28"/>
        </w:rPr>
      </w:pPr>
      <w:r w:rsidRPr="0035001A">
        <w:rPr>
          <w:szCs w:val="28"/>
        </w:rPr>
        <w:t>З метою підготовки до нового навчального року проведено поточні ремонти в 140 установах – це кожний другий заклад галузі на загальну суму 6,0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 Використано </w:t>
      </w:r>
      <w:r w:rsidR="00B64328" w:rsidRPr="0035001A">
        <w:rPr>
          <w:szCs w:val="28"/>
        </w:rPr>
        <w:t xml:space="preserve">понад </w:t>
      </w:r>
      <w:r w:rsidRPr="0035001A">
        <w:rPr>
          <w:szCs w:val="28"/>
        </w:rPr>
        <w:t>2,</w:t>
      </w:r>
      <w:r w:rsidR="00B64328" w:rsidRPr="0035001A">
        <w:rPr>
          <w:szCs w:val="28"/>
        </w:rPr>
        <w:t>0</w:t>
      </w:r>
      <w:r w:rsidRPr="0035001A">
        <w:rPr>
          <w:szCs w:val="28"/>
        </w:rPr>
        <w:t>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на оснащення нових груп для дітей дошкільного віку (дод</w:t>
      </w:r>
      <w:r w:rsidR="00B64328" w:rsidRPr="0035001A">
        <w:rPr>
          <w:szCs w:val="28"/>
        </w:rPr>
        <w:t xml:space="preserve">атково організована робота </w:t>
      </w:r>
      <w:r w:rsidRPr="0035001A">
        <w:rPr>
          <w:szCs w:val="28"/>
        </w:rPr>
        <w:t>24</w:t>
      </w:r>
      <w:r w:rsidR="00B64328" w:rsidRPr="0035001A">
        <w:rPr>
          <w:szCs w:val="28"/>
        </w:rPr>
        <w:t>-х</w:t>
      </w:r>
      <w:r w:rsidRPr="0035001A">
        <w:rPr>
          <w:szCs w:val="28"/>
        </w:rPr>
        <w:t xml:space="preserve"> </w:t>
      </w:r>
      <w:r w:rsidR="00473FDF">
        <w:rPr>
          <w:szCs w:val="28"/>
        </w:rPr>
        <w:t>груп для 470 дітей</w:t>
      </w:r>
      <w:r w:rsidRPr="0035001A">
        <w:rPr>
          <w:szCs w:val="28"/>
        </w:rPr>
        <w:t>).</w:t>
      </w:r>
      <w:r w:rsidR="00071544">
        <w:rPr>
          <w:szCs w:val="28"/>
        </w:rPr>
        <w:t xml:space="preserve"> </w:t>
      </w:r>
    </w:p>
    <w:p w:rsidR="0019544A" w:rsidRPr="0035001A" w:rsidRDefault="0019544A" w:rsidP="00473FDF">
      <w:pPr>
        <w:ind w:firstLine="851"/>
        <w:jc w:val="both"/>
        <w:rPr>
          <w:szCs w:val="28"/>
        </w:rPr>
      </w:pPr>
      <w:r w:rsidRPr="0035001A">
        <w:rPr>
          <w:szCs w:val="28"/>
        </w:rPr>
        <w:t>Видатки розвитку проведені в сумі 23,2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в тому числі за рахунок коштів бюджету розвитку міста – 18,2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або 31,</w:t>
      </w:r>
      <w:r w:rsidR="00866AC6" w:rsidRPr="0035001A">
        <w:rPr>
          <w:szCs w:val="28"/>
        </w:rPr>
        <w:t>9</w:t>
      </w:r>
      <w:r w:rsidRPr="0035001A">
        <w:rPr>
          <w:szCs w:val="28"/>
        </w:rPr>
        <w:t> відсотка річних призначень, власних надходжень бюджетних установ (благодійні внески, гранти, дарунки</w:t>
      </w:r>
      <w:r w:rsidR="00266861" w:rsidRPr="0035001A">
        <w:rPr>
          <w:szCs w:val="28"/>
        </w:rPr>
        <w:t>)</w:t>
      </w:r>
      <w:r w:rsidRPr="0035001A">
        <w:rPr>
          <w:szCs w:val="28"/>
        </w:rPr>
        <w:t xml:space="preserve"> – 5,0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</w:p>
    <w:p w:rsidR="00B750E7" w:rsidRPr="0035001A" w:rsidRDefault="006172FB" w:rsidP="004C538B">
      <w:pPr>
        <w:ind w:firstLine="709"/>
        <w:jc w:val="both"/>
        <w:rPr>
          <w:szCs w:val="28"/>
        </w:rPr>
      </w:pPr>
      <w:r w:rsidRPr="0035001A">
        <w:rPr>
          <w:szCs w:val="28"/>
        </w:rPr>
        <w:t xml:space="preserve">В складі бюджету розвитку на придбання </w:t>
      </w:r>
      <w:r w:rsidR="00941A27" w:rsidRPr="0035001A">
        <w:rPr>
          <w:szCs w:val="28"/>
        </w:rPr>
        <w:t xml:space="preserve">обладнання та </w:t>
      </w:r>
      <w:r w:rsidRPr="0035001A">
        <w:rPr>
          <w:szCs w:val="28"/>
        </w:rPr>
        <w:t>предметів довгострокового користування використано 3,6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  <w:r w:rsidR="00941A27" w:rsidRPr="0035001A">
        <w:rPr>
          <w:szCs w:val="28"/>
        </w:rPr>
        <w:t xml:space="preserve"> (44,5 відсотка річних планових показників)</w:t>
      </w:r>
      <w:r w:rsidR="00DF3505" w:rsidRPr="0035001A">
        <w:rPr>
          <w:szCs w:val="28"/>
        </w:rPr>
        <w:t>, капітальний ремонт освітніх закладів – 6,8 </w:t>
      </w:r>
      <w:proofErr w:type="spellStart"/>
      <w:r w:rsidR="00DF3505" w:rsidRPr="0035001A">
        <w:rPr>
          <w:szCs w:val="28"/>
        </w:rPr>
        <w:t>млн.грн</w:t>
      </w:r>
      <w:proofErr w:type="spellEnd"/>
      <w:r w:rsidR="00DF3505" w:rsidRPr="0035001A">
        <w:rPr>
          <w:szCs w:val="28"/>
        </w:rPr>
        <w:t>.</w:t>
      </w:r>
      <w:r w:rsidR="0043436D" w:rsidRPr="0035001A">
        <w:rPr>
          <w:szCs w:val="28"/>
        </w:rPr>
        <w:t xml:space="preserve"> (35,0 відсотка). </w:t>
      </w:r>
    </w:p>
    <w:p w:rsidR="004C538B" w:rsidRPr="0035001A" w:rsidRDefault="00B750E7" w:rsidP="004C538B">
      <w:pPr>
        <w:ind w:firstLine="709"/>
        <w:jc w:val="both"/>
        <w:rPr>
          <w:szCs w:val="28"/>
        </w:rPr>
      </w:pPr>
      <w:r w:rsidRPr="0035001A">
        <w:rPr>
          <w:szCs w:val="28"/>
        </w:rPr>
        <w:t xml:space="preserve">На будівництво та реконструкцію </w:t>
      </w:r>
      <w:r w:rsidR="008F739B">
        <w:rPr>
          <w:szCs w:val="28"/>
        </w:rPr>
        <w:t xml:space="preserve">11-ти </w:t>
      </w:r>
      <w:r w:rsidRPr="0035001A">
        <w:rPr>
          <w:szCs w:val="28"/>
        </w:rPr>
        <w:t>закладів спрямовано 7,8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або 26,3 відсотка річних планових показників. Завершені роботи з реконструкції дошкільного навчального закладу № 285</w:t>
      </w:r>
      <w:r w:rsidR="00082D1A">
        <w:rPr>
          <w:szCs w:val="28"/>
        </w:rPr>
        <w:t>.</w:t>
      </w:r>
    </w:p>
    <w:p w:rsidR="00795AB4" w:rsidRPr="0035001A" w:rsidRDefault="00156108" w:rsidP="004837D0">
      <w:pPr>
        <w:ind w:firstLine="709"/>
        <w:jc w:val="both"/>
        <w:rPr>
          <w:szCs w:val="28"/>
        </w:rPr>
      </w:pPr>
      <w:r w:rsidRPr="0035001A">
        <w:rPr>
          <w:b/>
          <w:szCs w:val="28"/>
        </w:rPr>
        <w:t>Охорона здоров’я.</w:t>
      </w:r>
      <w:r w:rsidRPr="0035001A">
        <w:rPr>
          <w:szCs w:val="28"/>
        </w:rPr>
        <w:t xml:space="preserve"> Видатки на галузь склали 559,6</w:t>
      </w:r>
      <w:r w:rsidR="00795AB4" w:rsidRPr="0035001A">
        <w:rPr>
          <w:szCs w:val="28"/>
        </w:rPr>
        <w:t>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  <w:r w:rsidR="00795AB4" w:rsidRPr="0035001A">
        <w:rPr>
          <w:szCs w:val="28"/>
        </w:rPr>
        <w:t>, з яких за рахунок медичної субвенції з державного бюджету – 381,8 </w:t>
      </w:r>
      <w:proofErr w:type="spellStart"/>
      <w:r w:rsidR="00795AB4" w:rsidRPr="0035001A">
        <w:rPr>
          <w:szCs w:val="28"/>
        </w:rPr>
        <w:t>млн.грн</w:t>
      </w:r>
      <w:proofErr w:type="spellEnd"/>
      <w:r w:rsidR="00795AB4" w:rsidRPr="0035001A">
        <w:rPr>
          <w:szCs w:val="28"/>
        </w:rPr>
        <w:t xml:space="preserve">. </w:t>
      </w:r>
    </w:p>
    <w:p w:rsidR="00FD5E63" w:rsidRPr="0035001A" w:rsidRDefault="007B5B36" w:rsidP="004837D0">
      <w:pPr>
        <w:ind w:firstLine="709"/>
        <w:jc w:val="both"/>
        <w:rPr>
          <w:szCs w:val="28"/>
        </w:rPr>
      </w:pPr>
      <w:r w:rsidRPr="0035001A">
        <w:rPr>
          <w:szCs w:val="28"/>
        </w:rPr>
        <w:t>На видатки капітального характеру спрямовано 45,3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з яких за рах</w:t>
      </w:r>
      <w:r w:rsidR="001F0DDF" w:rsidRPr="0035001A">
        <w:rPr>
          <w:szCs w:val="28"/>
        </w:rPr>
        <w:t>у</w:t>
      </w:r>
      <w:r w:rsidRPr="0035001A">
        <w:rPr>
          <w:szCs w:val="28"/>
        </w:rPr>
        <w:t>нок коштів бюджету розвитку – 36,4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  <w:r w:rsidR="00866AC6" w:rsidRPr="0035001A">
        <w:rPr>
          <w:szCs w:val="28"/>
        </w:rPr>
        <w:t xml:space="preserve"> (55,0 відсотка річних планових показників)</w:t>
      </w:r>
      <w:r w:rsidRPr="0035001A">
        <w:rPr>
          <w:szCs w:val="28"/>
        </w:rPr>
        <w:t>, власних надходжень бюджетних установ – 8,9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 </w:t>
      </w:r>
    </w:p>
    <w:p w:rsidR="00041138" w:rsidRPr="00041138" w:rsidRDefault="00CD0F90" w:rsidP="00041138">
      <w:pPr>
        <w:ind w:firstLine="709"/>
        <w:jc w:val="both"/>
        <w:rPr>
          <w:szCs w:val="28"/>
        </w:rPr>
      </w:pPr>
      <w:r w:rsidRPr="00041138">
        <w:rPr>
          <w:szCs w:val="28"/>
        </w:rPr>
        <w:t xml:space="preserve">Кошти бюджету розвитку </w:t>
      </w:r>
      <w:r w:rsidR="007F6D2E" w:rsidRPr="00041138">
        <w:rPr>
          <w:szCs w:val="28"/>
        </w:rPr>
        <w:t>в сумі 25,0 </w:t>
      </w:r>
      <w:proofErr w:type="spellStart"/>
      <w:r w:rsidR="007F6D2E" w:rsidRPr="00041138">
        <w:rPr>
          <w:szCs w:val="28"/>
        </w:rPr>
        <w:t>млн.грн</w:t>
      </w:r>
      <w:proofErr w:type="spellEnd"/>
      <w:r w:rsidR="007F6D2E" w:rsidRPr="00041138">
        <w:rPr>
          <w:szCs w:val="28"/>
        </w:rPr>
        <w:t xml:space="preserve">. </w:t>
      </w:r>
      <w:r w:rsidRPr="00041138">
        <w:rPr>
          <w:szCs w:val="28"/>
        </w:rPr>
        <w:t>використані на придбання медичного обладнання</w:t>
      </w:r>
      <w:r w:rsidR="007F6D2E" w:rsidRPr="00041138">
        <w:rPr>
          <w:szCs w:val="28"/>
        </w:rPr>
        <w:t>, освоєно</w:t>
      </w:r>
      <w:r w:rsidRPr="00041138">
        <w:rPr>
          <w:szCs w:val="28"/>
        </w:rPr>
        <w:t xml:space="preserve"> 85,5 </w:t>
      </w:r>
      <w:r w:rsidR="007F6D2E" w:rsidRPr="00041138">
        <w:rPr>
          <w:szCs w:val="28"/>
        </w:rPr>
        <w:t xml:space="preserve">відсотків </w:t>
      </w:r>
      <w:r w:rsidRPr="00041138">
        <w:rPr>
          <w:szCs w:val="28"/>
        </w:rPr>
        <w:t>річних призначень</w:t>
      </w:r>
      <w:r w:rsidR="00B64328" w:rsidRPr="00041138">
        <w:rPr>
          <w:szCs w:val="28"/>
        </w:rPr>
        <w:t xml:space="preserve">. Майже в кожній лікарні та центрі первинної медико-санітарної допомоги відбулось покращення рівня оснащення. </w:t>
      </w:r>
      <w:r w:rsidR="00041138" w:rsidRPr="00041138">
        <w:rPr>
          <w:szCs w:val="28"/>
        </w:rPr>
        <w:t xml:space="preserve">Придбано рентгенодіагностичні комплекси, апарати штучної вентиляції легенів, системи ультразвукової діагностики, </w:t>
      </w:r>
      <w:proofErr w:type="spellStart"/>
      <w:r w:rsidR="00041138" w:rsidRPr="00041138">
        <w:rPr>
          <w:szCs w:val="28"/>
        </w:rPr>
        <w:t>бронхоскоп</w:t>
      </w:r>
      <w:proofErr w:type="spellEnd"/>
      <w:r w:rsidR="00041138" w:rsidRPr="00041138">
        <w:rPr>
          <w:szCs w:val="28"/>
        </w:rPr>
        <w:t xml:space="preserve">, цифрову кольорову </w:t>
      </w:r>
      <w:proofErr w:type="spellStart"/>
      <w:r w:rsidR="00041138" w:rsidRPr="00041138">
        <w:rPr>
          <w:szCs w:val="28"/>
        </w:rPr>
        <w:t>доплер</w:t>
      </w:r>
      <w:r w:rsidR="00041138">
        <w:rPr>
          <w:szCs w:val="28"/>
        </w:rPr>
        <w:t>-</w:t>
      </w:r>
      <w:r w:rsidR="00041138" w:rsidRPr="00041138">
        <w:rPr>
          <w:szCs w:val="28"/>
        </w:rPr>
        <w:t>ультразвуков</w:t>
      </w:r>
      <w:r w:rsidR="00041138">
        <w:rPr>
          <w:szCs w:val="28"/>
        </w:rPr>
        <w:t>у</w:t>
      </w:r>
      <w:proofErr w:type="spellEnd"/>
      <w:r w:rsidR="00041138" w:rsidRPr="00041138">
        <w:rPr>
          <w:szCs w:val="28"/>
        </w:rPr>
        <w:t xml:space="preserve"> систем</w:t>
      </w:r>
      <w:r w:rsidR="00041138">
        <w:rPr>
          <w:szCs w:val="28"/>
        </w:rPr>
        <w:t>у</w:t>
      </w:r>
      <w:r w:rsidR="00041138" w:rsidRPr="00041138">
        <w:rPr>
          <w:szCs w:val="28"/>
        </w:rPr>
        <w:t xml:space="preserve">, електрокардіографи, автономні джерела електропостачання, стерилізатори, інкубатор, мікроскопи, </w:t>
      </w:r>
      <w:proofErr w:type="spellStart"/>
      <w:r w:rsidR="00041138" w:rsidRPr="00041138">
        <w:rPr>
          <w:szCs w:val="28"/>
        </w:rPr>
        <w:t>ендовідеохірургічний</w:t>
      </w:r>
      <w:proofErr w:type="spellEnd"/>
      <w:r w:rsidR="00041138" w:rsidRPr="00041138">
        <w:rPr>
          <w:szCs w:val="28"/>
        </w:rPr>
        <w:t xml:space="preserve"> комплекс, та ін</w:t>
      </w:r>
      <w:r w:rsidR="00041138">
        <w:rPr>
          <w:szCs w:val="28"/>
        </w:rPr>
        <w:t>ше</w:t>
      </w:r>
      <w:r w:rsidR="00041138" w:rsidRPr="00041138">
        <w:rPr>
          <w:szCs w:val="28"/>
        </w:rPr>
        <w:t>.</w:t>
      </w:r>
    </w:p>
    <w:p w:rsidR="00DD0C4F" w:rsidRPr="0035001A" w:rsidRDefault="00B64328" w:rsidP="00DD0C4F">
      <w:pPr>
        <w:ind w:firstLine="709"/>
        <w:jc w:val="both"/>
        <w:rPr>
          <w:szCs w:val="28"/>
        </w:rPr>
      </w:pPr>
      <w:r w:rsidRPr="0035001A">
        <w:rPr>
          <w:szCs w:val="28"/>
        </w:rPr>
        <w:t>К</w:t>
      </w:r>
      <w:r w:rsidR="00CD0F90" w:rsidRPr="0035001A">
        <w:rPr>
          <w:szCs w:val="28"/>
        </w:rPr>
        <w:t xml:space="preserve">апітальні ремонти установ галузі </w:t>
      </w:r>
      <w:r w:rsidRPr="0035001A">
        <w:rPr>
          <w:szCs w:val="28"/>
        </w:rPr>
        <w:t>проведено на суму</w:t>
      </w:r>
      <w:r w:rsidR="00CD0F90" w:rsidRPr="0035001A">
        <w:rPr>
          <w:szCs w:val="28"/>
        </w:rPr>
        <w:t xml:space="preserve"> 6,3</w:t>
      </w:r>
      <w:r w:rsidR="003D38AD" w:rsidRPr="0035001A">
        <w:rPr>
          <w:szCs w:val="28"/>
        </w:rPr>
        <w:t> </w:t>
      </w:r>
      <w:proofErr w:type="spellStart"/>
      <w:r w:rsidR="003D38AD" w:rsidRPr="0035001A">
        <w:rPr>
          <w:szCs w:val="28"/>
        </w:rPr>
        <w:t>млн.грн</w:t>
      </w:r>
      <w:proofErr w:type="spellEnd"/>
      <w:r w:rsidR="003D38AD" w:rsidRPr="0035001A">
        <w:rPr>
          <w:szCs w:val="28"/>
        </w:rPr>
        <w:t>. (39,0 відсотків)</w:t>
      </w:r>
      <w:r w:rsidR="00A855F5">
        <w:rPr>
          <w:szCs w:val="28"/>
        </w:rPr>
        <w:t>, н</w:t>
      </w:r>
      <w:r w:rsidR="00DD0C4F" w:rsidRPr="0035001A">
        <w:rPr>
          <w:szCs w:val="28"/>
        </w:rPr>
        <w:t xml:space="preserve">а будівництво та </w:t>
      </w:r>
      <w:r w:rsidR="00DD0C4F" w:rsidRPr="00A855F5">
        <w:rPr>
          <w:szCs w:val="28"/>
        </w:rPr>
        <w:t xml:space="preserve">реконструкцію </w:t>
      </w:r>
      <w:r w:rsidR="00A855F5" w:rsidRPr="00A855F5">
        <w:rPr>
          <w:szCs w:val="28"/>
        </w:rPr>
        <w:t>14-ти</w:t>
      </w:r>
      <w:r w:rsidR="00AE39A1" w:rsidRPr="00A855F5">
        <w:rPr>
          <w:szCs w:val="28"/>
          <w:lang w:val="ru-RU"/>
        </w:rPr>
        <w:t xml:space="preserve"> </w:t>
      </w:r>
      <w:r w:rsidR="00DD0C4F" w:rsidRPr="0035001A">
        <w:rPr>
          <w:szCs w:val="28"/>
        </w:rPr>
        <w:t>закладів охорони здоров’я спрямовано 5,1 </w:t>
      </w:r>
      <w:proofErr w:type="spellStart"/>
      <w:r w:rsidR="00DD0C4F" w:rsidRPr="0035001A">
        <w:rPr>
          <w:szCs w:val="28"/>
        </w:rPr>
        <w:t>млн.грн</w:t>
      </w:r>
      <w:proofErr w:type="spellEnd"/>
      <w:r w:rsidR="00DD0C4F" w:rsidRPr="0035001A">
        <w:rPr>
          <w:szCs w:val="28"/>
        </w:rPr>
        <w:t xml:space="preserve">. або 24,7 відсотка річного плану. </w:t>
      </w:r>
    </w:p>
    <w:p w:rsidR="00903E61" w:rsidRPr="0035001A" w:rsidRDefault="00903E61" w:rsidP="00903E61">
      <w:pPr>
        <w:ind w:firstLine="709"/>
        <w:jc w:val="both"/>
        <w:rPr>
          <w:szCs w:val="28"/>
        </w:rPr>
      </w:pPr>
      <w:r w:rsidRPr="0035001A">
        <w:rPr>
          <w:szCs w:val="28"/>
        </w:rPr>
        <w:t xml:space="preserve">На </w:t>
      </w:r>
      <w:r w:rsidRPr="0035001A">
        <w:rPr>
          <w:b/>
          <w:szCs w:val="28"/>
        </w:rPr>
        <w:t>соціальний захист</w:t>
      </w:r>
      <w:r w:rsidR="00AE39A1">
        <w:rPr>
          <w:b/>
          <w:szCs w:val="28"/>
        </w:rPr>
        <w:t>,</w:t>
      </w:r>
      <w:r w:rsidRPr="0035001A">
        <w:rPr>
          <w:b/>
          <w:szCs w:val="28"/>
        </w:rPr>
        <w:t xml:space="preserve"> соціальне забезпечення</w:t>
      </w:r>
      <w:r w:rsidRPr="0035001A">
        <w:rPr>
          <w:szCs w:val="28"/>
        </w:rPr>
        <w:t xml:space="preserve"> використано 638,1 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з яких за рахунок відповідних субвенцій з державного бюджету – 59</w:t>
      </w:r>
      <w:r w:rsidR="000C7A54">
        <w:rPr>
          <w:szCs w:val="28"/>
        </w:rPr>
        <w:t>6,7</w:t>
      </w:r>
      <w:r w:rsidRPr="0035001A">
        <w:rPr>
          <w:szCs w:val="28"/>
        </w:rPr>
        <w:t>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 xml:space="preserve">. </w:t>
      </w:r>
    </w:p>
    <w:p w:rsidR="00903E61" w:rsidRPr="0035001A" w:rsidRDefault="00903E61" w:rsidP="00903E61">
      <w:pPr>
        <w:ind w:firstLine="709"/>
        <w:jc w:val="both"/>
        <w:rPr>
          <w:b/>
          <w:szCs w:val="28"/>
        </w:rPr>
      </w:pPr>
      <w:r w:rsidRPr="0035001A">
        <w:rPr>
          <w:szCs w:val="28"/>
        </w:rPr>
        <w:t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сумі 428,3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надання пільг та субсидій на оплату житлово-комунальних послуг, твердого та рідкого побутового палива, а також інших, передбачених законодавством пільг – 131,8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на виплату державної соціальної допомоги на дітей-сиріт та дітей, позбавлених батьківського піклування – 1,2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У відповідному періоді поточн</w:t>
      </w:r>
      <w:r w:rsidR="00543714">
        <w:rPr>
          <w:szCs w:val="28"/>
        </w:rPr>
        <w:t>ого року скористалися пільгами н</w:t>
      </w:r>
      <w:r w:rsidRPr="0035001A">
        <w:rPr>
          <w:szCs w:val="28"/>
        </w:rPr>
        <w:t>а житлово-комунальн</w:t>
      </w:r>
      <w:r w:rsidR="00543714">
        <w:rPr>
          <w:szCs w:val="28"/>
        </w:rPr>
        <w:t>і</w:t>
      </w:r>
      <w:r w:rsidRPr="0035001A">
        <w:rPr>
          <w:szCs w:val="28"/>
        </w:rPr>
        <w:t xml:space="preserve"> послуг</w:t>
      </w:r>
      <w:r w:rsidR="00543714">
        <w:rPr>
          <w:szCs w:val="28"/>
        </w:rPr>
        <w:t>и</w:t>
      </w:r>
      <w:r w:rsidRPr="0035001A">
        <w:rPr>
          <w:szCs w:val="28"/>
        </w:rPr>
        <w:t xml:space="preserve">, придбання твердого та рідкого пічного </w:t>
      </w:r>
      <w:r w:rsidRPr="0035001A">
        <w:rPr>
          <w:szCs w:val="28"/>
        </w:rPr>
        <w:lastRenderedPageBreak/>
        <w:t>побутового палива тощо 110,2 тисячі ос</w:t>
      </w:r>
      <w:r w:rsidR="009C04C8" w:rsidRPr="0035001A">
        <w:rPr>
          <w:szCs w:val="28"/>
        </w:rPr>
        <w:t>і</w:t>
      </w:r>
      <w:r w:rsidRPr="0035001A">
        <w:rPr>
          <w:szCs w:val="28"/>
        </w:rPr>
        <w:t xml:space="preserve">б, правом на отримання житлових субсидій </w:t>
      </w:r>
      <w:r w:rsidR="00543714">
        <w:rPr>
          <w:szCs w:val="28"/>
        </w:rPr>
        <w:t xml:space="preserve">- </w:t>
      </w:r>
      <w:r w:rsidRPr="0035001A">
        <w:rPr>
          <w:szCs w:val="28"/>
        </w:rPr>
        <w:t>39,</w:t>
      </w:r>
      <w:r w:rsidR="00F841DC">
        <w:rPr>
          <w:szCs w:val="28"/>
        </w:rPr>
        <w:t>7</w:t>
      </w:r>
      <w:r w:rsidRPr="0035001A">
        <w:rPr>
          <w:szCs w:val="28"/>
        </w:rPr>
        <w:t> тисяч домогосподарств</w:t>
      </w:r>
      <w:r w:rsidR="00F841DC">
        <w:rPr>
          <w:szCs w:val="28"/>
        </w:rPr>
        <w:t>, що майже в 4 рази перевищує показник минулого року</w:t>
      </w:r>
      <w:r w:rsidRPr="0035001A">
        <w:rPr>
          <w:szCs w:val="28"/>
        </w:rPr>
        <w:t>.</w:t>
      </w:r>
    </w:p>
    <w:p w:rsidR="00903E61" w:rsidRPr="0035001A" w:rsidRDefault="00903E61" w:rsidP="00903E61">
      <w:pPr>
        <w:ind w:firstLine="709"/>
        <w:jc w:val="both"/>
        <w:rPr>
          <w:szCs w:val="28"/>
        </w:rPr>
      </w:pPr>
      <w:r w:rsidRPr="0035001A">
        <w:rPr>
          <w:szCs w:val="28"/>
        </w:rPr>
        <w:t>Також, на компенсацію пільгового перевезення окремих категорій громадян автомобільним, водним та міським електротранспортом ви</w:t>
      </w:r>
      <w:r w:rsidR="009C04C8" w:rsidRPr="0035001A">
        <w:rPr>
          <w:szCs w:val="28"/>
        </w:rPr>
        <w:t>користано</w:t>
      </w:r>
      <w:r w:rsidRPr="0035001A">
        <w:rPr>
          <w:szCs w:val="28"/>
        </w:rPr>
        <w:t xml:space="preserve"> 37,2 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в тому числі за рахунок відповідної субвенції з державного бюджету – 35,4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</w:t>
      </w:r>
    </w:p>
    <w:p w:rsidR="00903E61" w:rsidRPr="00041138" w:rsidRDefault="00903E61" w:rsidP="00903E61">
      <w:pPr>
        <w:shd w:val="clear" w:color="auto" w:fill="FFFFFF"/>
        <w:ind w:firstLine="720"/>
        <w:contextualSpacing/>
        <w:jc w:val="both"/>
        <w:rPr>
          <w:szCs w:val="28"/>
        </w:rPr>
      </w:pPr>
      <w:r w:rsidRPr="0035001A">
        <w:rPr>
          <w:szCs w:val="28"/>
        </w:rPr>
        <w:t xml:space="preserve">В рамках Міської комплексної програми соціального захисту населення за рахунок коштів бюджету міста на соціальну підтримку малозабезпечених та непрацездатних громадян </w:t>
      </w:r>
      <w:r w:rsidR="009C04C8" w:rsidRPr="0035001A">
        <w:rPr>
          <w:szCs w:val="28"/>
        </w:rPr>
        <w:t>спрямовано</w:t>
      </w:r>
      <w:r w:rsidRPr="0035001A">
        <w:rPr>
          <w:szCs w:val="28"/>
        </w:rPr>
        <w:t xml:space="preserve"> 20,9 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Більше 1</w:t>
      </w:r>
      <w:r w:rsidR="00AE39A1" w:rsidRPr="00AE39A1">
        <w:rPr>
          <w:szCs w:val="28"/>
        </w:rPr>
        <w:t>3</w:t>
      </w:r>
      <w:r w:rsidRPr="0035001A">
        <w:rPr>
          <w:szCs w:val="28"/>
        </w:rPr>
        <w:t xml:space="preserve"> тисяч мешканців міста отримали адресну одноразову грошову допомогу, </w:t>
      </w:r>
      <w:r w:rsidR="009C04C8" w:rsidRPr="0035001A">
        <w:rPr>
          <w:szCs w:val="28"/>
        </w:rPr>
        <w:t>1324-м особам</w:t>
      </w:r>
      <w:r w:rsidRPr="0035001A">
        <w:rPr>
          <w:szCs w:val="28"/>
        </w:rPr>
        <w:t xml:space="preserve"> </w:t>
      </w:r>
      <w:r w:rsidR="009C04C8" w:rsidRPr="0035001A">
        <w:rPr>
          <w:szCs w:val="28"/>
        </w:rPr>
        <w:t xml:space="preserve">надано допомогу </w:t>
      </w:r>
      <w:r w:rsidRPr="0035001A">
        <w:rPr>
          <w:szCs w:val="28"/>
        </w:rPr>
        <w:t xml:space="preserve">на оплату лікування та зубопротезування, </w:t>
      </w:r>
      <w:r w:rsidR="009C04C8" w:rsidRPr="0035001A">
        <w:rPr>
          <w:szCs w:val="28"/>
        </w:rPr>
        <w:t xml:space="preserve">також </w:t>
      </w:r>
      <w:r w:rsidRPr="0035001A">
        <w:rPr>
          <w:szCs w:val="28"/>
        </w:rPr>
        <w:t xml:space="preserve">матеріальну </w:t>
      </w:r>
      <w:r w:rsidR="009C04C8" w:rsidRPr="0035001A">
        <w:rPr>
          <w:szCs w:val="28"/>
        </w:rPr>
        <w:t>підтримку</w:t>
      </w:r>
      <w:r w:rsidRPr="0035001A">
        <w:rPr>
          <w:szCs w:val="28"/>
        </w:rPr>
        <w:t xml:space="preserve"> отримали 613 обдарованих студентів, які навчаються в різних навчальних закладах міста</w:t>
      </w:r>
      <w:r w:rsidR="00543714">
        <w:rPr>
          <w:szCs w:val="28"/>
        </w:rPr>
        <w:t>,</w:t>
      </w:r>
      <w:r w:rsidRPr="0035001A">
        <w:rPr>
          <w:szCs w:val="28"/>
        </w:rPr>
        <w:t xml:space="preserve"> та 9 молодих вчених</w:t>
      </w:r>
      <w:r w:rsidR="00AE39A1">
        <w:rPr>
          <w:szCs w:val="28"/>
        </w:rPr>
        <w:t>.</w:t>
      </w:r>
    </w:p>
    <w:p w:rsidR="00966908" w:rsidRPr="0035001A" w:rsidRDefault="00966908" w:rsidP="00903E61">
      <w:pPr>
        <w:shd w:val="clear" w:color="auto" w:fill="FFFFFF"/>
        <w:ind w:firstLine="720"/>
        <w:contextualSpacing/>
        <w:jc w:val="both"/>
        <w:rPr>
          <w:szCs w:val="28"/>
        </w:rPr>
      </w:pPr>
      <w:r>
        <w:rPr>
          <w:szCs w:val="28"/>
        </w:rPr>
        <w:t>За рахунок відповідної субвенції з обласного бюджету на підтримку внутрішньо переміщених осіб, які переїхали на територію міста, спрямовано 1,7 </w:t>
      </w:r>
      <w:proofErr w:type="spellStart"/>
      <w:r>
        <w:rPr>
          <w:szCs w:val="28"/>
        </w:rPr>
        <w:t>млн.грн</w:t>
      </w:r>
      <w:proofErr w:type="spellEnd"/>
      <w:r>
        <w:rPr>
          <w:szCs w:val="28"/>
        </w:rPr>
        <w:t>.</w:t>
      </w:r>
    </w:p>
    <w:p w:rsidR="00903E61" w:rsidRPr="0035001A" w:rsidRDefault="009C04C8" w:rsidP="00903E61">
      <w:pPr>
        <w:shd w:val="clear" w:color="auto" w:fill="FFFFFF"/>
        <w:ind w:firstLine="720"/>
        <w:contextualSpacing/>
        <w:jc w:val="both"/>
        <w:rPr>
          <w:szCs w:val="28"/>
        </w:rPr>
      </w:pPr>
      <w:r w:rsidRPr="0035001A">
        <w:rPr>
          <w:szCs w:val="28"/>
        </w:rPr>
        <w:t xml:space="preserve">Влітку заходами </w:t>
      </w:r>
      <w:r w:rsidR="00903E61" w:rsidRPr="0035001A">
        <w:rPr>
          <w:szCs w:val="28"/>
        </w:rPr>
        <w:t xml:space="preserve">з оздоровлення та відпочинку </w:t>
      </w:r>
      <w:r w:rsidRPr="0035001A">
        <w:rPr>
          <w:szCs w:val="28"/>
        </w:rPr>
        <w:t xml:space="preserve">охоплено 3,5 тисячі </w:t>
      </w:r>
      <w:r w:rsidR="00903E61" w:rsidRPr="0035001A">
        <w:rPr>
          <w:szCs w:val="28"/>
        </w:rPr>
        <w:t>д</w:t>
      </w:r>
      <w:r w:rsidRPr="0035001A">
        <w:rPr>
          <w:szCs w:val="28"/>
        </w:rPr>
        <w:t>ітей</w:t>
      </w:r>
      <w:r w:rsidR="00903E61" w:rsidRPr="0035001A">
        <w:rPr>
          <w:szCs w:val="28"/>
        </w:rPr>
        <w:t>.</w:t>
      </w:r>
    </w:p>
    <w:p w:rsidR="00486D34" w:rsidRPr="0035001A" w:rsidRDefault="00227C97" w:rsidP="00EC69A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01A">
        <w:rPr>
          <w:rFonts w:ascii="Times New Roman" w:hAnsi="Times New Roman"/>
          <w:sz w:val="28"/>
          <w:szCs w:val="28"/>
        </w:rPr>
        <w:t xml:space="preserve">Видатки розвитку по галузі проведені в обсязі 3,3 </w:t>
      </w:r>
      <w:proofErr w:type="spellStart"/>
      <w:r w:rsidRPr="0035001A">
        <w:rPr>
          <w:rFonts w:ascii="Times New Roman" w:hAnsi="Times New Roman"/>
          <w:sz w:val="28"/>
          <w:szCs w:val="28"/>
        </w:rPr>
        <w:t>млн.грн</w:t>
      </w:r>
      <w:proofErr w:type="spellEnd"/>
      <w:r w:rsidRPr="0035001A">
        <w:rPr>
          <w:rFonts w:ascii="Times New Roman" w:hAnsi="Times New Roman"/>
          <w:sz w:val="28"/>
          <w:szCs w:val="28"/>
        </w:rPr>
        <w:t>.</w:t>
      </w:r>
      <w:r w:rsidR="00605E73" w:rsidRPr="0035001A">
        <w:rPr>
          <w:rFonts w:ascii="Times New Roman" w:hAnsi="Times New Roman"/>
          <w:sz w:val="28"/>
          <w:szCs w:val="28"/>
        </w:rPr>
        <w:t xml:space="preserve"> </w:t>
      </w:r>
      <w:r w:rsidR="00D63AA4" w:rsidRPr="0035001A">
        <w:rPr>
          <w:rFonts w:ascii="Times New Roman" w:hAnsi="Times New Roman"/>
          <w:sz w:val="28"/>
          <w:szCs w:val="28"/>
        </w:rPr>
        <w:t>За</w:t>
      </w:r>
      <w:r w:rsidR="00486D34" w:rsidRPr="0035001A">
        <w:rPr>
          <w:rFonts w:ascii="Times New Roman" w:hAnsi="Times New Roman"/>
          <w:sz w:val="28"/>
          <w:szCs w:val="28"/>
        </w:rPr>
        <w:t xml:space="preserve">вершуються </w:t>
      </w:r>
      <w:r w:rsidR="00543714">
        <w:rPr>
          <w:rFonts w:ascii="Times New Roman" w:hAnsi="Times New Roman"/>
          <w:sz w:val="28"/>
          <w:szCs w:val="28"/>
        </w:rPr>
        <w:t>роботи з благоустрою території, прилеглої до</w:t>
      </w:r>
      <w:r w:rsidR="00ED3444" w:rsidRPr="0035001A">
        <w:rPr>
          <w:rFonts w:ascii="Times New Roman" w:hAnsi="Times New Roman"/>
          <w:sz w:val="28"/>
          <w:szCs w:val="28"/>
        </w:rPr>
        <w:t xml:space="preserve"> </w:t>
      </w:r>
      <w:r w:rsidR="00486D34" w:rsidRPr="0035001A">
        <w:rPr>
          <w:rFonts w:ascii="Times New Roman" w:hAnsi="Times New Roman"/>
          <w:sz w:val="28"/>
          <w:szCs w:val="28"/>
        </w:rPr>
        <w:t>Запорізько</w:t>
      </w:r>
      <w:r w:rsidR="00543714">
        <w:rPr>
          <w:rFonts w:ascii="Times New Roman" w:hAnsi="Times New Roman"/>
          <w:sz w:val="28"/>
          <w:szCs w:val="28"/>
        </w:rPr>
        <w:t>го</w:t>
      </w:r>
      <w:r w:rsidR="00486D34" w:rsidRPr="0035001A">
        <w:rPr>
          <w:rFonts w:ascii="Times New Roman" w:hAnsi="Times New Roman"/>
          <w:sz w:val="28"/>
          <w:szCs w:val="28"/>
        </w:rPr>
        <w:t xml:space="preserve"> місько</w:t>
      </w:r>
      <w:r w:rsidR="00543714">
        <w:rPr>
          <w:rFonts w:ascii="Times New Roman" w:hAnsi="Times New Roman"/>
          <w:sz w:val="28"/>
          <w:szCs w:val="28"/>
        </w:rPr>
        <w:t>го</w:t>
      </w:r>
      <w:r w:rsidR="00486D34" w:rsidRPr="0035001A">
        <w:rPr>
          <w:rFonts w:ascii="Times New Roman" w:hAnsi="Times New Roman"/>
          <w:sz w:val="28"/>
          <w:szCs w:val="28"/>
        </w:rPr>
        <w:t xml:space="preserve"> геріатрично</w:t>
      </w:r>
      <w:r w:rsidR="00543714">
        <w:rPr>
          <w:rFonts w:ascii="Times New Roman" w:hAnsi="Times New Roman"/>
          <w:sz w:val="28"/>
          <w:szCs w:val="28"/>
        </w:rPr>
        <w:t>го</w:t>
      </w:r>
      <w:r w:rsidR="00486D34" w:rsidRPr="0035001A">
        <w:rPr>
          <w:rFonts w:ascii="Times New Roman" w:hAnsi="Times New Roman"/>
          <w:sz w:val="28"/>
          <w:szCs w:val="28"/>
        </w:rPr>
        <w:t xml:space="preserve"> стаціонар</w:t>
      </w:r>
      <w:r w:rsidR="00543714">
        <w:rPr>
          <w:rFonts w:ascii="Times New Roman" w:hAnsi="Times New Roman"/>
          <w:sz w:val="28"/>
          <w:szCs w:val="28"/>
        </w:rPr>
        <w:t>у</w:t>
      </w:r>
      <w:r w:rsidR="002D4717">
        <w:rPr>
          <w:rFonts w:ascii="Times New Roman" w:hAnsi="Times New Roman"/>
          <w:sz w:val="28"/>
          <w:szCs w:val="28"/>
        </w:rPr>
        <w:t xml:space="preserve">, підготовка проектної документації на </w:t>
      </w:r>
      <w:r w:rsidR="002D4717" w:rsidRPr="002D4717">
        <w:rPr>
          <w:rFonts w:ascii="Times New Roman" w:hAnsi="Times New Roman"/>
          <w:sz w:val="28"/>
          <w:szCs w:val="28"/>
        </w:rPr>
        <w:t>к</w:t>
      </w:r>
      <w:r w:rsidR="00ED3444" w:rsidRPr="002D4717">
        <w:rPr>
          <w:rFonts w:ascii="Times New Roman" w:hAnsi="Times New Roman"/>
          <w:sz w:val="28"/>
          <w:szCs w:val="28"/>
        </w:rPr>
        <w:t xml:space="preserve">апітальний ремонт будівлі </w:t>
      </w:r>
      <w:r w:rsidR="002D4717" w:rsidRPr="002D4717">
        <w:rPr>
          <w:rFonts w:ascii="Times New Roman" w:hAnsi="Times New Roman"/>
          <w:sz w:val="28"/>
          <w:szCs w:val="28"/>
        </w:rPr>
        <w:t xml:space="preserve">відділення соціальної </w:t>
      </w:r>
      <w:r w:rsidR="00ED3444" w:rsidRPr="002D4717">
        <w:rPr>
          <w:rFonts w:ascii="Times New Roman" w:hAnsi="Times New Roman"/>
          <w:sz w:val="28"/>
          <w:szCs w:val="28"/>
        </w:rPr>
        <w:t>реабілітації дітей-інвалідів Заводського району</w:t>
      </w:r>
      <w:r w:rsidR="002D4717">
        <w:rPr>
          <w:rFonts w:ascii="Times New Roman" w:hAnsi="Times New Roman"/>
          <w:sz w:val="28"/>
          <w:szCs w:val="28"/>
        </w:rPr>
        <w:t>.</w:t>
      </w:r>
      <w:r w:rsidR="00ED3444" w:rsidRPr="0035001A">
        <w:rPr>
          <w:rFonts w:ascii="Times New Roman" w:hAnsi="Times New Roman"/>
          <w:sz w:val="28"/>
          <w:szCs w:val="28"/>
        </w:rPr>
        <w:t xml:space="preserve"> </w:t>
      </w:r>
      <w:r w:rsidR="00486D34" w:rsidRPr="0035001A">
        <w:rPr>
          <w:rFonts w:ascii="Times New Roman" w:hAnsi="Times New Roman"/>
          <w:sz w:val="28"/>
          <w:szCs w:val="28"/>
        </w:rPr>
        <w:t xml:space="preserve">Крім того, продовжуються роботи з реконструкції будівлі під центр реінтеграції бездомних осіб </w:t>
      </w:r>
      <w:r w:rsidR="0061658D" w:rsidRPr="0035001A">
        <w:rPr>
          <w:rFonts w:ascii="Times New Roman" w:hAnsi="Times New Roman"/>
          <w:sz w:val="28"/>
          <w:szCs w:val="28"/>
        </w:rPr>
        <w:t>по вул. </w:t>
      </w:r>
      <w:r w:rsidR="00486D34" w:rsidRPr="0035001A">
        <w:rPr>
          <w:rFonts w:ascii="Times New Roman" w:hAnsi="Times New Roman"/>
          <w:sz w:val="28"/>
          <w:szCs w:val="28"/>
        </w:rPr>
        <w:t>Перс</w:t>
      </w:r>
      <w:r w:rsidR="00D63AA4" w:rsidRPr="0035001A">
        <w:rPr>
          <w:rFonts w:ascii="Times New Roman" w:hAnsi="Times New Roman"/>
          <w:sz w:val="28"/>
          <w:szCs w:val="28"/>
        </w:rPr>
        <w:t>пективній,2а та будівлі по вул. </w:t>
      </w:r>
      <w:r w:rsidR="00486D34" w:rsidRPr="0035001A">
        <w:rPr>
          <w:rFonts w:ascii="Times New Roman" w:hAnsi="Times New Roman"/>
          <w:sz w:val="28"/>
          <w:szCs w:val="28"/>
        </w:rPr>
        <w:t xml:space="preserve">Таганській,8 під соціальний готель. </w:t>
      </w:r>
    </w:p>
    <w:p w:rsidR="00ED3444" w:rsidRPr="00041138" w:rsidRDefault="00F85BB5" w:rsidP="003B6E8D">
      <w:pPr>
        <w:ind w:firstLine="709"/>
        <w:jc w:val="both"/>
        <w:rPr>
          <w:szCs w:val="28"/>
        </w:rPr>
      </w:pPr>
      <w:r w:rsidRPr="0035001A">
        <w:rPr>
          <w:szCs w:val="28"/>
        </w:rPr>
        <w:t>В</w:t>
      </w:r>
      <w:r w:rsidR="003D2606" w:rsidRPr="0035001A">
        <w:rPr>
          <w:szCs w:val="28"/>
        </w:rPr>
        <w:t>итрати</w:t>
      </w:r>
      <w:r w:rsidR="003A2B40" w:rsidRPr="0035001A">
        <w:rPr>
          <w:szCs w:val="28"/>
        </w:rPr>
        <w:t xml:space="preserve"> на</w:t>
      </w:r>
      <w:r w:rsidR="007E586A" w:rsidRPr="0035001A">
        <w:rPr>
          <w:szCs w:val="28"/>
        </w:rPr>
        <w:t xml:space="preserve"> </w:t>
      </w:r>
      <w:r w:rsidR="007E586A" w:rsidRPr="0035001A">
        <w:rPr>
          <w:b/>
          <w:szCs w:val="28"/>
        </w:rPr>
        <w:t>житлово-комунальне господарство</w:t>
      </w:r>
      <w:r w:rsidR="007E586A" w:rsidRPr="0035001A">
        <w:rPr>
          <w:szCs w:val="28"/>
        </w:rPr>
        <w:t xml:space="preserve"> за </w:t>
      </w:r>
      <w:r w:rsidR="00ED3444" w:rsidRPr="0035001A">
        <w:rPr>
          <w:szCs w:val="28"/>
        </w:rPr>
        <w:t>звітний період</w:t>
      </w:r>
      <w:r w:rsidR="007E586A" w:rsidRPr="0035001A">
        <w:rPr>
          <w:szCs w:val="28"/>
        </w:rPr>
        <w:t xml:space="preserve"> склали 414,7</w:t>
      </w:r>
      <w:r w:rsidR="00ED3444" w:rsidRPr="0035001A">
        <w:rPr>
          <w:szCs w:val="28"/>
        </w:rPr>
        <w:t> </w:t>
      </w:r>
      <w:proofErr w:type="spellStart"/>
      <w:r w:rsidR="007E586A" w:rsidRPr="0035001A">
        <w:rPr>
          <w:szCs w:val="28"/>
        </w:rPr>
        <w:t>млн.грн</w:t>
      </w:r>
      <w:proofErr w:type="spellEnd"/>
      <w:r w:rsidR="007E586A" w:rsidRPr="0035001A">
        <w:rPr>
          <w:szCs w:val="28"/>
        </w:rPr>
        <w:t xml:space="preserve">., з яких поточні видатки – 205,2 </w:t>
      </w:r>
      <w:proofErr w:type="spellStart"/>
      <w:r w:rsidR="007E586A" w:rsidRPr="0035001A">
        <w:rPr>
          <w:szCs w:val="28"/>
        </w:rPr>
        <w:t>млн.грн</w:t>
      </w:r>
      <w:proofErr w:type="spellEnd"/>
      <w:r w:rsidR="007E586A" w:rsidRPr="0035001A">
        <w:rPr>
          <w:szCs w:val="28"/>
        </w:rPr>
        <w:t xml:space="preserve">., </w:t>
      </w:r>
      <w:r w:rsidR="00ED3444" w:rsidRPr="0035001A">
        <w:rPr>
          <w:szCs w:val="28"/>
        </w:rPr>
        <w:t xml:space="preserve">або </w:t>
      </w:r>
      <w:r w:rsidR="007E586A" w:rsidRPr="0035001A">
        <w:rPr>
          <w:szCs w:val="28"/>
        </w:rPr>
        <w:t>80,9 відсотка</w:t>
      </w:r>
      <w:r w:rsidR="00ED3444" w:rsidRPr="0035001A">
        <w:rPr>
          <w:szCs w:val="28"/>
        </w:rPr>
        <w:t xml:space="preserve"> планових показників на відповідний період</w:t>
      </w:r>
      <w:r w:rsidR="007E586A" w:rsidRPr="0035001A">
        <w:rPr>
          <w:szCs w:val="28"/>
        </w:rPr>
        <w:t xml:space="preserve">, капітальні видатки – 209,5 </w:t>
      </w:r>
      <w:proofErr w:type="spellStart"/>
      <w:r w:rsidR="007E586A" w:rsidRPr="0035001A">
        <w:rPr>
          <w:szCs w:val="28"/>
        </w:rPr>
        <w:t>млн.грн</w:t>
      </w:r>
      <w:proofErr w:type="spellEnd"/>
      <w:r w:rsidR="007E586A" w:rsidRPr="0035001A">
        <w:rPr>
          <w:szCs w:val="28"/>
        </w:rPr>
        <w:t>., річн</w:t>
      </w:r>
      <w:r w:rsidR="00ED3444" w:rsidRPr="0035001A">
        <w:rPr>
          <w:szCs w:val="28"/>
        </w:rPr>
        <w:t>і</w:t>
      </w:r>
      <w:r w:rsidR="007E586A" w:rsidRPr="0035001A">
        <w:rPr>
          <w:szCs w:val="28"/>
        </w:rPr>
        <w:t xml:space="preserve"> план</w:t>
      </w:r>
      <w:r w:rsidR="00ED3444" w:rsidRPr="0035001A">
        <w:rPr>
          <w:szCs w:val="28"/>
        </w:rPr>
        <w:t xml:space="preserve">ові показники </w:t>
      </w:r>
      <w:r w:rsidR="007E586A" w:rsidRPr="0035001A">
        <w:rPr>
          <w:szCs w:val="28"/>
        </w:rPr>
        <w:t>виконан</w:t>
      </w:r>
      <w:r w:rsidR="00ED3444" w:rsidRPr="0035001A">
        <w:rPr>
          <w:szCs w:val="28"/>
        </w:rPr>
        <w:t>і</w:t>
      </w:r>
      <w:r w:rsidR="007E586A" w:rsidRPr="0035001A">
        <w:rPr>
          <w:szCs w:val="28"/>
        </w:rPr>
        <w:t xml:space="preserve"> на 49,1 відсотка.</w:t>
      </w:r>
    </w:p>
    <w:p w:rsidR="002A6ECC" w:rsidRPr="00516F1B" w:rsidRDefault="00ED3444" w:rsidP="00ED3444">
      <w:pPr>
        <w:ind w:firstLine="709"/>
        <w:jc w:val="both"/>
        <w:rPr>
          <w:szCs w:val="28"/>
        </w:rPr>
      </w:pPr>
      <w:r w:rsidRPr="00516F1B">
        <w:rPr>
          <w:szCs w:val="28"/>
        </w:rPr>
        <w:t xml:space="preserve">На заходи з благоустрою міста </w:t>
      </w:r>
      <w:r w:rsidR="002A6ECC" w:rsidRPr="00516F1B">
        <w:rPr>
          <w:szCs w:val="28"/>
        </w:rPr>
        <w:t>використано</w:t>
      </w:r>
      <w:r w:rsidRPr="00516F1B">
        <w:rPr>
          <w:szCs w:val="28"/>
        </w:rPr>
        <w:t xml:space="preserve"> 44,9 </w:t>
      </w:r>
      <w:proofErr w:type="spellStart"/>
      <w:r w:rsidR="002A6ECC" w:rsidRPr="00516F1B">
        <w:rPr>
          <w:szCs w:val="28"/>
        </w:rPr>
        <w:t>млн.грн</w:t>
      </w:r>
      <w:proofErr w:type="spellEnd"/>
      <w:r w:rsidR="002A6ECC" w:rsidRPr="00516F1B">
        <w:rPr>
          <w:szCs w:val="28"/>
        </w:rPr>
        <w:t>. Зазначені кошти спрямовані на поточний ремонт та утримання мереж зовнішнього освітлення, догляд за зеленими насадженнями, ліквідація стихійних звалищ, ремонт та технічне обслуговування засобів регулювання дорожнього руху тощо.</w:t>
      </w:r>
      <w:r w:rsidR="0077359F" w:rsidRPr="00516F1B">
        <w:rPr>
          <w:szCs w:val="28"/>
        </w:rPr>
        <w:t xml:space="preserve"> З метою недопущення наявності заборгованості із заробітної плати перед працівниками комунальним підприємствам галузі надано фінансової підтримки на суму 92,1 </w:t>
      </w:r>
      <w:proofErr w:type="spellStart"/>
      <w:r w:rsidR="0077359F" w:rsidRPr="00516F1B">
        <w:rPr>
          <w:szCs w:val="28"/>
        </w:rPr>
        <w:t>млн.грн</w:t>
      </w:r>
      <w:proofErr w:type="spellEnd"/>
      <w:r w:rsidR="0077359F" w:rsidRPr="00516F1B">
        <w:rPr>
          <w:szCs w:val="28"/>
        </w:rPr>
        <w:t>.</w:t>
      </w:r>
    </w:p>
    <w:p w:rsidR="00ED3444" w:rsidRPr="00516F1B" w:rsidRDefault="002A6ECC" w:rsidP="00ED3444">
      <w:pPr>
        <w:ind w:firstLine="709"/>
        <w:jc w:val="both"/>
        <w:rPr>
          <w:szCs w:val="28"/>
        </w:rPr>
      </w:pPr>
      <w:r w:rsidRPr="00516F1B">
        <w:rPr>
          <w:szCs w:val="28"/>
        </w:rPr>
        <w:t xml:space="preserve">Витрати, пов’язані з </w:t>
      </w:r>
      <w:r w:rsidR="003334F6" w:rsidRPr="00516F1B">
        <w:rPr>
          <w:szCs w:val="28"/>
        </w:rPr>
        <w:t xml:space="preserve">реконструкцією, </w:t>
      </w:r>
      <w:r w:rsidRPr="00516F1B">
        <w:rPr>
          <w:szCs w:val="28"/>
        </w:rPr>
        <w:t xml:space="preserve">ремонтом та </w:t>
      </w:r>
      <w:r w:rsidR="00ED3444" w:rsidRPr="00516F1B">
        <w:rPr>
          <w:szCs w:val="28"/>
        </w:rPr>
        <w:t>утримання</w:t>
      </w:r>
      <w:r w:rsidRPr="00516F1B">
        <w:rPr>
          <w:szCs w:val="28"/>
        </w:rPr>
        <w:t xml:space="preserve">м </w:t>
      </w:r>
      <w:r w:rsidR="003334F6" w:rsidRPr="00516F1B">
        <w:rPr>
          <w:szCs w:val="28"/>
        </w:rPr>
        <w:t xml:space="preserve">автомобільних </w:t>
      </w:r>
      <w:r w:rsidRPr="00516F1B">
        <w:rPr>
          <w:szCs w:val="28"/>
        </w:rPr>
        <w:t>дор</w:t>
      </w:r>
      <w:r w:rsidR="003334F6" w:rsidRPr="00516F1B">
        <w:rPr>
          <w:szCs w:val="28"/>
        </w:rPr>
        <w:t>іг</w:t>
      </w:r>
      <w:r w:rsidRPr="00516F1B">
        <w:rPr>
          <w:szCs w:val="28"/>
        </w:rPr>
        <w:t>, склали</w:t>
      </w:r>
      <w:r w:rsidR="00ED3444" w:rsidRPr="00516F1B">
        <w:rPr>
          <w:szCs w:val="28"/>
        </w:rPr>
        <w:t xml:space="preserve"> 76,7 </w:t>
      </w:r>
      <w:proofErr w:type="spellStart"/>
      <w:r w:rsidR="00ED3444" w:rsidRPr="00516F1B">
        <w:rPr>
          <w:szCs w:val="28"/>
        </w:rPr>
        <w:t>млн.грн</w:t>
      </w:r>
      <w:proofErr w:type="spellEnd"/>
      <w:r w:rsidR="00ED3444" w:rsidRPr="00516F1B">
        <w:rPr>
          <w:szCs w:val="28"/>
        </w:rPr>
        <w:t xml:space="preserve">., або </w:t>
      </w:r>
      <w:r w:rsidRPr="00516F1B">
        <w:rPr>
          <w:szCs w:val="28"/>
        </w:rPr>
        <w:t>56</w:t>
      </w:r>
      <w:r w:rsidR="00ED3444" w:rsidRPr="00516F1B">
        <w:rPr>
          <w:szCs w:val="28"/>
        </w:rPr>
        <w:t xml:space="preserve"> відсотків</w:t>
      </w:r>
      <w:r w:rsidRPr="00516F1B">
        <w:rPr>
          <w:szCs w:val="28"/>
        </w:rPr>
        <w:t xml:space="preserve"> річних призначень</w:t>
      </w:r>
      <w:r w:rsidR="00ED3444" w:rsidRPr="00516F1B">
        <w:rPr>
          <w:szCs w:val="28"/>
        </w:rPr>
        <w:t>.</w:t>
      </w:r>
      <w:r w:rsidRPr="00516F1B">
        <w:rPr>
          <w:szCs w:val="28"/>
        </w:rPr>
        <w:t xml:space="preserve"> </w:t>
      </w:r>
      <w:r w:rsidR="007D08CA" w:rsidRPr="00516F1B">
        <w:rPr>
          <w:szCs w:val="28"/>
        </w:rPr>
        <w:t xml:space="preserve">На виконання робіт </w:t>
      </w:r>
      <w:r w:rsidR="00ED3444" w:rsidRPr="00516F1B">
        <w:rPr>
          <w:szCs w:val="28"/>
        </w:rPr>
        <w:t xml:space="preserve">по поточному ремонту прибудинкових територій та внутрішньо-квартальних доріг </w:t>
      </w:r>
      <w:r w:rsidR="007D08CA" w:rsidRPr="00516F1B">
        <w:rPr>
          <w:szCs w:val="28"/>
        </w:rPr>
        <w:t xml:space="preserve">використано 12,1 </w:t>
      </w:r>
      <w:proofErr w:type="spellStart"/>
      <w:r w:rsidR="007D08CA" w:rsidRPr="00516F1B">
        <w:rPr>
          <w:szCs w:val="28"/>
        </w:rPr>
        <w:t>млн.грн</w:t>
      </w:r>
      <w:proofErr w:type="spellEnd"/>
      <w:r w:rsidR="007D08CA" w:rsidRPr="00516F1B">
        <w:rPr>
          <w:szCs w:val="28"/>
        </w:rPr>
        <w:t xml:space="preserve">., що становить 41,0 відсоток річного плану. </w:t>
      </w:r>
    </w:p>
    <w:p w:rsidR="003B6E8D" w:rsidRPr="00A855F5" w:rsidRDefault="003334F6" w:rsidP="003B6E8D">
      <w:pPr>
        <w:ind w:firstLine="709"/>
        <w:jc w:val="both"/>
        <w:rPr>
          <w:szCs w:val="28"/>
        </w:rPr>
      </w:pPr>
      <w:r w:rsidRPr="00516F1B">
        <w:rPr>
          <w:szCs w:val="28"/>
        </w:rPr>
        <w:t xml:space="preserve">На </w:t>
      </w:r>
      <w:r w:rsidR="003B6E8D" w:rsidRPr="00516F1B">
        <w:rPr>
          <w:szCs w:val="28"/>
        </w:rPr>
        <w:t xml:space="preserve">капітальний ремонт житлового фонду </w:t>
      </w:r>
      <w:r w:rsidRPr="00516F1B">
        <w:rPr>
          <w:szCs w:val="28"/>
        </w:rPr>
        <w:t>освоєно 137,4 </w:t>
      </w:r>
      <w:proofErr w:type="spellStart"/>
      <w:r w:rsidRPr="00516F1B">
        <w:rPr>
          <w:szCs w:val="28"/>
        </w:rPr>
        <w:t>млн.грн</w:t>
      </w:r>
      <w:proofErr w:type="spellEnd"/>
      <w:r w:rsidRPr="00516F1B">
        <w:rPr>
          <w:szCs w:val="28"/>
        </w:rPr>
        <w:t>.</w:t>
      </w:r>
      <w:r w:rsidR="001B7A59" w:rsidRPr="00516F1B">
        <w:rPr>
          <w:szCs w:val="28"/>
        </w:rPr>
        <w:t xml:space="preserve"> або</w:t>
      </w:r>
      <w:r w:rsidR="003B6E8D" w:rsidRPr="00516F1B">
        <w:rPr>
          <w:szCs w:val="28"/>
        </w:rPr>
        <w:t xml:space="preserve"> 63,1</w:t>
      </w:r>
      <w:r w:rsidR="001B7A59" w:rsidRPr="00516F1B">
        <w:rPr>
          <w:szCs w:val="28"/>
        </w:rPr>
        <w:t> </w:t>
      </w:r>
      <w:r w:rsidR="003B6E8D" w:rsidRPr="00516F1B">
        <w:rPr>
          <w:szCs w:val="28"/>
        </w:rPr>
        <w:t>відсотка</w:t>
      </w:r>
      <w:r w:rsidR="001B7A59" w:rsidRPr="00516F1B">
        <w:rPr>
          <w:szCs w:val="28"/>
        </w:rPr>
        <w:t xml:space="preserve"> річних призначень</w:t>
      </w:r>
      <w:r w:rsidR="007D0311" w:rsidRPr="007D0311">
        <w:rPr>
          <w:szCs w:val="28"/>
        </w:rPr>
        <w:t xml:space="preserve">. Кошти </w:t>
      </w:r>
      <w:r w:rsidR="007D0311">
        <w:rPr>
          <w:szCs w:val="28"/>
        </w:rPr>
        <w:t xml:space="preserve">спрямовувались на ремонт покрівель, </w:t>
      </w:r>
      <w:r w:rsidR="00B45D70">
        <w:rPr>
          <w:szCs w:val="28"/>
        </w:rPr>
        <w:t xml:space="preserve">ліфтів, </w:t>
      </w:r>
      <w:r w:rsidR="00B50E1D">
        <w:rPr>
          <w:szCs w:val="28"/>
        </w:rPr>
        <w:t xml:space="preserve">інженерних мереж </w:t>
      </w:r>
      <w:proofErr w:type="spellStart"/>
      <w:r w:rsidR="00B50E1D">
        <w:rPr>
          <w:szCs w:val="28"/>
        </w:rPr>
        <w:t>водо-</w:t>
      </w:r>
      <w:proofErr w:type="spellEnd"/>
      <w:r w:rsidR="00B50E1D">
        <w:rPr>
          <w:szCs w:val="28"/>
        </w:rPr>
        <w:t xml:space="preserve">, теплопостачання, </w:t>
      </w:r>
      <w:proofErr w:type="spellStart"/>
      <w:r w:rsidR="00B50E1D">
        <w:rPr>
          <w:szCs w:val="28"/>
        </w:rPr>
        <w:t>електроживлячих</w:t>
      </w:r>
      <w:proofErr w:type="spellEnd"/>
      <w:r w:rsidR="00B50E1D">
        <w:rPr>
          <w:szCs w:val="28"/>
        </w:rPr>
        <w:t xml:space="preserve"> стояків, </w:t>
      </w:r>
      <w:r w:rsidR="007D0311">
        <w:rPr>
          <w:szCs w:val="28"/>
        </w:rPr>
        <w:t xml:space="preserve">вибіркові ремонти житлових будинків, </w:t>
      </w:r>
      <w:r w:rsidR="00B45D70">
        <w:rPr>
          <w:szCs w:val="28"/>
        </w:rPr>
        <w:t xml:space="preserve">встановлення лічильників </w:t>
      </w:r>
      <w:r w:rsidR="00FF470D">
        <w:rPr>
          <w:szCs w:val="28"/>
        </w:rPr>
        <w:t xml:space="preserve">теплової енергії </w:t>
      </w:r>
      <w:r w:rsidR="007D0311">
        <w:rPr>
          <w:szCs w:val="28"/>
        </w:rPr>
        <w:t xml:space="preserve">та інше. </w:t>
      </w:r>
    </w:p>
    <w:p w:rsidR="00A855F5" w:rsidRDefault="003B6E8D" w:rsidP="00646512">
      <w:pPr>
        <w:ind w:firstLine="709"/>
        <w:jc w:val="both"/>
        <w:rPr>
          <w:szCs w:val="28"/>
        </w:rPr>
      </w:pPr>
      <w:r w:rsidRPr="007D0311">
        <w:rPr>
          <w:szCs w:val="28"/>
        </w:rPr>
        <w:lastRenderedPageBreak/>
        <w:t xml:space="preserve">По будівництву та реконструкції об’єктів житлово-комунального господарства використано </w:t>
      </w:r>
      <w:r w:rsidR="001030E3">
        <w:rPr>
          <w:szCs w:val="28"/>
        </w:rPr>
        <w:t xml:space="preserve">36,0 </w:t>
      </w:r>
      <w:proofErr w:type="spellStart"/>
      <w:r w:rsidRPr="007D0311">
        <w:rPr>
          <w:szCs w:val="28"/>
        </w:rPr>
        <w:t>млн.грн</w:t>
      </w:r>
      <w:proofErr w:type="spellEnd"/>
      <w:r w:rsidRPr="007D0311">
        <w:rPr>
          <w:szCs w:val="28"/>
        </w:rPr>
        <w:t>. або 3</w:t>
      </w:r>
      <w:r w:rsidR="001030E3">
        <w:rPr>
          <w:szCs w:val="28"/>
        </w:rPr>
        <w:t>4,5</w:t>
      </w:r>
      <w:r w:rsidRPr="007D0311">
        <w:rPr>
          <w:szCs w:val="28"/>
        </w:rPr>
        <w:t xml:space="preserve"> відсотка річних кошторисних призначень</w:t>
      </w:r>
      <w:r w:rsidR="00A855F5">
        <w:rPr>
          <w:szCs w:val="28"/>
        </w:rPr>
        <w:t>, з яких на будівництво та реконструкцію мереж зовнішнього освітлення та світлофорних об’єктів – 5,0 </w:t>
      </w:r>
      <w:proofErr w:type="spellStart"/>
      <w:r w:rsidR="00A855F5">
        <w:rPr>
          <w:szCs w:val="28"/>
        </w:rPr>
        <w:t>млн.грн</w:t>
      </w:r>
      <w:proofErr w:type="spellEnd"/>
      <w:r w:rsidR="00A855F5">
        <w:rPr>
          <w:szCs w:val="28"/>
        </w:rPr>
        <w:t xml:space="preserve">., реконструкцію житлових будинків – 6,7 </w:t>
      </w:r>
      <w:proofErr w:type="spellStart"/>
      <w:r w:rsidR="00A855F5">
        <w:rPr>
          <w:szCs w:val="28"/>
        </w:rPr>
        <w:t>млн.грн</w:t>
      </w:r>
      <w:proofErr w:type="spellEnd"/>
      <w:r w:rsidR="00A855F5">
        <w:rPr>
          <w:szCs w:val="28"/>
        </w:rPr>
        <w:t xml:space="preserve">., </w:t>
      </w:r>
      <w:r w:rsidR="00C63699">
        <w:rPr>
          <w:szCs w:val="28"/>
        </w:rPr>
        <w:t>магістральних теплових мереж, хлораторної станції – 8,4 </w:t>
      </w:r>
      <w:proofErr w:type="spellStart"/>
      <w:r w:rsidR="00C63699">
        <w:rPr>
          <w:szCs w:val="28"/>
        </w:rPr>
        <w:t>млн.грн</w:t>
      </w:r>
      <w:proofErr w:type="spellEnd"/>
      <w:r w:rsidR="00C63699">
        <w:rPr>
          <w:szCs w:val="28"/>
        </w:rPr>
        <w:t xml:space="preserve">., </w:t>
      </w:r>
      <w:r w:rsidR="00A855F5">
        <w:rPr>
          <w:szCs w:val="28"/>
        </w:rPr>
        <w:t xml:space="preserve">будівництво та реконструкцію зливових </w:t>
      </w:r>
      <w:proofErr w:type="spellStart"/>
      <w:r w:rsidR="00A855F5">
        <w:rPr>
          <w:szCs w:val="28"/>
        </w:rPr>
        <w:t>каналізацій</w:t>
      </w:r>
      <w:proofErr w:type="spellEnd"/>
      <w:r w:rsidR="00A855F5">
        <w:rPr>
          <w:szCs w:val="28"/>
        </w:rPr>
        <w:t xml:space="preserve"> – 2,0 </w:t>
      </w:r>
      <w:proofErr w:type="spellStart"/>
      <w:r w:rsidR="00A855F5">
        <w:rPr>
          <w:szCs w:val="28"/>
        </w:rPr>
        <w:t>млн.грн</w:t>
      </w:r>
      <w:proofErr w:type="spellEnd"/>
      <w:r w:rsidR="00A855F5">
        <w:rPr>
          <w:szCs w:val="28"/>
        </w:rPr>
        <w:t xml:space="preserve">., вулиць, доріг, тротуарів, площ, парків, дитячих майданчиків – </w:t>
      </w:r>
      <w:r w:rsidR="00C63699">
        <w:rPr>
          <w:szCs w:val="28"/>
        </w:rPr>
        <w:t>11,3</w:t>
      </w:r>
      <w:r w:rsidR="00A855F5">
        <w:rPr>
          <w:szCs w:val="28"/>
        </w:rPr>
        <w:t> </w:t>
      </w:r>
      <w:proofErr w:type="spellStart"/>
      <w:r w:rsidR="00A855F5">
        <w:rPr>
          <w:szCs w:val="28"/>
        </w:rPr>
        <w:t>млн.грн</w:t>
      </w:r>
      <w:proofErr w:type="spellEnd"/>
      <w:r w:rsidR="00A855F5">
        <w:rPr>
          <w:szCs w:val="28"/>
        </w:rPr>
        <w:t xml:space="preserve">. </w:t>
      </w:r>
      <w:r w:rsidR="00C63699">
        <w:rPr>
          <w:szCs w:val="28"/>
        </w:rPr>
        <w:t>тощо.</w:t>
      </w:r>
    </w:p>
    <w:p w:rsidR="00646512" w:rsidRDefault="0077359F" w:rsidP="00646512">
      <w:pPr>
        <w:ind w:firstLine="709"/>
        <w:jc w:val="both"/>
        <w:rPr>
          <w:szCs w:val="28"/>
        </w:rPr>
      </w:pPr>
      <w:r w:rsidRPr="0035001A">
        <w:rPr>
          <w:szCs w:val="28"/>
        </w:rPr>
        <w:t>Н</w:t>
      </w:r>
      <w:r w:rsidR="00E10A38" w:rsidRPr="0035001A">
        <w:rPr>
          <w:szCs w:val="28"/>
        </w:rPr>
        <w:t xml:space="preserve">а придбання </w:t>
      </w:r>
      <w:r w:rsidR="00BD20DC" w:rsidRPr="0035001A">
        <w:rPr>
          <w:szCs w:val="28"/>
        </w:rPr>
        <w:t xml:space="preserve">спеціальної техніки та обладнання комунальних підприємств міста </w:t>
      </w:r>
      <w:r w:rsidR="00C63699">
        <w:rPr>
          <w:szCs w:val="28"/>
        </w:rPr>
        <w:t xml:space="preserve">житлово-комунальної галузі </w:t>
      </w:r>
      <w:r w:rsidRPr="0035001A">
        <w:rPr>
          <w:szCs w:val="28"/>
        </w:rPr>
        <w:t>використано</w:t>
      </w:r>
      <w:r w:rsidR="00BD20DC" w:rsidRPr="0035001A">
        <w:rPr>
          <w:szCs w:val="28"/>
        </w:rPr>
        <w:t xml:space="preserve"> </w:t>
      </w:r>
      <w:r w:rsidR="00C63699">
        <w:rPr>
          <w:szCs w:val="28"/>
        </w:rPr>
        <w:t>12,6</w:t>
      </w:r>
      <w:r w:rsidR="00BD20DC" w:rsidRPr="0035001A">
        <w:rPr>
          <w:szCs w:val="28"/>
        </w:rPr>
        <w:t> </w:t>
      </w:r>
      <w:proofErr w:type="spellStart"/>
      <w:r w:rsidR="00BD20DC" w:rsidRPr="0035001A">
        <w:rPr>
          <w:szCs w:val="28"/>
        </w:rPr>
        <w:t>млн.грн</w:t>
      </w:r>
      <w:proofErr w:type="spellEnd"/>
      <w:r w:rsidR="00BD20DC" w:rsidRPr="0035001A">
        <w:rPr>
          <w:szCs w:val="28"/>
        </w:rPr>
        <w:t>.</w:t>
      </w:r>
      <w:r w:rsidRPr="0035001A">
        <w:rPr>
          <w:szCs w:val="28"/>
        </w:rPr>
        <w:t xml:space="preserve"> або 2</w:t>
      </w:r>
      <w:r w:rsidR="00C63699">
        <w:rPr>
          <w:szCs w:val="28"/>
        </w:rPr>
        <w:t>0,9</w:t>
      </w:r>
      <w:r w:rsidRPr="0035001A">
        <w:rPr>
          <w:szCs w:val="28"/>
        </w:rPr>
        <w:t> відсотка</w:t>
      </w:r>
      <w:r w:rsidR="00C63699">
        <w:rPr>
          <w:szCs w:val="28"/>
        </w:rPr>
        <w:t xml:space="preserve"> планових показників</w:t>
      </w:r>
      <w:r w:rsidRPr="0035001A">
        <w:rPr>
          <w:szCs w:val="28"/>
        </w:rPr>
        <w:t>.</w:t>
      </w:r>
    </w:p>
    <w:p w:rsidR="000C7A54" w:rsidRPr="0035001A" w:rsidRDefault="000C7A54" w:rsidP="00646512">
      <w:pPr>
        <w:ind w:firstLine="709"/>
        <w:jc w:val="both"/>
        <w:rPr>
          <w:szCs w:val="28"/>
        </w:rPr>
      </w:pPr>
      <w:r>
        <w:rPr>
          <w:szCs w:val="28"/>
        </w:rPr>
        <w:t xml:space="preserve">За рахунок відповідної субвенції з державного бюджету проведено видатків на погашення різниці в тарифах на теплову енергію в сумі 0,8 </w:t>
      </w:r>
      <w:proofErr w:type="spellStart"/>
      <w:r>
        <w:rPr>
          <w:szCs w:val="28"/>
        </w:rPr>
        <w:t>млн.грн</w:t>
      </w:r>
      <w:proofErr w:type="spellEnd"/>
      <w:r>
        <w:rPr>
          <w:szCs w:val="28"/>
        </w:rPr>
        <w:t>.</w:t>
      </w:r>
    </w:p>
    <w:p w:rsidR="00085F30" w:rsidRPr="0035001A" w:rsidRDefault="000178AE" w:rsidP="00BD20DC">
      <w:pPr>
        <w:ind w:firstLine="708"/>
        <w:jc w:val="both"/>
        <w:rPr>
          <w:szCs w:val="28"/>
        </w:rPr>
      </w:pPr>
      <w:r w:rsidRPr="0035001A">
        <w:rPr>
          <w:szCs w:val="28"/>
        </w:rPr>
        <w:t>Н</w:t>
      </w:r>
      <w:r w:rsidR="0077359F" w:rsidRPr="0035001A">
        <w:rPr>
          <w:szCs w:val="28"/>
        </w:rPr>
        <w:t xml:space="preserve">а </w:t>
      </w:r>
      <w:r w:rsidR="007D4E48" w:rsidRPr="0035001A">
        <w:rPr>
          <w:szCs w:val="28"/>
        </w:rPr>
        <w:t>забезпечення функціонування</w:t>
      </w:r>
      <w:r w:rsidR="0077359F" w:rsidRPr="0035001A">
        <w:rPr>
          <w:szCs w:val="28"/>
        </w:rPr>
        <w:t xml:space="preserve"> та розвиток </w:t>
      </w:r>
      <w:r w:rsidR="007D4E48" w:rsidRPr="0035001A">
        <w:rPr>
          <w:szCs w:val="28"/>
        </w:rPr>
        <w:t xml:space="preserve">комунальних підприємств </w:t>
      </w:r>
      <w:r w:rsidR="007D4E48" w:rsidRPr="0035001A">
        <w:rPr>
          <w:b/>
          <w:szCs w:val="28"/>
        </w:rPr>
        <w:t>транспортної галузі</w:t>
      </w:r>
      <w:r w:rsidR="007D4E48" w:rsidRPr="0035001A">
        <w:rPr>
          <w:szCs w:val="28"/>
        </w:rPr>
        <w:t xml:space="preserve"> спрямовано 53,9 </w:t>
      </w:r>
      <w:proofErr w:type="spellStart"/>
      <w:r w:rsidR="007D4E48" w:rsidRPr="0035001A">
        <w:rPr>
          <w:szCs w:val="28"/>
        </w:rPr>
        <w:t>млн.грн</w:t>
      </w:r>
      <w:proofErr w:type="spellEnd"/>
      <w:r w:rsidR="007D4E48" w:rsidRPr="0035001A">
        <w:rPr>
          <w:szCs w:val="28"/>
        </w:rPr>
        <w:t>., що становить 46,5 відсотк</w:t>
      </w:r>
      <w:r w:rsidR="00B25D38">
        <w:rPr>
          <w:szCs w:val="28"/>
        </w:rPr>
        <w:t>а</w:t>
      </w:r>
      <w:r w:rsidR="007D4E48" w:rsidRPr="0035001A">
        <w:rPr>
          <w:szCs w:val="28"/>
        </w:rPr>
        <w:t xml:space="preserve"> річного плану. За рахунок коштів бюджету міста надано фінансової підтримки </w:t>
      </w:r>
      <w:r w:rsidR="00C4282C" w:rsidRPr="0035001A">
        <w:rPr>
          <w:szCs w:val="28"/>
        </w:rPr>
        <w:t>ЗКПМЕТ «</w:t>
      </w:r>
      <w:proofErr w:type="spellStart"/>
      <w:r w:rsidR="00C4282C" w:rsidRPr="0035001A">
        <w:rPr>
          <w:szCs w:val="28"/>
        </w:rPr>
        <w:t>Запоріжелектротранс</w:t>
      </w:r>
      <w:proofErr w:type="spellEnd"/>
      <w:r w:rsidR="00C4282C" w:rsidRPr="0035001A">
        <w:rPr>
          <w:szCs w:val="28"/>
        </w:rPr>
        <w:t xml:space="preserve">» </w:t>
      </w:r>
      <w:r w:rsidR="007D4E48" w:rsidRPr="0035001A">
        <w:rPr>
          <w:szCs w:val="28"/>
        </w:rPr>
        <w:t xml:space="preserve">та </w:t>
      </w:r>
      <w:proofErr w:type="spellStart"/>
      <w:r w:rsidR="007D4E48" w:rsidRPr="0035001A">
        <w:rPr>
          <w:szCs w:val="28"/>
        </w:rPr>
        <w:t>КП</w:t>
      </w:r>
      <w:proofErr w:type="spellEnd"/>
      <w:r w:rsidR="007D4E48" w:rsidRPr="0035001A">
        <w:rPr>
          <w:szCs w:val="28"/>
        </w:rPr>
        <w:t xml:space="preserve"> «Міжнародний аеропорт Запоріжжя» в обсязі 39,2 </w:t>
      </w:r>
      <w:proofErr w:type="spellStart"/>
      <w:r w:rsidR="007D4E48" w:rsidRPr="0035001A">
        <w:rPr>
          <w:szCs w:val="28"/>
        </w:rPr>
        <w:t>млн.грн</w:t>
      </w:r>
      <w:proofErr w:type="spellEnd"/>
      <w:r w:rsidR="007D4E48" w:rsidRPr="0035001A">
        <w:rPr>
          <w:szCs w:val="28"/>
        </w:rPr>
        <w:t xml:space="preserve">. </w:t>
      </w:r>
    </w:p>
    <w:p w:rsidR="00BD20DC" w:rsidRPr="00EC140C" w:rsidRDefault="007D4E48" w:rsidP="00BD20DC">
      <w:pPr>
        <w:ind w:firstLine="708"/>
        <w:jc w:val="both"/>
        <w:rPr>
          <w:szCs w:val="28"/>
        </w:rPr>
      </w:pPr>
      <w:r w:rsidRPr="00EC140C">
        <w:rPr>
          <w:szCs w:val="28"/>
        </w:rPr>
        <w:t>Видатки розвитку склали 14,7 </w:t>
      </w:r>
      <w:proofErr w:type="spellStart"/>
      <w:r w:rsidRPr="00EC140C">
        <w:rPr>
          <w:szCs w:val="28"/>
        </w:rPr>
        <w:t>млн.грн</w:t>
      </w:r>
      <w:proofErr w:type="spellEnd"/>
      <w:r w:rsidRPr="00EC140C">
        <w:rPr>
          <w:szCs w:val="28"/>
        </w:rPr>
        <w:t>.</w:t>
      </w:r>
      <w:r w:rsidR="00EC140C" w:rsidRPr="00EC140C">
        <w:rPr>
          <w:szCs w:val="28"/>
        </w:rPr>
        <w:t xml:space="preserve"> або 23,0 відсотка річних планових показників, в тому числі проведено попередню оплату для </w:t>
      </w:r>
      <w:r w:rsidR="00BD20DC" w:rsidRPr="00EC140C">
        <w:rPr>
          <w:szCs w:val="28"/>
        </w:rPr>
        <w:t xml:space="preserve">придбання </w:t>
      </w:r>
      <w:r w:rsidR="009A0B5D" w:rsidRPr="00EC140C">
        <w:rPr>
          <w:szCs w:val="28"/>
        </w:rPr>
        <w:t>тролейбусів</w:t>
      </w:r>
      <w:r w:rsidR="00EC140C" w:rsidRPr="00EC140C">
        <w:rPr>
          <w:szCs w:val="28"/>
        </w:rPr>
        <w:t xml:space="preserve"> на суму </w:t>
      </w:r>
      <w:r w:rsidR="00C4282C" w:rsidRPr="00EC140C">
        <w:rPr>
          <w:szCs w:val="28"/>
        </w:rPr>
        <w:t xml:space="preserve">11,9 </w:t>
      </w:r>
      <w:proofErr w:type="spellStart"/>
      <w:r w:rsidR="00C4282C" w:rsidRPr="00EC140C">
        <w:rPr>
          <w:szCs w:val="28"/>
        </w:rPr>
        <w:t>млн.грн</w:t>
      </w:r>
      <w:proofErr w:type="spellEnd"/>
      <w:r w:rsidR="00C4282C" w:rsidRPr="00EC140C">
        <w:rPr>
          <w:szCs w:val="28"/>
        </w:rPr>
        <w:t>.</w:t>
      </w:r>
      <w:r w:rsidR="00EC140C" w:rsidRPr="00EC140C">
        <w:rPr>
          <w:szCs w:val="28"/>
        </w:rPr>
        <w:t>, н</w:t>
      </w:r>
      <w:r w:rsidR="009A0B5D" w:rsidRPr="00EC140C">
        <w:rPr>
          <w:szCs w:val="28"/>
        </w:rPr>
        <w:t xml:space="preserve">а </w:t>
      </w:r>
      <w:r w:rsidR="00C4282C" w:rsidRPr="00EC140C">
        <w:rPr>
          <w:szCs w:val="28"/>
        </w:rPr>
        <w:t>технічне переоснащення</w:t>
      </w:r>
      <w:r w:rsidR="009A0B5D" w:rsidRPr="00EC140C">
        <w:rPr>
          <w:szCs w:val="28"/>
        </w:rPr>
        <w:t xml:space="preserve"> </w:t>
      </w:r>
      <w:proofErr w:type="spellStart"/>
      <w:r w:rsidR="009A0B5D" w:rsidRPr="00EC140C">
        <w:rPr>
          <w:szCs w:val="28"/>
        </w:rPr>
        <w:t>КП</w:t>
      </w:r>
      <w:proofErr w:type="spellEnd"/>
      <w:r w:rsidR="009A0B5D" w:rsidRPr="00EC140C">
        <w:rPr>
          <w:szCs w:val="28"/>
        </w:rPr>
        <w:t xml:space="preserve"> «Міжнародний аеропорт Запоріжжя» </w:t>
      </w:r>
      <w:r w:rsidR="00085F30" w:rsidRPr="00EC140C">
        <w:rPr>
          <w:szCs w:val="28"/>
        </w:rPr>
        <w:t>витрачено 2,0</w:t>
      </w:r>
      <w:r w:rsidR="0035001A" w:rsidRPr="00EC140C">
        <w:rPr>
          <w:szCs w:val="28"/>
        </w:rPr>
        <w:t> </w:t>
      </w:r>
      <w:proofErr w:type="spellStart"/>
      <w:r w:rsidR="00085F30" w:rsidRPr="00EC140C">
        <w:rPr>
          <w:szCs w:val="28"/>
        </w:rPr>
        <w:t>млн.грн</w:t>
      </w:r>
      <w:proofErr w:type="spellEnd"/>
      <w:r w:rsidR="00085F30" w:rsidRPr="00EC140C">
        <w:rPr>
          <w:szCs w:val="28"/>
        </w:rPr>
        <w:t xml:space="preserve">. </w:t>
      </w:r>
    </w:p>
    <w:p w:rsidR="00FD5E63" w:rsidRPr="0035001A" w:rsidRDefault="00FD5E63" w:rsidP="00FD5E63">
      <w:pPr>
        <w:ind w:firstLine="709"/>
        <w:jc w:val="both"/>
        <w:rPr>
          <w:szCs w:val="28"/>
        </w:rPr>
      </w:pPr>
    </w:p>
    <w:p w:rsidR="00817AD6" w:rsidRPr="0035001A" w:rsidRDefault="00817AD6" w:rsidP="00817AD6">
      <w:pPr>
        <w:shd w:val="clear" w:color="auto" w:fill="FFFFFF"/>
        <w:ind w:firstLine="720"/>
        <w:contextualSpacing/>
        <w:jc w:val="both"/>
        <w:rPr>
          <w:szCs w:val="28"/>
        </w:rPr>
      </w:pPr>
      <w:r w:rsidRPr="0035001A">
        <w:rPr>
          <w:szCs w:val="28"/>
        </w:rPr>
        <w:t>Кредиторська заборгованість бюджету міста на 01.10.2015 склала 35,9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в тому числі за загальним фондом 33,6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., (з яких за рахунок субвенцій з державного бюджету – 31,4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.), спеціальним – 2,3 </w:t>
      </w:r>
      <w:proofErr w:type="spellStart"/>
      <w:r w:rsidRPr="0035001A">
        <w:rPr>
          <w:szCs w:val="28"/>
        </w:rPr>
        <w:t>млн.грн</w:t>
      </w:r>
      <w:proofErr w:type="spellEnd"/>
      <w:r w:rsidRPr="0035001A">
        <w:rPr>
          <w:szCs w:val="28"/>
        </w:rPr>
        <w:t>. Основними причинами наявної заборгованості є реєстрація фінансових зобов’язань розпорядниками та одержувачами бюджетних коштів в останні робочі дні місяця та недостатній обсяг надходження коштів субвенції з державного бюджету.</w:t>
      </w:r>
    </w:p>
    <w:p w:rsidR="00761FB1" w:rsidRPr="00CB3111" w:rsidRDefault="00761FB1" w:rsidP="00761FB1">
      <w:pPr>
        <w:ind w:firstLine="709"/>
        <w:contextualSpacing/>
        <w:jc w:val="both"/>
        <w:rPr>
          <w:color w:val="0D0D0D" w:themeColor="text1" w:themeTint="F2"/>
          <w:sz w:val="27"/>
          <w:szCs w:val="27"/>
        </w:rPr>
      </w:pPr>
    </w:p>
    <w:p w:rsidR="00761FB1" w:rsidRPr="004D5631" w:rsidRDefault="00761FB1" w:rsidP="00761FB1">
      <w:pPr>
        <w:ind w:firstLine="709"/>
        <w:contextualSpacing/>
        <w:jc w:val="both"/>
        <w:rPr>
          <w:sz w:val="27"/>
          <w:szCs w:val="27"/>
        </w:rPr>
      </w:pPr>
    </w:p>
    <w:p w:rsidR="004D5631" w:rsidRPr="004D5631" w:rsidRDefault="00761FB1" w:rsidP="00761FB1">
      <w:pPr>
        <w:contextualSpacing/>
        <w:jc w:val="both"/>
        <w:rPr>
          <w:color w:val="FFFFFF" w:themeColor="background1"/>
          <w:szCs w:val="28"/>
        </w:rPr>
      </w:pPr>
      <w:r w:rsidRPr="004D5631">
        <w:rPr>
          <w:color w:val="FFFFFF" w:themeColor="background1"/>
          <w:szCs w:val="28"/>
        </w:rPr>
        <w:t>Заступник директор департаменту</w:t>
      </w:r>
    </w:p>
    <w:p w:rsidR="004D5631" w:rsidRPr="004D5631" w:rsidRDefault="00761FB1" w:rsidP="00761FB1">
      <w:pPr>
        <w:contextualSpacing/>
        <w:jc w:val="both"/>
        <w:rPr>
          <w:color w:val="FFFFFF" w:themeColor="background1"/>
          <w:szCs w:val="28"/>
        </w:rPr>
      </w:pPr>
      <w:r w:rsidRPr="004D5631">
        <w:rPr>
          <w:color w:val="FFFFFF" w:themeColor="background1"/>
          <w:szCs w:val="28"/>
        </w:rPr>
        <w:t>фінансової та бюджетної політики</w:t>
      </w:r>
    </w:p>
    <w:p w:rsidR="009A0B5D" w:rsidRPr="004D5631" w:rsidRDefault="00761FB1" w:rsidP="00761FB1">
      <w:pPr>
        <w:contextualSpacing/>
        <w:jc w:val="both"/>
        <w:rPr>
          <w:color w:val="FFFFFF" w:themeColor="background1"/>
          <w:szCs w:val="28"/>
        </w:rPr>
      </w:pPr>
      <w:r w:rsidRPr="004D5631">
        <w:rPr>
          <w:color w:val="FFFFFF" w:themeColor="background1"/>
          <w:szCs w:val="28"/>
        </w:rPr>
        <w:t>міської ради</w:t>
      </w:r>
      <w:r w:rsidR="00813FA7" w:rsidRPr="004D5631">
        <w:rPr>
          <w:color w:val="FFFFFF" w:themeColor="background1"/>
          <w:szCs w:val="28"/>
        </w:rPr>
        <w:t xml:space="preserve"> </w:t>
      </w:r>
      <w:r w:rsidRPr="004D5631">
        <w:rPr>
          <w:color w:val="FFFFFF" w:themeColor="background1"/>
          <w:szCs w:val="28"/>
        </w:rPr>
        <w:tab/>
      </w:r>
      <w:r w:rsidRPr="004D5631">
        <w:rPr>
          <w:color w:val="FFFFFF" w:themeColor="background1"/>
          <w:szCs w:val="28"/>
        </w:rPr>
        <w:tab/>
      </w:r>
      <w:r w:rsidRPr="004D5631">
        <w:rPr>
          <w:color w:val="FFFFFF" w:themeColor="background1"/>
          <w:szCs w:val="28"/>
        </w:rPr>
        <w:tab/>
      </w:r>
      <w:r w:rsidRPr="004D5631">
        <w:rPr>
          <w:color w:val="FFFFFF" w:themeColor="background1"/>
          <w:szCs w:val="28"/>
        </w:rPr>
        <w:tab/>
      </w:r>
      <w:r w:rsidRPr="004D5631">
        <w:rPr>
          <w:color w:val="FFFFFF" w:themeColor="background1"/>
          <w:szCs w:val="28"/>
        </w:rPr>
        <w:tab/>
      </w:r>
      <w:r w:rsidRPr="004D5631">
        <w:rPr>
          <w:color w:val="FFFFFF" w:themeColor="background1"/>
          <w:szCs w:val="28"/>
        </w:rPr>
        <w:tab/>
      </w:r>
      <w:r w:rsidR="004D5631" w:rsidRPr="004D5631">
        <w:rPr>
          <w:color w:val="FFFFFF" w:themeColor="background1"/>
          <w:szCs w:val="28"/>
        </w:rPr>
        <w:tab/>
      </w:r>
      <w:r w:rsidR="004D5631" w:rsidRPr="004D5631">
        <w:rPr>
          <w:color w:val="FFFFFF" w:themeColor="background1"/>
          <w:szCs w:val="28"/>
        </w:rPr>
        <w:tab/>
      </w:r>
      <w:r w:rsidR="004D5631" w:rsidRPr="004D5631">
        <w:rPr>
          <w:color w:val="FFFFFF" w:themeColor="background1"/>
          <w:szCs w:val="28"/>
        </w:rPr>
        <w:tab/>
        <w:t>В.В</w:t>
      </w:r>
      <w:r w:rsidRPr="004D5631">
        <w:rPr>
          <w:color w:val="FFFFFF" w:themeColor="background1"/>
          <w:szCs w:val="28"/>
        </w:rPr>
        <w:t>.</w:t>
      </w:r>
      <w:r w:rsidR="004D5631" w:rsidRPr="004D5631">
        <w:rPr>
          <w:color w:val="FFFFFF" w:themeColor="background1"/>
          <w:szCs w:val="28"/>
        </w:rPr>
        <w:t>Логвиненко</w:t>
      </w:r>
    </w:p>
    <w:sectPr w:rsidR="009A0B5D" w:rsidRPr="004D5631" w:rsidSect="0035001A">
      <w:headerReference w:type="default" r:id="rId11"/>
      <w:pgSz w:w="11906" w:h="16838"/>
      <w:pgMar w:top="709" w:right="424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EC" w:rsidRPr="0026544D" w:rsidRDefault="00DD6FEC" w:rsidP="0026544D">
      <w:pPr>
        <w:pStyle w:val="1"/>
        <w:rPr>
          <w:b w:val="0"/>
          <w:sz w:val="28"/>
        </w:rPr>
      </w:pPr>
      <w:r>
        <w:separator/>
      </w:r>
    </w:p>
  </w:endnote>
  <w:endnote w:type="continuationSeparator" w:id="1">
    <w:p w:rsidR="00DD6FEC" w:rsidRPr="0026544D" w:rsidRDefault="00DD6FEC" w:rsidP="0026544D">
      <w:pPr>
        <w:pStyle w:val="1"/>
        <w:rPr>
          <w:b w:val="0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EC" w:rsidRPr="0026544D" w:rsidRDefault="00DD6FEC" w:rsidP="0026544D">
      <w:pPr>
        <w:pStyle w:val="1"/>
        <w:rPr>
          <w:b w:val="0"/>
          <w:sz w:val="28"/>
        </w:rPr>
      </w:pPr>
      <w:r>
        <w:separator/>
      </w:r>
    </w:p>
  </w:footnote>
  <w:footnote w:type="continuationSeparator" w:id="1">
    <w:p w:rsidR="00DD6FEC" w:rsidRPr="0026544D" w:rsidRDefault="00DD6FEC" w:rsidP="0026544D">
      <w:pPr>
        <w:pStyle w:val="1"/>
        <w:rPr>
          <w:b w:val="0"/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805"/>
    </w:sdtPr>
    <w:sdtContent>
      <w:p w:rsidR="00DD6FEC" w:rsidRDefault="00B340B8">
        <w:pPr>
          <w:pStyle w:val="ac"/>
          <w:jc w:val="center"/>
        </w:pPr>
        <w:fldSimple w:instr=" PAGE   \* MERGEFORMAT ">
          <w:r w:rsidR="004D5631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E128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E147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9CAA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1F24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123841"/>
    <w:multiLevelType w:val="hybridMultilevel"/>
    <w:tmpl w:val="CD9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5B39"/>
    <w:multiLevelType w:val="hybridMultilevel"/>
    <w:tmpl w:val="5B764F38"/>
    <w:lvl w:ilvl="0" w:tplc="7214CD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E030B15"/>
    <w:multiLevelType w:val="hybridMultilevel"/>
    <w:tmpl w:val="213C4AA2"/>
    <w:lvl w:ilvl="0" w:tplc="14FC44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318C9"/>
    <w:multiLevelType w:val="hybridMultilevel"/>
    <w:tmpl w:val="F1889238"/>
    <w:lvl w:ilvl="0" w:tplc="3B8851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0B508B6"/>
    <w:multiLevelType w:val="hybridMultilevel"/>
    <w:tmpl w:val="358E10D0"/>
    <w:lvl w:ilvl="0" w:tplc="32868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75357D"/>
    <w:multiLevelType w:val="hybridMultilevel"/>
    <w:tmpl w:val="9816040E"/>
    <w:lvl w:ilvl="0" w:tplc="11540E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18E"/>
    <w:rsid w:val="000002E1"/>
    <w:rsid w:val="0000188D"/>
    <w:rsid w:val="00001D05"/>
    <w:rsid w:val="000025AD"/>
    <w:rsid w:val="000038DD"/>
    <w:rsid w:val="00006F5F"/>
    <w:rsid w:val="00010201"/>
    <w:rsid w:val="000108A7"/>
    <w:rsid w:val="00011C48"/>
    <w:rsid w:val="00012A39"/>
    <w:rsid w:val="000138E6"/>
    <w:rsid w:val="0001395B"/>
    <w:rsid w:val="000158E7"/>
    <w:rsid w:val="000162DC"/>
    <w:rsid w:val="000172E4"/>
    <w:rsid w:val="000178AE"/>
    <w:rsid w:val="000211CA"/>
    <w:rsid w:val="0002233C"/>
    <w:rsid w:val="00024B87"/>
    <w:rsid w:val="00024BF3"/>
    <w:rsid w:val="00030C89"/>
    <w:rsid w:val="00031B9B"/>
    <w:rsid w:val="00033A6B"/>
    <w:rsid w:val="00036FB5"/>
    <w:rsid w:val="0003724F"/>
    <w:rsid w:val="000404FF"/>
    <w:rsid w:val="00041138"/>
    <w:rsid w:val="000416AD"/>
    <w:rsid w:val="00041F70"/>
    <w:rsid w:val="00042523"/>
    <w:rsid w:val="00044D5F"/>
    <w:rsid w:val="00045BD9"/>
    <w:rsid w:val="00051B64"/>
    <w:rsid w:val="00052F9D"/>
    <w:rsid w:val="0005446B"/>
    <w:rsid w:val="00057F9B"/>
    <w:rsid w:val="00060A8A"/>
    <w:rsid w:val="00061A93"/>
    <w:rsid w:val="00062F00"/>
    <w:rsid w:val="000636D3"/>
    <w:rsid w:val="0006673E"/>
    <w:rsid w:val="0007063E"/>
    <w:rsid w:val="00071544"/>
    <w:rsid w:val="00071CA5"/>
    <w:rsid w:val="0007318A"/>
    <w:rsid w:val="00075743"/>
    <w:rsid w:val="000779EC"/>
    <w:rsid w:val="00080126"/>
    <w:rsid w:val="000809B8"/>
    <w:rsid w:val="00080F7D"/>
    <w:rsid w:val="00081080"/>
    <w:rsid w:val="00082D1A"/>
    <w:rsid w:val="00084127"/>
    <w:rsid w:val="00085F30"/>
    <w:rsid w:val="00085F81"/>
    <w:rsid w:val="0008676B"/>
    <w:rsid w:val="000902DC"/>
    <w:rsid w:val="00090C22"/>
    <w:rsid w:val="000A13D3"/>
    <w:rsid w:val="000A3F0B"/>
    <w:rsid w:val="000A5A5E"/>
    <w:rsid w:val="000A5F72"/>
    <w:rsid w:val="000A6A32"/>
    <w:rsid w:val="000A7257"/>
    <w:rsid w:val="000B224D"/>
    <w:rsid w:val="000B44F2"/>
    <w:rsid w:val="000B647C"/>
    <w:rsid w:val="000B72C6"/>
    <w:rsid w:val="000C0ED2"/>
    <w:rsid w:val="000C1C45"/>
    <w:rsid w:val="000C2451"/>
    <w:rsid w:val="000C2C95"/>
    <w:rsid w:val="000C318F"/>
    <w:rsid w:val="000C4984"/>
    <w:rsid w:val="000C77C9"/>
    <w:rsid w:val="000C7A54"/>
    <w:rsid w:val="000D0946"/>
    <w:rsid w:val="000D19D6"/>
    <w:rsid w:val="000D2476"/>
    <w:rsid w:val="000D439E"/>
    <w:rsid w:val="000D593F"/>
    <w:rsid w:val="000D7BB2"/>
    <w:rsid w:val="000E19B6"/>
    <w:rsid w:val="000E4A27"/>
    <w:rsid w:val="000E4D13"/>
    <w:rsid w:val="000E7457"/>
    <w:rsid w:val="000F010F"/>
    <w:rsid w:val="000F018E"/>
    <w:rsid w:val="000F1747"/>
    <w:rsid w:val="000F64A1"/>
    <w:rsid w:val="00100401"/>
    <w:rsid w:val="001030E3"/>
    <w:rsid w:val="0010349A"/>
    <w:rsid w:val="001040F6"/>
    <w:rsid w:val="00104DC2"/>
    <w:rsid w:val="00106E4F"/>
    <w:rsid w:val="001071B8"/>
    <w:rsid w:val="00112CFC"/>
    <w:rsid w:val="00115FAF"/>
    <w:rsid w:val="00116ADC"/>
    <w:rsid w:val="001217EE"/>
    <w:rsid w:val="00125DCD"/>
    <w:rsid w:val="00125EB6"/>
    <w:rsid w:val="001260F3"/>
    <w:rsid w:val="0012694D"/>
    <w:rsid w:val="001273F1"/>
    <w:rsid w:val="0012746B"/>
    <w:rsid w:val="00130380"/>
    <w:rsid w:val="001308A1"/>
    <w:rsid w:val="00132A2D"/>
    <w:rsid w:val="00132FA8"/>
    <w:rsid w:val="001349BA"/>
    <w:rsid w:val="00134A91"/>
    <w:rsid w:val="0013514C"/>
    <w:rsid w:val="00137F2D"/>
    <w:rsid w:val="00140488"/>
    <w:rsid w:val="001415AD"/>
    <w:rsid w:val="00141A58"/>
    <w:rsid w:val="00143489"/>
    <w:rsid w:val="0014739B"/>
    <w:rsid w:val="00151684"/>
    <w:rsid w:val="00152114"/>
    <w:rsid w:val="0015215D"/>
    <w:rsid w:val="001524C0"/>
    <w:rsid w:val="00152747"/>
    <w:rsid w:val="00154474"/>
    <w:rsid w:val="00154AEC"/>
    <w:rsid w:val="00156108"/>
    <w:rsid w:val="00156A89"/>
    <w:rsid w:val="001577BC"/>
    <w:rsid w:val="001578F7"/>
    <w:rsid w:val="001615F9"/>
    <w:rsid w:val="00161DE1"/>
    <w:rsid w:val="00162404"/>
    <w:rsid w:val="0016260E"/>
    <w:rsid w:val="0016498B"/>
    <w:rsid w:val="00165318"/>
    <w:rsid w:val="00170FB1"/>
    <w:rsid w:val="00172355"/>
    <w:rsid w:val="001737BF"/>
    <w:rsid w:val="00176213"/>
    <w:rsid w:val="001778AC"/>
    <w:rsid w:val="00180BBC"/>
    <w:rsid w:val="00182B13"/>
    <w:rsid w:val="00183B23"/>
    <w:rsid w:val="00183BBB"/>
    <w:rsid w:val="00183E32"/>
    <w:rsid w:val="00192C1D"/>
    <w:rsid w:val="0019521F"/>
    <w:rsid w:val="0019544A"/>
    <w:rsid w:val="0019561B"/>
    <w:rsid w:val="00195C20"/>
    <w:rsid w:val="001A01BA"/>
    <w:rsid w:val="001A153D"/>
    <w:rsid w:val="001A159F"/>
    <w:rsid w:val="001A2219"/>
    <w:rsid w:val="001A3B13"/>
    <w:rsid w:val="001A6B2B"/>
    <w:rsid w:val="001A6D14"/>
    <w:rsid w:val="001A70F1"/>
    <w:rsid w:val="001A7221"/>
    <w:rsid w:val="001A799E"/>
    <w:rsid w:val="001B20C1"/>
    <w:rsid w:val="001B2D3B"/>
    <w:rsid w:val="001B38D6"/>
    <w:rsid w:val="001B4330"/>
    <w:rsid w:val="001B52F0"/>
    <w:rsid w:val="001B68E1"/>
    <w:rsid w:val="001B6913"/>
    <w:rsid w:val="001B7328"/>
    <w:rsid w:val="001B7A59"/>
    <w:rsid w:val="001C013B"/>
    <w:rsid w:val="001C029C"/>
    <w:rsid w:val="001C02F1"/>
    <w:rsid w:val="001C183B"/>
    <w:rsid w:val="001C28C4"/>
    <w:rsid w:val="001C3D34"/>
    <w:rsid w:val="001C5547"/>
    <w:rsid w:val="001C592E"/>
    <w:rsid w:val="001D0333"/>
    <w:rsid w:val="001D135F"/>
    <w:rsid w:val="001D162B"/>
    <w:rsid w:val="001D2A9E"/>
    <w:rsid w:val="001D3D70"/>
    <w:rsid w:val="001D4B08"/>
    <w:rsid w:val="001D5AB4"/>
    <w:rsid w:val="001E0A4E"/>
    <w:rsid w:val="001E1AB0"/>
    <w:rsid w:val="001E4085"/>
    <w:rsid w:val="001E50F9"/>
    <w:rsid w:val="001E5F3C"/>
    <w:rsid w:val="001E7151"/>
    <w:rsid w:val="001E725A"/>
    <w:rsid w:val="001E7879"/>
    <w:rsid w:val="001F0836"/>
    <w:rsid w:val="001F08A3"/>
    <w:rsid w:val="001F0DDF"/>
    <w:rsid w:val="001F70CA"/>
    <w:rsid w:val="001F7571"/>
    <w:rsid w:val="002004E1"/>
    <w:rsid w:val="00202AB2"/>
    <w:rsid w:val="00203B0F"/>
    <w:rsid w:val="0020762D"/>
    <w:rsid w:val="002118CE"/>
    <w:rsid w:val="00211C65"/>
    <w:rsid w:val="0021205E"/>
    <w:rsid w:val="00214250"/>
    <w:rsid w:val="002150EE"/>
    <w:rsid w:val="00215F3A"/>
    <w:rsid w:val="00216D63"/>
    <w:rsid w:val="00217663"/>
    <w:rsid w:val="00217B69"/>
    <w:rsid w:val="0022063D"/>
    <w:rsid w:val="00222E78"/>
    <w:rsid w:val="00227C97"/>
    <w:rsid w:val="00236C98"/>
    <w:rsid w:val="00237FCF"/>
    <w:rsid w:val="00242827"/>
    <w:rsid w:val="00243770"/>
    <w:rsid w:val="00243D15"/>
    <w:rsid w:val="002443E5"/>
    <w:rsid w:val="00247119"/>
    <w:rsid w:val="002517B9"/>
    <w:rsid w:val="00253513"/>
    <w:rsid w:val="002557F5"/>
    <w:rsid w:val="00260249"/>
    <w:rsid w:val="002603D1"/>
    <w:rsid w:val="00261B2C"/>
    <w:rsid w:val="00264BCE"/>
    <w:rsid w:val="0026544D"/>
    <w:rsid w:val="00265A59"/>
    <w:rsid w:val="0026656F"/>
    <w:rsid w:val="00266861"/>
    <w:rsid w:val="00266BD8"/>
    <w:rsid w:val="00267E54"/>
    <w:rsid w:val="00272FE7"/>
    <w:rsid w:val="002735F1"/>
    <w:rsid w:val="00273FEA"/>
    <w:rsid w:val="002747FA"/>
    <w:rsid w:val="00275CF8"/>
    <w:rsid w:val="002776DC"/>
    <w:rsid w:val="00283BB9"/>
    <w:rsid w:val="002840E3"/>
    <w:rsid w:val="00285B9B"/>
    <w:rsid w:val="00287184"/>
    <w:rsid w:val="00290396"/>
    <w:rsid w:val="00290927"/>
    <w:rsid w:val="00291C39"/>
    <w:rsid w:val="00291D0B"/>
    <w:rsid w:val="00296D36"/>
    <w:rsid w:val="002A3AFA"/>
    <w:rsid w:val="002A59DF"/>
    <w:rsid w:val="002A6837"/>
    <w:rsid w:val="002A6ECC"/>
    <w:rsid w:val="002A71E3"/>
    <w:rsid w:val="002B131E"/>
    <w:rsid w:val="002B5416"/>
    <w:rsid w:val="002B6829"/>
    <w:rsid w:val="002B6F15"/>
    <w:rsid w:val="002C2490"/>
    <w:rsid w:val="002C4038"/>
    <w:rsid w:val="002C77E5"/>
    <w:rsid w:val="002C7CD5"/>
    <w:rsid w:val="002D1752"/>
    <w:rsid w:val="002D1B81"/>
    <w:rsid w:val="002D2881"/>
    <w:rsid w:val="002D2A71"/>
    <w:rsid w:val="002D307A"/>
    <w:rsid w:val="002D3260"/>
    <w:rsid w:val="002D4717"/>
    <w:rsid w:val="002D7BE4"/>
    <w:rsid w:val="002E11B3"/>
    <w:rsid w:val="002E1F62"/>
    <w:rsid w:val="002E5D81"/>
    <w:rsid w:val="002E5F5B"/>
    <w:rsid w:val="002E6A19"/>
    <w:rsid w:val="002E6BAB"/>
    <w:rsid w:val="002E7E6D"/>
    <w:rsid w:val="002F2E54"/>
    <w:rsid w:val="002F4911"/>
    <w:rsid w:val="002F645D"/>
    <w:rsid w:val="00302E4D"/>
    <w:rsid w:val="003035FF"/>
    <w:rsid w:val="00305F35"/>
    <w:rsid w:val="0030745F"/>
    <w:rsid w:val="0030788F"/>
    <w:rsid w:val="00307CC2"/>
    <w:rsid w:val="00310590"/>
    <w:rsid w:val="003112EF"/>
    <w:rsid w:val="00312A14"/>
    <w:rsid w:val="003157C1"/>
    <w:rsid w:val="0031782C"/>
    <w:rsid w:val="00317C3C"/>
    <w:rsid w:val="0032403A"/>
    <w:rsid w:val="003251C4"/>
    <w:rsid w:val="00330F44"/>
    <w:rsid w:val="003334F6"/>
    <w:rsid w:val="003348F1"/>
    <w:rsid w:val="00341D8B"/>
    <w:rsid w:val="00342F13"/>
    <w:rsid w:val="00343A52"/>
    <w:rsid w:val="00345429"/>
    <w:rsid w:val="0034542D"/>
    <w:rsid w:val="00345ACD"/>
    <w:rsid w:val="0034794C"/>
    <w:rsid w:val="00347BEC"/>
    <w:rsid w:val="00347EB7"/>
    <w:rsid w:val="0035001A"/>
    <w:rsid w:val="00351592"/>
    <w:rsid w:val="003546C1"/>
    <w:rsid w:val="00357EBC"/>
    <w:rsid w:val="00360971"/>
    <w:rsid w:val="00362C79"/>
    <w:rsid w:val="00362D5B"/>
    <w:rsid w:val="00363557"/>
    <w:rsid w:val="003636E4"/>
    <w:rsid w:val="003647FA"/>
    <w:rsid w:val="00364B96"/>
    <w:rsid w:val="00364BA1"/>
    <w:rsid w:val="00370651"/>
    <w:rsid w:val="00371D2E"/>
    <w:rsid w:val="00372482"/>
    <w:rsid w:val="00373045"/>
    <w:rsid w:val="0037400D"/>
    <w:rsid w:val="00377A8B"/>
    <w:rsid w:val="00380DCA"/>
    <w:rsid w:val="0038250F"/>
    <w:rsid w:val="00382BB2"/>
    <w:rsid w:val="00385AC1"/>
    <w:rsid w:val="00390E62"/>
    <w:rsid w:val="0039276A"/>
    <w:rsid w:val="003936E0"/>
    <w:rsid w:val="00393726"/>
    <w:rsid w:val="0039440E"/>
    <w:rsid w:val="00394ACE"/>
    <w:rsid w:val="003951BA"/>
    <w:rsid w:val="00395C1E"/>
    <w:rsid w:val="003970B3"/>
    <w:rsid w:val="003A2B40"/>
    <w:rsid w:val="003A5FA5"/>
    <w:rsid w:val="003A6167"/>
    <w:rsid w:val="003B0851"/>
    <w:rsid w:val="003B1ADB"/>
    <w:rsid w:val="003B2D82"/>
    <w:rsid w:val="003B32D3"/>
    <w:rsid w:val="003B3FB0"/>
    <w:rsid w:val="003B6E8D"/>
    <w:rsid w:val="003C483D"/>
    <w:rsid w:val="003C5990"/>
    <w:rsid w:val="003C61DA"/>
    <w:rsid w:val="003D133F"/>
    <w:rsid w:val="003D1C89"/>
    <w:rsid w:val="003D2606"/>
    <w:rsid w:val="003D2855"/>
    <w:rsid w:val="003D2977"/>
    <w:rsid w:val="003D2F7D"/>
    <w:rsid w:val="003D38AD"/>
    <w:rsid w:val="003D40B3"/>
    <w:rsid w:val="003D556E"/>
    <w:rsid w:val="003D6A3D"/>
    <w:rsid w:val="003D7316"/>
    <w:rsid w:val="003D741E"/>
    <w:rsid w:val="003E3322"/>
    <w:rsid w:val="003E4D57"/>
    <w:rsid w:val="003E63E4"/>
    <w:rsid w:val="003E777E"/>
    <w:rsid w:val="003F1239"/>
    <w:rsid w:val="003F688F"/>
    <w:rsid w:val="003F7FE0"/>
    <w:rsid w:val="00402CC2"/>
    <w:rsid w:val="00402E6F"/>
    <w:rsid w:val="0041391A"/>
    <w:rsid w:val="00414986"/>
    <w:rsid w:val="00421404"/>
    <w:rsid w:val="00423BB1"/>
    <w:rsid w:val="00426D0E"/>
    <w:rsid w:val="00430939"/>
    <w:rsid w:val="00431887"/>
    <w:rsid w:val="00432203"/>
    <w:rsid w:val="0043436D"/>
    <w:rsid w:val="00434DF6"/>
    <w:rsid w:val="0043790F"/>
    <w:rsid w:val="00443191"/>
    <w:rsid w:val="004433D5"/>
    <w:rsid w:val="00444D2E"/>
    <w:rsid w:val="00450BF1"/>
    <w:rsid w:val="00453E7B"/>
    <w:rsid w:val="00454018"/>
    <w:rsid w:val="004555CE"/>
    <w:rsid w:val="004570CD"/>
    <w:rsid w:val="00457BD0"/>
    <w:rsid w:val="00461D5F"/>
    <w:rsid w:val="004628D1"/>
    <w:rsid w:val="004630F1"/>
    <w:rsid w:val="00464239"/>
    <w:rsid w:val="00467628"/>
    <w:rsid w:val="00467F5D"/>
    <w:rsid w:val="004722DE"/>
    <w:rsid w:val="00473FDF"/>
    <w:rsid w:val="004744A9"/>
    <w:rsid w:val="00474D66"/>
    <w:rsid w:val="0047530A"/>
    <w:rsid w:val="0047577A"/>
    <w:rsid w:val="0048059B"/>
    <w:rsid w:val="0048238F"/>
    <w:rsid w:val="004837D0"/>
    <w:rsid w:val="0048413F"/>
    <w:rsid w:val="00486AAB"/>
    <w:rsid w:val="00486D34"/>
    <w:rsid w:val="0048734B"/>
    <w:rsid w:val="004875D7"/>
    <w:rsid w:val="00491DE1"/>
    <w:rsid w:val="00491FA3"/>
    <w:rsid w:val="00492B96"/>
    <w:rsid w:val="00494A10"/>
    <w:rsid w:val="004961DD"/>
    <w:rsid w:val="00497EB2"/>
    <w:rsid w:val="004A18D7"/>
    <w:rsid w:val="004A2A90"/>
    <w:rsid w:val="004A41F6"/>
    <w:rsid w:val="004B1C6D"/>
    <w:rsid w:val="004B300D"/>
    <w:rsid w:val="004B3BAD"/>
    <w:rsid w:val="004B5260"/>
    <w:rsid w:val="004B59BA"/>
    <w:rsid w:val="004B6356"/>
    <w:rsid w:val="004B6EAA"/>
    <w:rsid w:val="004C0EA6"/>
    <w:rsid w:val="004C538B"/>
    <w:rsid w:val="004C6C13"/>
    <w:rsid w:val="004C72D1"/>
    <w:rsid w:val="004C73A1"/>
    <w:rsid w:val="004D330F"/>
    <w:rsid w:val="004D54DC"/>
    <w:rsid w:val="004D5631"/>
    <w:rsid w:val="004D64E1"/>
    <w:rsid w:val="004E207D"/>
    <w:rsid w:val="004E226D"/>
    <w:rsid w:val="004E2ED1"/>
    <w:rsid w:val="004E623D"/>
    <w:rsid w:val="004E6923"/>
    <w:rsid w:val="004E7366"/>
    <w:rsid w:val="004F015E"/>
    <w:rsid w:val="004F1605"/>
    <w:rsid w:val="004F20FB"/>
    <w:rsid w:val="004F30F0"/>
    <w:rsid w:val="004F3472"/>
    <w:rsid w:val="004F4551"/>
    <w:rsid w:val="004F702E"/>
    <w:rsid w:val="004F7C80"/>
    <w:rsid w:val="005024B7"/>
    <w:rsid w:val="005034CC"/>
    <w:rsid w:val="005050E5"/>
    <w:rsid w:val="00506ACF"/>
    <w:rsid w:val="00507A91"/>
    <w:rsid w:val="00511995"/>
    <w:rsid w:val="0051229E"/>
    <w:rsid w:val="00513056"/>
    <w:rsid w:val="005156B8"/>
    <w:rsid w:val="00516F1B"/>
    <w:rsid w:val="00520726"/>
    <w:rsid w:val="00520B62"/>
    <w:rsid w:val="00524401"/>
    <w:rsid w:val="005265F9"/>
    <w:rsid w:val="00531602"/>
    <w:rsid w:val="00532E69"/>
    <w:rsid w:val="00535959"/>
    <w:rsid w:val="00537CE1"/>
    <w:rsid w:val="00541389"/>
    <w:rsid w:val="005423A2"/>
    <w:rsid w:val="00543714"/>
    <w:rsid w:val="00543ABB"/>
    <w:rsid w:val="00543B35"/>
    <w:rsid w:val="0054439B"/>
    <w:rsid w:val="00544BC1"/>
    <w:rsid w:val="005462AE"/>
    <w:rsid w:val="00550B0A"/>
    <w:rsid w:val="00550C5C"/>
    <w:rsid w:val="0055228B"/>
    <w:rsid w:val="005544A7"/>
    <w:rsid w:val="005550E7"/>
    <w:rsid w:val="00556FE4"/>
    <w:rsid w:val="00560CD1"/>
    <w:rsid w:val="0056188B"/>
    <w:rsid w:val="00561991"/>
    <w:rsid w:val="00561BB2"/>
    <w:rsid w:val="00562067"/>
    <w:rsid w:val="00562365"/>
    <w:rsid w:val="00566AD0"/>
    <w:rsid w:val="00566D74"/>
    <w:rsid w:val="00571C66"/>
    <w:rsid w:val="00575E94"/>
    <w:rsid w:val="00577A04"/>
    <w:rsid w:val="00580029"/>
    <w:rsid w:val="005818A6"/>
    <w:rsid w:val="00583FAB"/>
    <w:rsid w:val="005879B5"/>
    <w:rsid w:val="00591E34"/>
    <w:rsid w:val="0059236D"/>
    <w:rsid w:val="005960AB"/>
    <w:rsid w:val="005A0DBF"/>
    <w:rsid w:val="005A3A36"/>
    <w:rsid w:val="005A608B"/>
    <w:rsid w:val="005A77C7"/>
    <w:rsid w:val="005A7F6A"/>
    <w:rsid w:val="005B0034"/>
    <w:rsid w:val="005B1016"/>
    <w:rsid w:val="005B18AC"/>
    <w:rsid w:val="005B4FE1"/>
    <w:rsid w:val="005B6312"/>
    <w:rsid w:val="005B673C"/>
    <w:rsid w:val="005B6B0D"/>
    <w:rsid w:val="005C1507"/>
    <w:rsid w:val="005C2E1B"/>
    <w:rsid w:val="005C3775"/>
    <w:rsid w:val="005C3A37"/>
    <w:rsid w:val="005C6A7B"/>
    <w:rsid w:val="005C7443"/>
    <w:rsid w:val="005C758F"/>
    <w:rsid w:val="005D25CF"/>
    <w:rsid w:val="005D2C21"/>
    <w:rsid w:val="005D30B4"/>
    <w:rsid w:val="005D3EC8"/>
    <w:rsid w:val="005D56C9"/>
    <w:rsid w:val="005D5FD6"/>
    <w:rsid w:val="005D601E"/>
    <w:rsid w:val="005E26B7"/>
    <w:rsid w:val="005E2BC7"/>
    <w:rsid w:val="005F1E77"/>
    <w:rsid w:val="005F4156"/>
    <w:rsid w:val="005F720A"/>
    <w:rsid w:val="005F7A51"/>
    <w:rsid w:val="005F7A55"/>
    <w:rsid w:val="00600026"/>
    <w:rsid w:val="00600862"/>
    <w:rsid w:val="00600D7C"/>
    <w:rsid w:val="00605E73"/>
    <w:rsid w:val="00607B1B"/>
    <w:rsid w:val="0061180B"/>
    <w:rsid w:val="00612889"/>
    <w:rsid w:val="00614326"/>
    <w:rsid w:val="00614A6C"/>
    <w:rsid w:val="0061658D"/>
    <w:rsid w:val="0061708C"/>
    <w:rsid w:val="006172FB"/>
    <w:rsid w:val="0062199B"/>
    <w:rsid w:val="006219EB"/>
    <w:rsid w:val="0062387D"/>
    <w:rsid w:val="00625BFC"/>
    <w:rsid w:val="00626C8F"/>
    <w:rsid w:val="00627871"/>
    <w:rsid w:val="00631520"/>
    <w:rsid w:val="00632179"/>
    <w:rsid w:val="0063264B"/>
    <w:rsid w:val="006332E9"/>
    <w:rsid w:val="00635F18"/>
    <w:rsid w:val="0063606B"/>
    <w:rsid w:val="00636228"/>
    <w:rsid w:val="00643C33"/>
    <w:rsid w:val="00646512"/>
    <w:rsid w:val="00646514"/>
    <w:rsid w:val="0065018E"/>
    <w:rsid w:val="006505E4"/>
    <w:rsid w:val="00650D32"/>
    <w:rsid w:val="00652189"/>
    <w:rsid w:val="00653ADC"/>
    <w:rsid w:val="00653CF5"/>
    <w:rsid w:val="006546BE"/>
    <w:rsid w:val="00654F83"/>
    <w:rsid w:val="00657146"/>
    <w:rsid w:val="006573A7"/>
    <w:rsid w:val="00657B4C"/>
    <w:rsid w:val="006640FD"/>
    <w:rsid w:val="006671DF"/>
    <w:rsid w:val="00667D58"/>
    <w:rsid w:val="00667E2D"/>
    <w:rsid w:val="00670304"/>
    <w:rsid w:val="006703F7"/>
    <w:rsid w:val="00670F26"/>
    <w:rsid w:val="0067127C"/>
    <w:rsid w:val="00672997"/>
    <w:rsid w:val="00672E88"/>
    <w:rsid w:val="0067455A"/>
    <w:rsid w:val="006746DA"/>
    <w:rsid w:val="00676DA7"/>
    <w:rsid w:val="00680754"/>
    <w:rsid w:val="0068093A"/>
    <w:rsid w:val="00682CF4"/>
    <w:rsid w:val="006831A3"/>
    <w:rsid w:val="00683AA0"/>
    <w:rsid w:val="00685654"/>
    <w:rsid w:val="0069652A"/>
    <w:rsid w:val="00696855"/>
    <w:rsid w:val="006A67FD"/>
    <w:rsid w:val="006A6EA4"/>
    <w:rsid w:val="006C031A"/>
    <w:rsid w:val="006C0508"/>
    <w:rsid w:val="006C1DCB"/>
    <w:rsid w:val="006C3F45"/>
    <w:rsid w:val="006C43DD"/>
    <w:rsid w:val="006C52D2"/>
    <w:rsid w:val="006C678A"/>
    <w:rsid w:val="006C7C78"/>
    <w:rsid w:val="006D2ADC"/>
    <w:rsid w:val="006D2B16"/>
    <w:rsid w:val="006D3C7A"/>
    <w:rsid w:val="006D3EBA"/>
    <w:rsid w:val="006E0378"/>
    <w:rsid w:val="006E05AC"/>
    <w:rsid w:val="006E0D03"/>
    <w:rsid w:val="006E19BD"/>
    <w:rsid w:val="006E2361"/>
    <w:rsid w:val="006E43FC"/>
    <w:rsid w:val="006E539C"/>
    <w:rsid w:val="006F2D07"/>
    <w:rsid w:val="006F30D9"/>
    <w:rsid w:val="006F508E"/>
    <w:rsid w:val="00702CF1"/>
    <w:rsid w:val="00711207"/>
    <w:rsid w:val="00711C9C"/>
    <w:rsid w:val="00712B83"/>
    <w:rsid w:val="00720299"/>
    <w:rsid w:val="00720565"/>
    <w:rsid w:val="00720ACC"/>
    <w:rsid w:val="00723DF5"/>
    <w:rsid w:val="00724331"/>
    <w:rsid w:val="00726AB5"/>
    <w:rsid w:val="00730451"/>
    <w:rsid w:val="00732EB9"/>
    <w:rsid w:val="00733267"/>
    <w:rsid w:val="00733A2D"/>
    <w:rsid w:val="00736429"/>
    <w:rsid w:val="00736707"/>
    <w:rsid w:val="007373F6"/>
    <w:rsid w:val="00737EB5"/>
    <w:rsid w:val="00740087"/>
    <w:rsid w:val="00740CD0"/>
    <w:rsid w:val="0074174A"/>
    <w:rsid w:val="00741A7E"/>
    <w:rsid w:val="00742B8F"/>
    <w:rsid w:val="00744441"/>
    <w:rsid w:val="00744845"/>
    <w:rsid w:val="00750C75"/>
    <w:rsid w:val="0075207C"/>
    <w:rsid w:val="007544A2"/>
    <w:rsid w:val="00754713"/>
    <w:rsid w:val="0075725C"/>
    <w:rsid w:val="00760D3E"/>
    <w:rsid w:val="00761245"/>
    <w:rsid w:val="00761FB1"/>
    <w:rsid w:val="00767EF2"/>
    <w:rsid w:val="00770BD1"/>
    <w:rsid w:val="00772346"/>
    <w:rsid w:val="0077359F"/>
    <w:rsid w:val="00773B41"/>
    <w:rsid w:val="00773BDD"/>
    <w:rsid w:val="0077448D"/>
    <w:rsid w:val="007805F4"/>
    <w:rsid w:val="00781B0A"/>
    <w:rsid w:val="00782FD4"/>
    <w:rsid w:val="007835CB"/>
    <w:rsid w:val="00787417"/>
    <w:rsid w:val="00792141"/>
    <w:rsid w:val="00793790"/>
    <w:rsid w:val="00793C51"/>
    <w:rsid w:val="00795AB4"/>
    <w:rsid w:val="00796167"/>
    <w:rsid w:val="007A0F12"/>
    <w:rsid w:val="007A3E2A"/>
    <w:rsid w:val="007A4478"/>
    <w:rsid w:val="007A5B88"/>
    <w:rsid w:val="007B0BEB"/>
    <w:rsid w:val="007B2BC5"/>
    <w:rsid w:val="007B3B8E"/>
    <w:rsid w:val="007B4065"/>
    <w:rsid w:val="007B4C68"/>
    <w:rsid w:val="007B5B36"/>
    <w:rsid w:val="007B75B1"/>
    <w:rsid w:val="007C06EA"/>
    <w:rsid w:val="007C1648"/>
    <w:rsid w:val="007C23A6"/>
    <w:rsid w:val="007C4399"/>
    <w:rsid w:val="007D0311"/>
    <w:rsid w:val="007D035D"/>
    <w:rsid w:val="007D08CA"/>
    <w:rsid w:val="007D1278"/>
    <w:rsid w:val="007D3DC1"/>
    <w:rsid w:val="007D4E48"/>
    <w:rsid w:val="007D4EE3"/>
    <w:rsid w:val="007D5569"/>
    <w:rsid w:val="007E0011"/>
    <w:rsid w:val="007E475C"/>
    <w:rsid w:val="007E586A"/>
    <w:rsid w:val="007E7D39"/>
    <w:rsid w:val="007F0AC4"/>
    <w:rsid w:val="007F3B7F"/>
    <w:rsid w:val="007F5A70"/>
    <w:rsid w:val="007F6D2E"/>
    <w:rsid w:val="007F6D9E"/>
    <w:rsid w:val="007F6E0C"/>
    <w:rsid w:val="007F76F6"/>
    <w:rsid w:val="0080534F"/>
    <w:rsid w:val="00813FA7"/>
    <w:rsid w:val="00815FF8"/>
    <w:rsid w:val="0081623C"/>
    <w:rsid w:val="008162EB"/>
    <w:rsid w:val="0081639E"/>
    <w:rsid w:val="008165D4"/>
    <w:rsid w:val="008172AD"/>
    <w:rsid w:val="0081738F"/>
    <w:rsid w:val="0081788C"/>
    <w:rsid w:val="008178CB"/>
    <w:rsid w:val="00817AD6"/>
    <w:rsid w:val="0082061C"/>
    <w:rsid w:val="00820917"/>
    <w:rsid w:val="00824FB8"/>
    <w:rsid w:val="0082637C"/>
    <w:rsid w:val="00831C12"/>
    <w:rsid w:val="00835E18"/>
    <w:rsid w:val="008373B0"/>
    <w:rsid w:val="00840778"/>
    <w:rsid w:val="00843394"/>
    <w:rsid w:val="00845B6C"/>
    <w:rsid w:val="00853A0D"/>
    <w:rsid w:val="00857126"/>
    <w:rsid w:val="00861450"/>
    <w:rsid w:val="00862663"/>
    <w:rsid w:val="008631D7"/>
    <w:rsid w:val="00866AB4"/>
    <w:rsid w:val="00866AC6"/>
    <w:rsid w:val="00867910"/>
    <w:rsid w:val="008706E1"/>
    <w:rsid w:val="00870BCF"/>
    <w:rsid w:val="008734CB"/>
    <w:rsid w:val="0087389F"/>
    <w:rsid w:val="00873CA9"/>
    <w:rsid w:val="00874848"/>
    <w:rsid w:val="00876855"/>
    <w:rsid w:val="00881F71"/>
    <w:rsid w:val="008820EC"/>
    <w:rsid w:val="00883CF9"/>
    <w:rsid w:val="00887138"/>
    <w:rsid w:val="00887BAE"/>
    <w:rsid w:val="008936B3"/>
    <w:rsid w:val="0089394D"/>
    <w:rsid w:val="0089497C"/>
    <w:rsid w:val="00895690"/>
    <w:rsid w:val="00897AC2"/>
    <w:rsid w:val="008A1979"/>
    <w:rsid w:val="008A326B"/>
    <w:rsid w:val="008A59E2"/>
    <w:rsid w:val="008A5EEC"/>
    <w:rsid w:val="008B044D"/>
    <w:rsid w:val="008B303E"/>
    <w:rsid w:val="008B5070"/>
    <w:rsid w:val="008C1FAA"/>
    <w:rsid w:val="008C408D"/>
    <w:rsid w:val="008C5203"/>
    <w:rsid w:val="008C5FAD"/>
    <w:rsid w:val="008C65D7"/>
    <w:rsid w:val="008C67F5"/>
    <w:rsid w:val="008C743F"/>
    <w:rsid w:val="008D08B7"/>
    <w:rsid w:val="008D0907"/>
    <w:rsid w:val="008D2F86"/>
    <w:rsid w:val="008D694E"/>
    <w:rsid w:val="008E0248"/>
    <w:rsid w:val="008E0BB4"/>
    <w:rsid w:val="008E1355"/>
    <w:rsid w:val="008E46D6"/>
    <w:rsid w:val="008E668C"/>
    <w:rsid w:val="008F010E"/>
    <w:rsid w:val="008F12DC"/>
    <w:rsid w:val="008F739B"/>
    <w:rsid w:val="009014B3"/>
    <w:rsid w:val="0090179E"/>
    <w:rsid w:val="00902910"/>
    <w:rsid w:val="00902B7C"/>
    <w:rsid w:val="00903789"/>
    <w:rsid w:val="009037ED"/>
    <w:rsid w:val="00903C0D"/>
    <w:rsid w:val="00903E61"/>
    <w:rsid w:val="0091084B"/>
    <w:rsid w:val="00911514"/>
    <w:rsid w:val="00913CC1"/>
    <w:rsid w:val="00914740"/>
    <w:rsid w:val="00915205"/>
    <w:rsid w:val="00915538"/>
    <w:rsid w:val="0091600F"/>
    <w:rsid w:val="009164B8"/>
    <w:rsid w:val="00917C4F"/>
    <w:rsid w:val="00920625"/>
    <w:rsid w:val="009217E8"/>
    <w:rsid w:val="00926B3E"/>
    <w:rsid w:val="009275D5"/>
    <w:rsid w:val="00932F1B"/>
    <w:rsid w:val="00933D73"/>
    <w:rsid w:val="00934E57"/>
    <w:rsid w:val="009358CA"/>
    <w:rsid w:val="00935BE3"/>
    <w:rsid w:val="00936DAB"/>
    <w:rsid w:val="00941A27"/>
    <w:rsid w:val="00946638"/>
    <w:rsid w:val="00946AD8"/>
    <w:rsid w:val="00950277"/>
    <w:rsid w:val="00951068"/>
    <w:rsid w:val="009512F6"/>
    <w:rsid w:val="009538F0"/>
    <w:rsid w:val="00953EC1"/>
    <w:rsid w:val="009562C9"/>
    <w:rsid w:val="00964DBE"/>
    <w:rsid w:val="00966567"/>
    <w:rsid w:val="00966908"/>
    <w:rsid w:val="00970160"/>
    <w:rsid w:val="00973E46"/>
    <w:rsid w:val="009763EE"/>
    <w:rsid w:val="00980216"/>
    <w:rsid w:val="009804A4"/>
    <w:rsid w:val="00982824"/>
    <w:rsid w:val="009829E9"/>
    <w:rsid w:val="00982DB5"/>
    <w:rsid w:val="009844D9"/>
    <w:rsid w:val="00986939"/>
    <w:rsid w:val="00987B11"/>
    <w:rsid w:val="0099271C"/>
    <w:rsid w:val="00996EEE"/>
    <w:rsid w:val="009A0B5D"/>
    <w:rsid w:val="009A1189"/>
    <w:rsid w:val="009A18D6"/>
    <w:rsid w:val="009A38BB"/>
    <w:rsid w:val="009A3E3D"/>
    <w:rsid w:val="009A6AE0"/>
    <w:rsid w:val="009A7A54"/>
    <w:rsid w:val="009B0459"/>
    <w:rsid w:val="009B41A8"/>
    <w:rsid w:val="009B78B9"/>
    <w:rsid w:val="009C04C8"/>
    <w:rsid w:val="009C17E6"/>
    <w:rsid w:val="009C1D59"/>
    <w:rsid w:val="009C2B3F"/>
    <w:rsid w:val="009C31C0"/>
    <w:rsid w:val="009C414D"/>
    <w:rsid w:val="009C6AB7"/>
    <w:rsid w:val="009C6F0B"/>
    <w:rsid w:val="009C73B5"/>
    <w:rsid w:val="009D0228"/>
    <w:rsid w:val="009D0573"/>
    <w:rsid w:val="009D30BB"/>
    <w:rsid w:val="009D3121"/>
    <w:rsid w:val="009D3BD4"/>
    <w:rsid w:val="009D3F14"/>
    <w:rsid w:val="009D5905"/>
    <w:rsid w:val="009D5F0F"/>
    <w:rsid w:val="009D7EE0"/>
    <w:rsid w:val="009E2313"/>
    <w:rsid w:val="009E5129"/>
    <w:rsid w:val="009E630E"/>
    <w:rsid w:val="009F665F"/>
    <w:rsid w:val="009F72A5"/>
    <w:rsid w:val="00A01FE1"/>
    <w:rsid w:val="00A02380"/>
    <w:rsid w:val="00A03E7D"/>
    <w:rsid w:val="00A050B8"/>
    <w:rsid w:val="00A06632"/>
    <w:rsid w:val="00A07C6A"/>
    <w:rsid w:val="00A101DA"/>
    <w:rsid w:val="00A102C1"/>
    <w:rsid w:val="00A104B2"/>
    <w:rsid w:val="00A167FD"/>
    <w:rsid w:val="00A16E94"/>
    <w:rsid w:val="00A204A6"/>
    <w:rsid w:val="00A20FBB"/>
    <w:rsid w:val="00A21620"/>
    <w:rsid w:val="00A22DFB"/>
    <w:rsid w:val="00A23D13"/>
    <w:rsid w:val="00A24007"/>
    <w:rsid w:val="00A25AA2"/>
    <w:rsid w:val="00A262EE"/>
    <w:rsid w:val="00A26758"/>
    <w:rsid w:val="00A26802"/>
    <w:rsid w:val="00A27067"/>
    <w:rsid w:val="00A2788C"/>
    <w:rsid w:val="00A3093E"/>
    <w:rsid w:val="00A33ACD"/>
    <w:rsid w:val="00A37453"/>
    <w:rsid w:val="00A374F4"/>
    <w:rsid w:val="00A41847"/>
    <w:rsid w:val="00A44B8F"/>
    <w:rsid w:val="00A45063"/>
    <w:rsid w:val="00A46E5A"/>
    <w:rsid w:val="00A47A5C"/>
    <w:rsid w:val="00A47ACE"/>
    <w:rsid w:val="00A50D04"/>
    <w:rsid w:val="00A513B5"/>
    <w:rsid w:val="00A55F10"/>
    <w:rsid w:val="00A55FC2"/>
    <w:rsid w:val="00A624BF"/>
    <w:rsid w:val="00A6345C"/>
    <w:rsid w:val="00A67EEE"/>
    <w:rsid w:val="00A70259"/>
    <w:rsid w:val="00A70AFD"/>
    <w:rsid w:val="00A710AF"/>
    <w:rsid w:val="00A712A6"/>
    <w:rsid w:val="00A7228E"/>
    <w:rsid w:val="00A73CFA"/>
    <w:rsid w:val="00A74133"/>
    <w:rsid w:val="00A75371"/>
    <w:rsid w:val="00A77D5C"/>
    <w:rsid w:val="00A82A20"/>
    <w:rsid w:val="00A8497E"/>
    <w:rsid w:val="00A855F5"/>
    <w:rsid w:val="00A8579B"/>
    <w:rsid w:val="00A8587A"/>
    <w:rsid w:val="00A862E0"/>
    <w:rsid w:val="00A91C1E"/>
    <w:rsid w:val="00A92F5F"/>
    <w:rsid w:val="00A942EE"/>
    <w:rsid w:val="00A949A3"/>
    <w:rsid w:val="00A959C0"/>
    <w:rsid w:val="00A96102"/>
    <w:rsid w:val="00AA5E71"/>
    <w:rsid w:val="00AB00A7"/>
    <w:rsid w:val="00AB014B"/>
    <w:rsid w:val="00AB2616"/>
    <w:rsid w:val="00AB2681"/>
    <w:rsid w:val="00AB34D4"/>
    <w:rsid w:val="00AB642F"/>
    <w:rsid w:val="00AC0ADC"/>
    <w:rsid w:val="00AC2B19"/>
    <w:rsid w:val="00AC3630"/>
    <w:rsid w:val="00AC401F"/>
    <w:rsid w:val="00AC4D8E"/>
    <w:rsid w:val="00AC5E92"/>
    <w:rsid w:val="00AD158A"/>
    <w:rsid w:val="00AD3137"/>
    <w:rsid w:val="00AD34F3"/>
    <w:rsid w:val="00AD406A"/>
    <w:rsid w:val="00AD6507"/>
    <w:rsid w:val="00AD66C3"/>
    <w:rsid w:val="00AD6D3B"/>
    <w:rsid w:val="00AD6F90"/>
    <w:rsid w:val="00AD75AB"/>
    <w:rsid w:val="00AE39A1"/>
    <w:rsid w:val="00AE3DBB"/>
    <w:rsid w:val="00AE4BA5"/>
    <w:rsid w:val="00AE5A2B"/>
    <w:rsid w:val="00AF2384"/>
    <w:rsid w:val="00AF2CC8"/>
    <w:rsid w:val="00AF424D"/>
    <w:rsid w:val="00AF58F1"/>
    <w:rsid w:val="00AF6064"/>
    <w:rsid w:val="00AF74BF"/>
    <w:rsid w:val="00AF7720"/>
    <w:rsid w:val="00B00267"/>
    <w:rsid w:val="00B01FE5"/>
    <w:rsid w:val="00B036F6"/>
    <w:rsid w:val="00B06B8C"/>
    <w:rsid w:val="00B13C64"/>
    <w:rsid w:val="00B14A5D"/>
    <w:rsid w:val="00B14B81"/>
    <w:rsid w:val="00B161E5"/>
    <w:rsid w:val="00B16AAD"/>
    <w:rsid w:val="00B21262"/>
    <w:rsid w:val="00B239ED"/>
    <w:rsid w:val="00B25D38"/>
    <w:rsid w:val="00B26AD4"/>
    <w:rsid w:val="00B3123C"/>
    <w:rsid w:val="00B31CD7"/>
    <w:rsid w:val="00B33DA7"/>
    <w:rsid w:val="00B340B8"/>
    <w:rsid w:val="00B35412"/>
    <w:rsid w:val="00B37370"/>
    <w:rsid w:val="00B37754"/>
    <w:rsid w:val="00B40C95"/>
    <w:rsid w:val="00B41362"/>
    <w:rsid w:val="00B42FCC"/>
    <w:rsid w:val="00B431DB"/>
    <w:rsid w:val="00B45CD3"/>
    <w:rsid w:val="00B45D70"/>
    <w:rsid w:val="00B45F5F"/>
    <w:rsid w:val="00B50DD7"/>
    <w:rsid w:val="00B50E1D"/>
    <w:rsid w:val="00B57418"/>
    <w:rsid w:val="00B5796C"/>
    <w:rsid w:val="00B61209"/>
    <w:rsid w:val="00B6167E"/>
    <w:rsid w:val="00B617A1"/>
    <w:rsid w:val="00B61A94"/>
    <w:rsid w:val="00B61F63"/>
    <w:rsid w:val="00B63A52"/>
    <w:rsid w:val="00B64328"/>
    <w:rsid w:val="00B648A1"/>
    <w:rsid w:val="00B66929"/>
    <w:rsid w:val="00B6751F"/>
    <w:rsid w:val="00B67BDD"/>
    <w:rsid w:val="00B7081E"/>
    <w:rsid w:val="00B74C3E"/>
    <w:rsid w:val="00B74E23"/>
    <w:rsid w:val="00B750E7"/>
    <w:rsid w:val="00B75CAC"/>
    <w:rsid w:val="00B76232"/>
    <w:rsid w:val="00B80A95"/>
    <w:rsid w:val="00B8198D"/>
    <w:rsid w:val="00B83063"/>
    <w:rsid w:val="00B84967"/>
    <w:rsid w:val="00B87597"/>
    <w:rsid w:val="00B907A1"/>
    <w:rsid w:val="00B90AA7"/>
    <w:rsid w:val="00B915AD"/>
    <w:rsid w:val="00B9195E"/>
    <w:rsid w:val="00B94ECA"/>
    <w:rsid w:val="00B9657F"/>
    <w:rsid w:val="00B9703B"/>
    <w:rsid w:val="00BA2440"/>
    <w:rsid w:val="00BA48BD"/>
    <w:rsid w:val="00BA6017"/>
    <w:rsid w:val="00BB0A23"/>
    <w:rsid w:val="00BB12A4"/>
    <w:rsid w:val="00BB15F7"/>
    <w:rsid w:val="00BB2803"/>
    <w:rsid w:val="00BB2DD5"/>
    <w:rsid w:val="00BB318E"/>
    <w:rsid w:val="00BB4128"/>
    <w:rsid w:val="00BB4AD3"/>
    <w:rsid w:val="00BB5812"/>
    <w:rsid w:val="00BB59CB"/>
    <w:rsid w:val="00BB5A21"/>
    <w:rsid w:val="00BB60E9"/>
    <w:rsid w:val="00BB642E"/>
    <w:rsid w:val="00BB7844"/>
    <w:rsid w:val="00BB7C81"/>
    <w:rsid w:val="00BC53D3"/>
    <w:rsid w:val="00BC757C"/>
    <w:rsid w:val="00BD1074"/>
    <w:rsid w:val="00BD11E7"/>
    <w:rsid w:val="00BD20DC"/>
    <w:rsid w:val="00BD27D5"/>
    <w:rsid w:val="00BD3041"/>
    <w:rsid w:val="00BD3FBA"/>
    <w:rsid w:val="00BD6712"/>
    <w:rsid w:val="00BD7217"/>
    <w:rsid w:val="00BE0F6C"/>
    <w:rsid w:val="00BE3BAE"/>
    <w:rsid w:val="00BE3C93"/>
    <w:rsid w:val="00BE561B"/>
    <w:rsid w:val="00BE657B"/>
    <w:rsid w:val="00BE68B8"/>
    <w:rsid w:val="00BE6A70"/>
    <w:rsid w:val="00BF0D0A"/>
    <w:rsid w:val="00BF4AF8"/>
    <w:rsid w:val="00BF5A9C"/>
    <w:rsid w:val="00C00D14"/>
    <w:rsid w:val="00C014BD"/>
    <w:rsid w:val="00C019EF"/>
    <w:rsid w:val="00C01C72"/>
    <w:rsid w:val="00C01E63"/>
    <w:rsid w:val="00C07585"/>
    <w:rsid w:val="00C11DED"/>
    <w:rsid w:val="00C14C15"/>
    <w:rsid w:val="00C14D8F"/>
    <w:rsid w:val="00C167CA"/>
    <w:rsid w:val="00C16A1C"/>
    <w:rsid w:val="00C17B12"/>
    <w:rsid w:val="00C22124"/>
    <w:rsid w:val="00C223ED"/>
    <w:rsid w:val="00C27BAF"/>
    <w:rsid w:val="00C27E30"/>
    <w:rsid w:val="00C343C2"/>
    <w:rsid w:val="00C41B88"/>
    <w:rsid w:val="00C41CA9"/>
    <w:rsid w:val="00C4282C"/>
    <w:rsid w:val="00C43A3B"/>
    <w:rsid w:val="00C44FD7"/>
    <w:rsid w:val="00C464BA"/>
    <w:rsid w:val="00C46F01"/>
    <w:rsid w:val="00C47F85"/>
    <w:rsid w:val="00C50E2B"/>
    <w:rsid w:val="00C5322D"/>
    <w:rsid w:val="00C53A0E"/>
    <w:rsid w:val="00C54237"/>
    <w:rsid w:val="00C57C1D"/>
    <w:rsid w:val="00C614A9"/>
    <w:rsid w:val="00C6256A"/>
    <w:rsid w:val="00C63041"/>
    <w:rsid w:val="00C63699"/>
    <w:rsid w:val="00C6579E"/>
    <w:rsid w:val="00C722B8"/>
    <w:rsid w:val="00C73B32"/>
    <w:rsid w:val="00C74E51"/>
    <w:rsid w:val="00C760A3"/>
    <w:rsid w:val="00C76C8C"/>
    <w:rsid w:val="00C7708B"/>
    <w:rsid w:val="00C80D11"/>
    <w:rsid w:val="00C854AF"/>
    <w:rsid w:val="00C85B65"/>
    <w:rsid w:val="00C904E6"/>
    <w:rsid w:val="00C905F9"/>
    <w:rsid w:val="00C9097E"/>
    <w:rsid w:val="00C90DBB"/>
    <w:rsid w:val="00C914A7"/>
    <w:rsid w:val="00C9257A"/>
    <w:rsid w:val="00CA45EA"/>
    <w:rsid w:val="00CA45FD"/>
    <w:rsid w:val="00CA4F95"/>
    <w:rsid w:val="00CA6C5E"/>
    <w:rsid w:val="00CB085E"/>
    <w:rsid w:val="00CB188D"/>
    <w:rsid w:val="00CB3111"/>
    <w:rsid w:val="00CB6570"/>
    <w:rsid w:val="00CB6A52"/>
    <w:rsid w:val="00CC0566"/>
    <w:rsid w:val="00CC4635"/>
    <w:rsid w:val="00CC475E"/>
    <w:rsid w:val="00CC557B"/>
    <w:rsid w:val="00CC594D"/>
    <w:rsid w:val="00CC5BDB"/>
    <w:rsid w:val="00CC634B"/>
    <w:rsid w:val="00CD0F90"/>
    <w:rsid w:val="00CE2EED"/>
    <w:rsid w:val="00CE36F0"/>
    <w:rsid w:val="00CE38B7"/>
    <w:rsid w:val="00CE6FB9"/>
    <w:rsid w:val="00CF026B"/>
    <w:rsid w:val="00CF0A38"/>
    <w:rsid w:val="00CF183B"/>
    <w:rsid w:val="00CF1918"/>
    <w:rsid w:val="00CF35B0"/>
    <w:rsid w:val="00CF3852"/>
    <w:rsid w:val="00CF4BF4"/>
    <w:rsid w:val="00CF663B"/>
    <w:rsid w:val="00CF713A"/>
    <w:rsid w:val="00D02BDE"/>
    <w:rsid w:val="00D02CF1"/>
    <w:rsid w:val="00D03808"/>
    <w:rsid w:val="00D06486"/>
    <w:rsid w:val="00D07010"/>
    <w:rsid w:val="00D104CD"/>
    <w:rsid w:val="00D10943"/>
    <w:rsid w:val="00D116A7"/>
    <w:rsid w:val="00D13C5C"/>
    <w:rsid w:val="00D13E3F"/>
    <w:rsid w:val="00D15213"/>
    <w:rsid w:val="00D216B1"/>
    <w:rsid w:val="00D22CED"/>
    <w:rsid w:val="00D25FF7"/>
    <w:rsid w:val="00D276DC"/>
    <w:rsid w:val="00D27CB1"/>
    <w:rsid w:val="00D320EF"/>
    <w:rsid w:val="00D32D45"/>
    <w:rsid w:val="00D337A4"/>
    <w:rsid w:val="00D338C8"/>
    <w:rsid w:val="00D33B96"/>
    <w:rsid w:val="00D33CBE"/>
    <w:rsid w:val="00D34561"/>
    <w:rsid w:val="00D354D3"/>
    <w:rsid w:val="00D364FD"/>
    <w:rsid w:val="00D40678"/>
    <w:rsid w:val="00D43BF7"/>
    <w:rsid w:val="00D445CF"/>
    <w:rsid w:val="00D46ECC"/>
    <w:rsid w:val="00D5010C"/>
    <w:rsid w:val="00D5043D"/>
    <w:rsid w:val="00D50809"/>
    <w:rsid w:val="00D54297"/>
    <w:rsid w:val="00D546A1"/>
    <w:rsid w:val="00D57E40"/>
    <w:rsid w:val="00D60173"/>
    <w:rsid w:val="00D607BE"/>
    <w:rsid w:val="00D61DB8"/>
    <w:rsid w:val="00D629EB"/>
    <w:rsid w:val="00D6314B"/>
    <w:rsid w:val="00D6322C"/>
    <w:rsid w:val="00D63AA4"/>
    <w:rsid w:val="00D657CC"/>
    <w:rsid w:val="00D65D18"/>
    <w:rsid w:val="00D724A9"/>
    <w:rsid w:val="00D75F52"/>
    <w:rsid w:val="00D77036"/>
    <w:rsid w:val="00D77D9C"/>
    <w:rsid w:val="00D806A3"/>
    <w:rsid w:val="00D81494"/>
    <w:rsid w:val="00D81BA6"/>
    <w:rsid w:val="00D84438"/>
    <w:rsid w:val="00D84607"/>
    <w:rsid w:val="00D84A74"/>
    <w:rsid w:val="00D85F22"/>
    <w:rsid w:val="00D9127D"/>
    <w:rsid w:val="00D919E7"/>
    <w:rsid w:val="00D91A0B"/>
    <w:rsid w:val="00D9492C"/>
    <w:rsid w:val="00D96DF5"/>
    <w:rsid w:val="00D97562"/>
    <w:rsid w:val="00D976E4"/>
    <w:rsid w:val="00DA0C8A"/>
    <w:rsid w:val="00DA1A75"/>
    <w:rsid w:val="00DA2E75"/>
    <w:rsid w:val="00DA43AF"/>
    <w:rsid w:val="00DA458B"/>
    <w:rsid w:val="00DA555A"/>
    <w:rsid w:val="00DB027C"/>
    <w:rsid w:val="00DB07D1"/>
    <w:rsid w:val="00DB1F8C"/>
    <w:rsid w:val="00DB3207"/>
    <w:rsid w:val="00DB44B1"/>
    <w:rsid w:val="00DB490A"/>
    <w:rsid w:val="00DC1907"/>
    <w:rsid w:val="00DC2CD2"/>
    <w:rsid w:val="00DC2FFF"/>
    <w:rsid w:val="00DC543E"/>
    <w:rsid w:val="00DC5E2B"/>
    <w:rsid w:val="00DD0C4F"/>
    <w:rsid w:val="00DD2350"/>
    <w:rsid w:val="00DD3540"/>
    <w:rsid w:val="00DD3AB2"/>
    <w:rsid w:val="00DD6FEC"/>
    <w:rsid w:val="00DE1D0A"/>
    <w:rsid w:val="00DE4D12"/>
    <w:rsid w:val="00DE5220"/>
    <w:rsid w:val="00DE6326"/>
    <w:rsid w:val="00DE68DD"/>
    <w:rsid w:val="00DE6B0B"/>
    <w:rsid w:val="00DE7B66"/>
    <w:rsid w:val="00DF08AC"/>
    <w:rsid w:val="00DF2030"/>
    <w:rsid w:val="00DF3334"/>
    <w:rsid w:val="00DF3505"/>
    <w:rsid w:val="00DF6C30"/>
    <w:rsid w:val="00DF73B5"/>
    <w:rsid w:val="00E01161"/>
    <w:rsid w:val="00E0198E"/>
    <w:rsid w:val="00E02AA3"/>
    <w:rsid w:val="00E04748"/>
    <w:rsid w:val="00E055EF"/>
    <w:rsid w:val="00E0765E"/>
    <w:rsid w:val="00E07E03"/>
    <w:rsid w:val="00E10A38"/>
    <w:rsid w:val="00E12168"/>
    <w:rsid w:val="00E121E7"/>
    <w:rsid w:val="00E15EC8"/>
    <w:rsid w:val="00E21157"/>
    <w:rsid w:val="00E2165C"/>
    <w:rsid w:val="00E22197"/>
    <w:rsid w:val="00E23DDB"/>
    <w:rsid w:val="00E24750"/>
    <w:rsid w:val="00E25D49"/>
    <w:rsid w:val="00E31D1A"/>
    <w:rsid w:val="00E36C8A"/>
    <w:rsid w:val="00E37608"/>
    <w:rsid w:val="00E41B1F"/>
    <w:rsid w:val="00E41BC7"/>
    <w:rsid w:val="00E42857"/>
    <w:rsid w:val="00E42E57"/>
    <w:rsid w:val="00E46975"/>
    <w:rsid w:val="00E509D8"/>
    <w:rsid w:val="00E52C16"/>
    <w:rsid w:val="00E55F91"/>
    <w:rsid w:val="00E61447"/>
    <w:rsid w:val="00E61D11"/>
    <w:rsid w:val="00E630BC"/>
    <w:rsid w:val="00E64D6A"/>
    <w:rsid w:val="00E64DD7"/>
    <w:rsid w:val="00E67E45"/>
    <w:rsid w:val="00E7122A"/>
    <w:rsid w:val="00E761EA"/>
    <w:rsid w:val="00E76354"/>
    <w:rsid w:val="00E766DA"/>
    <w:rsid w:val="00E77B1F"/>
    <w:rsid w:val="00E802AE"/>
    <w:rsid w:val="00E80EA9"/>
    <w:rsid w:val="00E80F67"/>
    <w:rsid w:val="00E816E6"/>
    <w:rsid w:val="00E825F0"/>
    <w:rsid w:val="00E82FC6"/>
    <w:rsid w:val="00E84970"/>
    <w:rsid w:val="00E85129"/>
    <w:rsid w:val="00E86529"/>
    <w:rsid w:val="00E908E8"/>
    <w:rsid w:val="00E93CA5"/>
    <w:rsid w:val="00E95C4C"/>
    <w:rsid w:val="00EA319B"/>
    <w:rsid w:val="00EA3564"/>
    <w:rsid w:val="00EB1E47"/>
    <w:rsid w:val="00EB2E34"/>
    <w:rsid w:val="00EB6658"/>
    <w:rsid w:val="00EC0580"/>
    <w:rsid w:val="00EC140C"/>
    <w:rsid w:val="00EC2BD0"/>
    <w:rsid w:val="00EC37A9"/>
    <w:rsid w:val="00EC69A7"/>
    <w:rsid w:val="00EC715E"/>
    <w:rsid w:val="00ED3444"/>
    <w:rsid w:val="00ED59AE"/>
    <w:rsid w:val="00ED6D0C"/>
    <w:rsid w:val="00ED7431"/>
    <w:rsid w:val="00ED76A8"/>
    <w:rsid w:val="00EE0555"/>
    <w:rsid w:val="00EE0570"/>
    <w:rsid w:val="00EE10BF"/>
    <w:rsid w:val="00EE12F9"/>
    <w:rsid w:val="00EE1893"/>
    <w:rsid w:val="00EE31C9"/>
    <w:rsid w:val="00EE7819"/>
    <w:rsid w:val="00EF0F00"/>
    <w:rsid w:val="00EF0FEB"/>
    <w:rsid w:val="00EF6B50"/>
    <w:rsid w:val="00F01CD9"/>
    <w:rsid w:val="00F0242E"/>
    <w:rsid w:val="00F03997"/>
    <w:rsid w:val="00F05024"/>
    <w:rsid w:val="00F05CF5"/>
    <w:rsid w:val="00F10B6D"/>
    <w:rsid w:val="00F10EBF"/>
    <w:rsid w:val="00F113AC"/>
    <w:rsid w:val="00F12DA0"/>
    <w:rsid w:val="00F1307F"/>
    <w:rsid w:val="00F139C5"/>
    <w:rsid w:val="00F155D9"/>
    <w:rsid w:val="00F15914"/>
    <w:rsid w:val="00F15E37"/>
    <w:rsid w:val="00F16C15"/>
    <w:rsid w:val="00F17FEA"/>
    <w:rsid w:val="00F2231C"/>
    <w:rsid w:val="00F228F1"/>
    <w:rsid w:val="00F24CE4"/>
    <w:rsid w:val="00F26F9E"/>
    <w:rsid w:val="00F2736F"/>
    <w:rsid w:val="00F27ADF"/>
    <w:rsid w:val="00F3043D"/>
    <w:rsid w:val="00F3082C"/>
    <w:rsid w:val="00F32D39"/>
    <w:rsid w:val="00F42CE1"/>
    <w:rsid w:val="00F45844"/>
    <w:rsid w:val="00F461A5"/>
    <w:rsid w:val="00F46B44"/>
    <w:rsid w:val="00F4742F"/>
    <w:rsid w:val="00F502EB"/>
    <w:rsid w:val="00F54497"/>
    <w:rsid w:val="00F556E2"/>
    <w:rsid w:val="00F6022C"/>
    <w:rsid w:val="00F603F6"/>
    <w:rsid w:val="00F605A1"/>
    <w:rsid w:val="00F60763"/>
    <w:rsid w:val="00F61047"/>
    <w:rsid w:val="00F6184B"/>
    <w:rsid w:val="00F62687"/>
    <w:rsid w:val="00F6325F"/>
    <w:rsid w:val="00F64A15"/>
    <w:rsid w:val="00F74DC0"/>
    <w:rsid w:val="00F74E6D"/>
    <w:rsid w:val="00F75F9A"/>
    <w:rsid w:val="00F762A2"/>
    <w:rsid w:val="00F76509"/>
    <w:rsid w:val="00F81122"/>
    <w:rsid w:val="00F81678"/>
    <w:rsid w:val="00F81E57"/>
    <w:rsid w:val="00F83E08"/>
    <w:rsid w:val="00F841DC"/>
    <w:rsid w:val="00F85385"/>
    <w:rsid w:val="00F85BB5"/>
    <w:rsid w:val="00F9331E"/>
    <w:rsid w:val="00F94D13"/>
    <w:rsid w:val="00F95D5E"/>
    <w:rsid w:val="00FA156D"/>
    <w:rsid w:val="00FA2195"/>
    <w:rsid w:val="00FA22B8"/>
    <w:rsid w:val="00FA24A7"/>
    <w:rsid w:val="00FA2A79"/>
    <w:rsid w:val="00FA39E1"/>
    <w:rsid w:val="00FA50B0"/>
    <w:rsid w:val="00FA5A8B"/>
    <w:rsid w:val="00FA7E2B"/>
    <w:rsid w:val="00FB1763"/>
    <w:rsid w:val="00FB2967"/>
    <w:rsid w:val="00FB4CEA"/>
    <w:rsid w:val="00FB4F54"/>
    <w:rsid w:val="00FB604A"/>
    <w:rsid w:val="00FB6961"/>
    <w:rsid w:val="00FB6F8F"/>
    <w:rsid w:val="00FC1B15"/>
    <w:rsid w:val="00FC21B0"/>
    <w:rsid w:val="00FC3033"/>
    <w:rsid w:val="00FC32E4"/>
    <w:rsid w:val="00FC38FE"/>
    <w:rsid w:val="00FC3CBF"/>
    <w:rsid w:val="00FC5A22"/>
    <w:rsid w:val="00FC639D"/>
    <w:rsid w:val="00FC6BBE"/>
    <w:rsid w:val="00FD3816"/>
    <w:rsid w:val="00FD3AAA"/>
    <w:rsid w:val="00FD53CD"/>
    <w:rsid w:val="00FD5E63"/>
    <w:rsid w:val="00FD6132"/>
    <w:rsid w:val="00FD7B64"/>
    <w:rsid w:val="00FE2FD3"/>
    <w:rsid w:val="00FE5063"/>
    <w:rsid w:val="00FE5E6F"/>
    <w:rsid w:val="00FE6EAD"/>
    <w:rsid w:val="00FE71F5"/>
    <w:rsid w:val="00FE7ED5"/>
    <w:rsid w:val="00FF07A8"/>
    <w:rsid w:val="00FF32CC"/>
    <w:rsid w:val="00FF470D"/>
    <w:rsid w:val="00FF5853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18E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0F018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0F0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18E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unhideWhenUsed/>
    <w:rsid w:val="007F0AC4"/>
    <w:rPr>
      <w:color w:val="0000FF"/>
      <w:u w:val="single"/>
    </w:rPr>
  </w:style>
  <w:style w:type="paragraph" w:styleId="a7">
    <w:name w:val="Body Text Indent"/>
    <w:basedOn w:val="a"/>
    <w:link w:val="a8"/>
    <w:rsid w:val="00FA2A7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FA2A79"/>
    <w:rPr>
      <w:rFonts w:ascii="Times New Roman" w:eastAsia="Times New Roman" w:hAnsi="Times New Roman"/>
      <w:sz w:val="28"/>
      <w:lang w:eastAsia="ru-RU"/>
    </w:rPr>
  </w:style>
  <w:style w:type="paragraph" w:styleId="2">
    <w:name w:val="Body Text Indent 2"/>
    <w:basedOn w:val="a"/>
    <w:link w:val="20"/>
    <w:rsid w:val="00FA2A79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FA2A7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71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a">
    <w:name w:val="Body Text"/>
    <w:basedOn w:val="a"/>
    <w:link w:val="ab"/>
    <w:rsid w:val="007B4065"/>
    <w:pPr>
      <w:spacing w:after="120"/>
    </w:pPr>
  </w:style>
  <w:style w:type="character" w:customStyle="1" w:styleId="ab">
    <w:name w:val="Основной текст Знак"/>
    <w:basedOn w:val="a0"/>
    <w:link w:val="aa"/>
    <w:rsid w:val="007B4065"/>
    <w:rPr>
      <w:rFonts w:ascii="Times New Roman" w:eastAsia="Times New Roman" w:hAnsi="Times New Roman"/>
      <w:sz w:val="28"/>
      <w:lang w:eastAsia="ru-RU"/>
    </w:rPr>
  </w:style>
  <w:style w:type="paragraph" w:styleId="ac">
    <w:name w:val="header"/>
    <w:basedOn w:val="a"/>
    <w:link w:val="ad"/>
    <w:uiPriority w:val="99"/>
    <w:rsid w:val="002654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544D"/>
    <w:rPr>
      <w:rFonts w:ascii="Times New Roman" w:eastAsia="Times New Roman" w:hAnsi="Times New Roman"/>
      <w:sz w:val="28"/>
      <w:lang w:val="uk-UA"/>
    </w:rPr>
  </w:style>
  <w:style w:type="paragraph" w:styleId="ae">
    <w:name w:val="footer"/>
    <w:basedOn w:val="a"/>
    <w:link w:val="af"/>
    <w:rsid w:val="002654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544D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FIN\&#1044;&#1054;&#1061;&#1054;&#1044;&#1048;\&#1044;&#1110;&#1072;&#1075;&#1088;&#1072;&#1084;&#1080;%209%20&#1084;&#1110;&#1089;&#1103;&#1094;&#1110;&#1074;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BUDZHET\&#1040;&#1053;&#1040;&#1051;&#1030;&#1047;&#1048;\2015\&#1072;&#1085;&#1072;&#1083;&#1080;&#1079;%20&#1085;&#1072;%2001.10.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Структура доходів загального фонду за  9 місяців 2015 року
</a:t>
            </a:r>
          </a:p>
        </c:rich>
      </c:tx>
      <c:layout>
        <c:manualLayout>
          <c:xMode val="edge"/>
          <c:yMode val="edge"/>
          <c:x val="0.13059033989266597"/>
          <c:y val="1.4423076923076919E-2"/>
        </c:manualLayout>
      </c:layout>
      <c:spPr>
        <a:noFill/>
        <a:ln w="25400">
          <a:noFill/>
        </a:ln>
      </c:spPr>
    </c:title>
    <c:view3D>
      <c:rotY val="200"/>
      <c:perspective val="0"/>
    </c:view3D>
    <c:plotArea>
      <c:layout>
        <c:manualLayout>
          <c:layoutTarget val="inner"/>
          <c:xMode val="edge"/>
          <c:yMode val="edge"/>
          <c:x val="0.23076941858117525"/>
          <c:y val="0.34375000000000033"/>
          <c:w val="0.59212931865052754"/>
          <c:h val="0.31490384615384698"/>
        </c:manualLayout>
      </c:layout>
      <c:pie3DChart>
        <c:varyColors val="1"/>
        <c:ser>
          <c:idx val="0"/>
          <c:order val="0"/>
          <c:tx>
            <c:strRef>
              <c:f>'структура ЗФ за 9 міс 2015'!$C$3</c:f>
              <c:strCache>
                <c:ptCount val="1"/>
                <c:pt idx="0">
                  <c:v>Факт за 9 місяців 2015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0671991135276566E-2"/>
                  <c:y val="-3.4538411064001608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8.2875964296949711E-2"/>
                  <c:y val="-0.13840500706642497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3.9471872813751703E-2"/>
                  <c:y val="-3.9999495255400801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977293535982422"/>
                  <c:y val="0.18126791843327303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0.14502162185004155"/>
                  <c:y val="0.18265016151827176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2.8371435681452215E-2"/>
                  <c:y val="8.2512870987280704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0.20619084510679489"/>
                  <c:y val="1.7577225923682677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9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'структура ЗФ за 9 міс 2015'!$B$4:$B$10</c:f>
              <c:strCache>
                <c:ptCount val="7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Акцизний податок</c:v>
                </c:pt>
                <c:pt idx="3">
                  <c:v>Місцеві податки і збори</c:v>
                </c:pt>
                <c:pt idx="4">
                  <c:v>Плата за оренду МК</c:v>
                </c:pt>
                <c:pt idx="5">
                  <c:v>Плата за надання адмінпослуг</c:v>
                </c:pt>
                <c:pt idx="6">
                  <c:v>Інші</c:v>
                </c:pt>
              </c:strCache>
            </c:strRef>
          </c:cat>
          <c:val>
            <c:numRef>
              <c:f>'структура ЗФ за 9 міс 2015'!$C$4:$C$10</c:f>
              <c:numCache>
                <c:formatCode>#,##0.0</c:formatCode>
                <c:ptCount val="7"/>
                <c:pt idx="0">
                  <c:v>919.56731899999909</c:v>
                </c:pt>
                <c:pt idx="1">
                  <c:v>13.492298</c:v>
                </c:pt>
                <c:pt idx="2">
                  <c:v>132.767822</c:v>
                </c:pt>
                <c:pt idx="3">
                  <c:v>476.93502799999948</c:v>
                </c:pt>
                <c:pt idx="4">
                  <c:v>14.732956</c:v>
                </c:pt>
                <c:pt idx="5">
                  <c:v>10.686009</c:v>
                </c:pt>
                <c:pt idx="6">
                  <c:v>28.442003999999969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000"/>
              <a:t>Структура</a:t>
            </a:r>
            <a:r>
              <a:rPr lang="ru-RU" sz="1000" baseline="0"/>
              <a:t> видатків бюджету міста за 9 місяців 2015 року за економічною ознакою</a:t>
            </a:r>
            <a:endParaRPr lang="ru-RU" sz="1000"/>
          </a:p>
        </c:rich>
      </c:tx>
      <c:layout>
        <c:manualLayout>
          <c:xMode val="edge"/>
          <c:yMode val="edge"/>
          <c:x val="0.15444219633673123"/>
          <c:y val="1.33456818837797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916541057967446"/>
          <c:y val="0.22121781273731494"/>
          <c:w val="0.72086584718661662"/>
          <c:h val="0.6245684545910548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8791995514816685E-2"/>
                  <c:y val="-4.72388099434788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Заробітна плата з нарахуваннями
38,7%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1086510252800316"/>
                  <c:y val="-0.132563253628204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Медикаменти та перев'язувальні матеріали
2,0%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9.71166121028154E-2"/>
                  <c:y val="2.377107636952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Продукти харчування
2,3%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5.6391581295898864E-2"/>
                  <c:y val="3.59650364151466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комунальних послуг та енергоносіїв
6,4%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5.7631243003439997E-2"/>
                  <c:y val="2.94347595815691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Субсидії та поточні трансферти підприємствам
7,2%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7.1266085805596513E-2"/>
                  <c:y val="-1.98262189056120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Поточні трансферти органам державного управління інших рівнів
4,2%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4.5829121977747633E-2"/>
                  <c:y val="5.83500533827275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Соціальне забезпечення
21,1%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8.6516201863615819E-2"/>
                  <c:y val="1.06089413966939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поточні видатки
6,1%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3.4079927101409203E-2"/>
                  <c:y val="-1.198309126624952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Капітальні видатки
11,9%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'для диаграмі'!$C$9:$C$36</c:f>
              <c:strCache>
                <c:ptCount val="9"/>
                <c:pt idx="0">
                  <c:v>Заробітна плата з нарахуваннями</c:v>
                </c:pt>
                <c:pt idx="1">
                  <c:v>Медикаменти та перев'язувальні матеріали</c:v>
                </c:pt>
                <c:pt idx="2">
                  <c:v>Продукти харчування</c:v>
                </c:pt>
                <c:pt idx="3">
                  <c:v>Оплата комунальних послуг та енергоносіїв</c:v>
                </c:pt>
                <c:pt idx="4">
                  <c:v>Субсидії та поточні трансферти підприємствам</c:v>
                </c:pt>
                <c:pt idx="5">
                  <c:v>Поточні трансферти органам державного управління інших рівнів</c:v>
                </c:pt>
                <c:pt idx="6">
                  <c:v>Соціальне забезпечення</c:v>
                </c:pt>
                <c:pt idx="7">
                  <c:v>інші поточні видатки</c:v>
                </c:pt>
                <c:pt idx="8">
                  <c:v>Капітальні видатки</c:v>
                </c:pt>
              </c:strCache>
            </c:strRef>
          </c:cat>
          <c:val>
            <c:numRef>
              <c:f>'для диаграмі'!$G$9:$G$36</c:f>
              <c:numCache>
                <c:formatCode>0.0</c:formatCode>
                <c:ptCount val="9"/>
                <c:pt idx="0">
                  <c:v>38.704478729680474</c:v>
                </c:pt>
                <c:pt idx="1">
                  <c:v>2.0433111583768833</c:v>
                </c:pt>
                <c:pt idx="2">
                  <c:v>2.3000875338063382</c:v>
                </c:pt>
                <c:pt idx="3">
                  <c:v>6.431995171942372</c:v>
                </c:pt>
                <c:pt idx="4">
                  <c:v>7.1964647093903711</c:v>
                </c:pt>
                <c:pt idx="5">
                  <c:v>4.2280689002453595</c:v>
                </c:pt>
                <c:pt idx="6">
                  <c:v>21.1346043987473</c:v>
                </c:pt>
                <c:pt idx="7">
                  <c:v>6.1045833091137434</c:v>
                </c:pt>
                <c:pt idx="8">
                  <c:v>11.856406088697176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видатків бюджету міста за 9 місяців 2015 року</a:t>
            </a:r>
          </a:p>
        </c:rich>
      </c:tx>
      <c:layout>
        <c:manualLayout>
          <c:xMode val="edge"/>
          <c:yMode val="edge"/>
          <c:x val="0.16578552680914888"/>
          <c:y val="2.4117140396210192E-2"/>
        </c:manualLayout>
      </c:layout>
    </c:title>
    <c:plotArea>
      <c:layout>
        <c:manualLayout>
          <c:layoutTarget val="inner"/>
          <c:xMode val="edge"/>
          <c:yMode val="edge"/>
          <c:x val="7.1874453193350826E-2"/>
          <c:y val="0.20902507341621071"/>
          <c:w val="0.91369056140709681"/>
          <c:h val="0.6634802189965836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видатків бюджету за м. Запоріжжя за 9 місяців</c:v>
                </c:pt>
              </c:strCache>
            </c:strRef>
          </c:tx>
          <c:dPt>
            <c:idx val="5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7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6.5171541057367863E-3"/>
                  <c:y val="5.665547620500926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 Narrow" pitchFamily="34" charset="0"/>
                      </a:rPr>
                      <a:t>житлово -комунальне
 та дорожнє господарство
15%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3.8085551806024256E-2"/>
                  <c:y val="7.7314831770059808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 Narrow" pitchFamily="34" charset="0"/>
                      </a:rPr>
                      <a:t>транспорт та 
зв'язок
2%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8.6204110849780149E-2"/>
                  <c:y val="3.1755165926806085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 Narrow" pitchFamily="34" charset="0"/>
                      </a:rPr>
                      <a:t>Субвенції іншим бюджетам
13,8 млн.грн.
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8.9390791937803207E-2"/>
                  <c:y val="-0.12542863439942939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 Narrow" pitchFamily="34" charset="0"/>
                      </a:rPr>
                      <a:t>органи місцевого самоврядування
94,4млн.грн.</a:t>
                    </a:r>
                  </a:p>
                  <a:p>
                    <a:r>
                      <a:rPr lang="ru-RU" sz="900">
                        <a:latin typeface="Arial Narrow" pitchFamily="34" charset="0"/>
                      </a:rPr>
                      <a:t>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5.7589207599050105E-2"/>
                  <c:y val="-0.1726458998826702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 Narrow" pitchFamily="34" charset="0"/>
                      </a:rPr>
                      <a:t>реверсна дотація
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-5.4629108861392287E-2"/>
                  <c:y val="8.2577739798029265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 Narrow" pitchFamily="34" charset="0"/>
                      </a:rPr>
                      <a:t>інші видатки
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0.12729783777027917"/>
                  <c:y val="-1.0372811925641079E-2"/>
                </c:manualLayout>
              </c:layout>
              <c:tx>
                <c:rich>
                  <a:bodyPr/>
                  <a:lstStyle/>
                  <a:p>
                    <a:pPr>
                      <a:defRPr lang="en-US" sz="800" baseline="0">
                        <a:latin typeface="Arial Narrow" pitchFamily="34" charset="0"/>
                      </a:defRPr>
                    </a:pPr>
                    <a:r>
                      <a:rPr lang="ru-RU" sz="800">
                        <a:latin typeface="Arial Narrow" pitchFamily="34" charset="0"/>
                      </a:rPr>
                      <a:t>освіта
28%</a:t>
                    </a:r>
                  </a:p>
                </c:rich>
              </c:tx>
              <c:spPr/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 val="-0.13457380327459068"/>
                  <c:y val="3.8595563151505286E-3"/>
                </c:manualLayout>
              </c:layout>
              <c:tx>
                <c:rich>
                  <a:bodyPr/>
                  <a:lstStyle/>
                  <a:p>
                    <a:pPr>
                      <a:defRPr lang="en-US" sz="800" baseline="0">
                        <a:latin typeface="Arial Narrow" pitchFamily="34" charset="0"/>
                      </a:defRPr>
                    </a:pPr>
                    <a:r>
                      <a:rPr lang="ru-RU" sz="800">
                        <a:latin typeface="Arial Narrow" pitchFamily="34" charset="0"/>
                      </a:rPr>
                      <a:t>охорона здоров</a:t>
                    </a:r>
                    <a:r>
                      <a:rPr lang="en-US" sz="800">
                        <a:latin typeface="Arial Narrow" pitchFamily="34" charset="0"/>
                      </a:rPr>
                      <a:t>`</a:t>
                    </a:r>
                    <a:r>
                      <a:rPr lang="ru-RU" sz="800">
                        <a:latin typeface="Arial Narrow" pitchFamily="34" charset="0"/>
                      </a:rPr>
                      <a:t>я
20%</a:t>
                    </a:r>
                  </a:p>
                </c:rich>
              </c:tx>
              <c:spPr/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0.14250031246094241"/>
                  <c:y val="-6.679010084979719E-4"/>
                </c:manualLayout>
              </c:layout>
              <c:tx>
                <c:rich>
                  <a:bodyPr/>
                  <a:lstStyle/>
                  <a:p>
                    <a:pPr>
                      <a:defRPr lang="en-US" sz="800" baseline="0">
                        <a:latin typeface="Arial Narrow" pitchFamily="34" charset="0"/>
                      </a:defRPr>
                    </a:pPr>
                    <a:r>
                      <a:rPr lang="ru-RU" sz="800">
                        <a:latin typeface="Arial Narrow" pitchFamily="34" charset="0"/>
                      </a:rPr>
                      <a:t>соціальний захист</a:t>
                    </a:r>
                    <a:r>
                      <a:rPr lang="en-US" sz="800">
                        <a:latin typeface="Arial Narrow" pitchFamily="34" charset="0"/>
                      </a:rPr>
                      <a:t>,</a:t>
                    </a:r>
                    <a:r>
                      <a:rPr lang="ru-RU" sz="800">
                        <a:latin typeface="Arial Narrow" pitchFamily="34" charset="0"/>
                      </a:rPr>
                      <a:t> 
 соц. забезпечення
23%</a:t>
                    </a:r>
                  </a:p>
                </c:rich>
              </c:tx>
              <c:spPr/>
              <c:dLblPos val="bestFit"/>
              <c:showVal val="1"/>
              <c:showCatName val="1"/>
              <c:showPercent val="1"/>
            </c:dLbl>
            <c:dLbl>
              <c:idx val="9"/>
              <c:layout>
                <c:manualLayout>
                  <c:x val="-0.10226440444944403"/>
                  <c:y val="6.4155120144865699E-2"/>
                </c:manualLayout>
              </c:layout>
              <c:tx>
                <c:rich>
                  <a:bodyPr/>
                  <a:lstStyle/>
                  <a:p>
                    <a:pPr>
                      <a:defRPr lang="en-US" sz="700" b="0" baseline="0">
                        <a:latin typeface="Arial Narrow" pitchFamily="34" charset="0"/>
                      </a:defRPr>
                    </a:pPr>
                    <a:r>
                      <a:rPr lang="ru-RU" sz="700" b="0">
                        <a:latin typeface="Arial Narrow" pitchFamily="34" charset="0"/>
                      </a:rPr>
                      <a:t>культура і мистецтво, фізична
 культура і спорт
3%</a:t>
                    </a:r>
                  </a:p>
                </c:rich>
              </c:tx>
              <c:spPr/>
              <c:dLblPos val="bestFit"/>
              <c:showVal val="1"/>
              <c:showCatName val="1"/>
              <c:showPercent val="1"/>
            </c:dLbl>
            <c:dLbl>
              <c:idx val="10"/>
              <c:layout>
                <c:manualLayout>
                  <c:x val="-0.18697552714167609"/>
                  <c:y val="1.1964513207778945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 Narrow" pitchFamily="34" charset="0"/>
                      </a:rPr>
                      <a:t>Соціально-культурна сфера</a:t>
                    </a:r>
                  </a:p>
                  <a:p>
                    <a:r>
                      <a:rPr lang="ru-RU" sz="900">
                        <a:latin typeface="Arial Narrow" pitchFamily="34" charset="0"/>
                      </a:rPr>
                      <a:t>74%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1"/>
              <c:layout>
                <c:manualLayout>
                  <c:x val="-0.18857711796442184"/>
                  <c:y val="-2.8035558055243201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>
                        <a:latin typeface="Arial Narrow" pitchFamily="34" charset="0"/>
                      </a:rPr>
                      <a:t>Соціально-культурна  сфера
73%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lang="en-US" sz="900" baseline="0">
                    <a:latin typeface="Arial Narrow" pitchFamily="34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</c:dLbls>
          <c:cat>
            <c:strRef>
              <c:f>Лист1!$A$2:$A$11</c:f>
              <c:strCache>
                <c:ptCount val="10"/>
                <c:pt idx="0">
                  <c:v>житлово -комунальне
 та дорожнє господарство</c:v>
                </c:pt>
                <c:pt idx="1">
                  <c:v>транспортне забезпечення та 
зв'язок</c:v>
                </c:pt>
                <c:pt idx="2">
                  <c:v>субвенції іншим бюджетам</c:v>
                </c:pt>
                <c:pt idx="3">
                  <c:v>органи місцевого самоврядування</c:v>
                </c:pt>
                <c:pt idx="4">
                  <c:v>реверсна дотація</c:v>
                </c:pt>
                <c:pt idx="5">
                  <c:v>інші видатки</c:v>
                </c:pt>
                <c:pt idx="6">
                  <c:v>освіта</c:v>
                </c:pt>
                <c:pt idx="7">
                  <c:v>охорона здоров'я</c:v>
                </c:pt>
                <c:pt idx="8">
                  <c:v>соціальний захист та
 соціальне забезпечення</c:v>
                </c:pt>
                <c:pt idx="9">
                  <c:v>Культура і мистецтво, фізична
 культура і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414.65115000000003</c:v>
                </c:pt>
                <c:pt idx="1">
                  <c:v>53.928170000000115</c:v>
                </c:pt>
                <c:pt idx="4">
                  <c:v>116.1844</c:v>
                </c:pt>
                <c:pt idx="5">
                  <c:v>125.39198172000002</c:v>
                </c:pt>
                <c:pt idx="6">
                  <c:v>758.92496999999946</c:v>
                </c:pt>
                <c:pt idx="7">
                  <c:v>559.5641299999977</c:v>
                </c:pt>
                <c:pt idx="8">
                  <c:v>636.90505999999948</c:v>
                </c:pt>
                <c:pt idx="9">
                  <c:v>94.098590000000002</c:v>
                </c:pt>
              </c:numCache>
            </c:numRef>
          </c:val>
        </c:ser>
        <c:dLbls>
          <c:showCatName val="1"/>
          <c:showPercent val="1"/>
        </c:dLbls>
        <c:gapWidth val="100"/>
        <c:secondPieSize val="75"/>
        <c:serLines/>
      </c:ofPieChart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0.23016</cdr:x>
      <cdr:y>0.23543</cdr:y>
    </cdr:from>
    <cdr:to>
      <cdr:x>0.26058</cdr:x>
      <cdr:y>0.33534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rot="16200000" flipH="1">
          <a:off x="1386417" y="954616"/>
          <a:ext cx="368304" cy="19473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0.18651</cdr:x>
      <cdr:y>0.34453</cdr:y>
    </cdr:from>
    <cdr:to>
      <cdr:x>0.23347</cdr:x>
      <cdr:y>0.41459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 rot="16200000" flipH="1">
          <a:off x="1214968" y="1248835"/>
          <a:ext cx="258233" cy="30057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0.1713</cdr:x>
      <cdr:y>0.47683</cdr:y>
    </cdr:from>
    <cdr:to>
      <cdr:x>0.22222</cdr:x>
      <cdr:y>0.48923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rot="16200000">
          <a:off x="1236559" y="1617560"/>
          <a:ext cx="45719" cy="3259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0.19709</cdr:x>
      <cdr:y>0.63394</cdr:y>
    </cdr:from>
    <cdr:to>
      <cdr:x>0.22685</cdr:x>
      <cdr:y>0.70629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 rot="16200000">
          <a:off x="1223436" y="2374900"/>
          <a:ext cx="266696" cy="19050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AAEB-99DA-4CEB-B466-FD526EFA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2015-11-04T08:24:00Z</cp:lastPrinted>
  <dcterms:created xsi:type="dcterms:W3CDTF">2015-10-30T08:38:00Z</dcterms:created>
  <dcterms:modified xsi:type="dcterms:W3CDTF">2015-11-04T08:30:00Z</dcterms:modified>
</cp:coreProperties>
</file>